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12A8E0"/>
          <w:sz w:val="22"/>
        </w:rPr>
        <w:t>TECHNICAL MODEL &amp; MLOPS REPORT</w:t>
      </w:r>
    </w:p>
    <w:p>
      <w:r>
        <w:rPr>
          <w:b/>
          <w:color w:val="0B1F3A"/>
          <w:sz w:val="68"/>
        </w:rPr>
        <w:t>PREDICTIVE</w:t>
        <w:br/>
        <w:t>MAINTENANCE</w:t>
      </w:r>
    </w:p>
    <w:p>
      <w:r>
        <w:rPr>
          <w:color w:val="1769E0"/>
          <w:sz w:val="30"/>
        </w:rPr>
        <w:t>Reproducible model development, evaluation, explainability, and production-readiness design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F59E0B"/>
          </w:tcPr>
          <w:p/>
        </w:tc>
        <w:tc>
          <w:tcPr>
            <w:tcW w:type="dxa" w:w="5141"/>
            <w:shd w:fill="EEF7FF"/>
          </w:tcPr>
          <w:p>
            <w:r/>
            <w:r>
              <w:rPr>
                <w:b/>
                <w:color w:val="0B1F3A"/>
                <w:sz w:val="22"/>
              </w:rPr>
              <w:t>Business question</w:t>
            </w:r>
          </w:p>
          <w:p>
            <w:pPr>
              <w:spacing w:after="40"/>
            </w:pPr>
            <w:r>
              <w:t>Can routine machine operating conditions identify elevated failure risk early enough to support better maintenance decisions?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10,000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observations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339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failures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3.39%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failure prevalence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7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model configurations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5B6678"/>
          <w:sz w:val="17"/>
        </w:rPr>
        <w:t>Evidence base: uploaded Jupyter notebook and recorded outputs. Analytical proof of concept; not a validated production control system.</w:t>
      </w:r>
    </w:p>
    <w:p>
      <w:r>
        <w:br w:type="page"/>
      </w:r>
    </w:p>
    <w:p>
      <w:r>
        <w:rPr>
          <w:b/>
          <w:color w:val="12A8E0"/>
          <w:sz w:val="18"/>
        </w:rPr>
        <w:t>TECHNICAL OVERVIEW</w:t>
      </w:r>
    </w:p>
    <w:p>
      <w:pPr>
        <w:spacing w:after="80"/>
      </w:pPr>
      <w:r>
        <w:rPr>
          <w:b/>
          <w:color w:val="0B1F3A"/>
          <w:sz w:val="56"/>
        </w:rPr>
        <w:t>1. Analytical design and decision objectives</w:t>
      </w:r>
    </w:p>
    <w:p>
      <w:pPr>
        <w:spacing w:after="200"/>
      </w:pPr>
      <w:r>
        <w:rPr>
          <w:color w:val="5B6678"/>
          <w:sz w:val="24"/>
        </w:rPr>
        <w:t>A reproducible account of how the machine-failure classifier was framed, built, challenged, selected, and prepared for controlled operational use.</w:t>
      </w:r>
    </w:p>
    <w:p>
      <w:pPr>
        <w:pStyle w:val="Heading2"/>
        <w:spacing w:before="120" w:after="60"/>
      </w:pPr>
      <w:r>
        <w:t>Problem formulation</w:t>
      </w:r>
    </w:p>
    <w:p>
      <w:pPr>
        <w:spacing w:after="100" w:line="257" w:lineRule="auto"/>
      </w:pPr>
      <w:r>
        <w:t>Binary classification target: Machine failure (1) versus normal operation (0). Predictors were limited to information that could plausibly be available before the failure outcome. The objective was not maximum accuracy; it was useful discrimination of a rare positive class with an explicit precision-recall trade-off.</w:t>
      </w:r>
    </w:p>
    <w:p>
      <w:pPr>
        <w:pStyle w:val="Heading2"/>
        <w:spacing w:before="120" w:after="60"/>
      </w:pPr>
      <w:r>
        <w:t>Core technical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3427"/>
        <w:gridCol w:w="3427"/>
        <w:gridCol w:w="3427"/>
      </w:tblGrid>
      <w:tr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Leakage prevention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Exclude TWF/HDF/PWF/OSF/RNF and identifiers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Avoid outcome information and non-operational IDs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Split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80/20 stratified train/test; random_state=42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Preserve 3.39% failure prevalence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Preprocessing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One-hot encode Type; standardize numeric features in pipeline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Consistent train/test transformations and no preprocessing leakage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Metrics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Precision, recall, F1, ROC-AUC, PR-AUC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Rare-event evaluation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Candidates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Dummy, Logistic Regression, Random Forest, XGBoost + imbalance variants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Compare linear, bagging and boosting approaches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Selection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Model + threshold evaluated separately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Separate ranking quality from operational decision policy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34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2A8E0"/>
          <w:sz w:val="18"/>
        </w:rPr>
        <w:t>DATASET</w:t>
      </w:r>
    </w:p>
    <w:p>
      <w:pPr>
        <w:spacing w:after="80"/>
      </w:pPr>
      <w:r>
        <w:rPr>
          <w:b/>
          <w:color w:val="0B1F3A"/>
          <w:sz w:val="56"/>
        </w:rPr>
        <w:t>2. Data structure and quality assessment</w:t>
      </w:r>
    </w:p>
    <w:p>
      <w:pPr>
        <w:spacing w:after="200"/>
      </w:pPr>
      <w:r>
        <w:rPr>
          <w:color w:val="5B6678"/>
          <w:sz w:val="24"/>
        </w:rPr>
        <w:t>The source contained 10,000 observations and 14 variables spanning identifiers, machine type, operating measurements, target, and failure-mode flags.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3427"/>
        <w:gridCol w:w="3427"/>
        <w:gridCol w:w="3427"/>
      </w:tblGrid>
      <w:tr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Variable group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Variables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Identifiers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UDI, Product ID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Excluded from model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Categorical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Type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One-hot encoded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Raw numeric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Air temp, process temp, rotational speed, torque, tool wear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Retained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Target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Machine failure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Binary target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Failure flags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TWF, HDF, PWF, OSF, RNF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Excluded as potential leakage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10,000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rows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14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source columns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339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failure rows</w:t>
            </w:r>
          </w:p>
        </w:tc>
        <w:tc>
          <w:tcPr>
            <w:tcW w:type="dxa" w:w="2570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3.39%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positive class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73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bal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60"/>
      </w:pPr>
      <w:r>
        <w:t>Quality checks</w:t>
      </w:r>
    </w:p>
    <w:p>
      <w:pPr>
        <w:pStyle w:val="ListBullet"/>
        <w:spacing w:after="40"/>
        <w:ind w:left="317"/>
      </w:pPr>
      <w:r>
        <w:t>No missing values were identified.</w:t>
      </w:r>
    </w:p>
    <w:p>
      <w:pPr>
        <w:pStyle w:val="ListBullet"/>
        <w:spacing w:after="40"/>
        <w:ind w:left="317"/>
      </w:pPr>
      <w:r>
        <w:t>No completely duplicated rows were identified.</w:t>
      </w:r>
    </w:p>
    <w:p>
      <w:pPr>
        <w:pStyle w:val="ListBullet"/>
        <w:spacing w:after="40"/>
        <w:ind w:left="317"/>
      </w:pPr>
      <w:r>
        <w:t>Machine type distribution: L=6,000; M=2,997; H=1,003.</w:t>
      </w:r>
    </w:p>
    <w:p>
      <w:pPr>
        <w:pStyle w:val="ListBullet"/>
        <w:spacing w:after="40"/>
        <w:ind w:left="317"/>
      </w:pPr>
      <w:r>
        <w:t>Failure-mode counts were reviewed to understand label structure before excluding them from predictors.</w:t>
      </w:r>
    </w:p>
    <w:p>
      <w:r>
        <w:rPr>
          <w:b/>
          <w:color w:val="12A8E0"/>
          <w:sz w:val="18"/>
        </w:rPr>
        <w:t>EDA</w:t>
      </w:r>
    </w:p>
    <w:p>
      <w:pPr>
        <w:spacing w:after="80"/>
      </w:pPr>
      <w:r>
        <w:rPr>
          <w:b/>
          <w:color w:val="0B1F3A"/>
          <w:sz w:val="56"/>
        </w:rPr>
        <w:t>3. Exploratory analysis and operating hypotheses</w:t>
      </w:r>
    </w:p>
    <w:p>
      <w:pPr>
        <w:spacing w:after="200"/>
      </w:pPr>
      <w:r>
        <w:rPr>
          <w:color w:val="5B6678"/>
          <w:sz w:val="24"/>
        </w:rPr>
        <w:t>EDA was used to generate testable feature hypotheses, not to prove causation.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Normal mean/median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Failure mean/median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Technical observation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Air temperature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299.97 K mean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300.89 K mean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Small aggregate shift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Process temperature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310.00 K mean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310.29 K mean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Small aggregate shift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Rotational speed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1,507 rpm median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1,365 rpm median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Large median shift / nonlinear behavior likely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Torque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39.63 Nm mean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50.17 Nm mean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Strong load separation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Tool wear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107 min median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165 min median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Strong wear separation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Machine type failure rate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Observations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Failures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Failure rate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H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1,003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21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2.09%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L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6,000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235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3.92%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M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2,997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83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2.77%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F59E0B"/>
          </w:tcPr>
          <w:p/>
        </w:tc>
        <w:tc>
          <w:tcPr>
            <w:tcW w:type="dxa" w:w="5141"/>
            <w:shd w:fill="FFF7E6"/>
          </w:tcPr>
          <w:p>
            <w:r/>
            <w:r>
              <w:rPr>
                <w:b/>
                <w:color w:val="0B1F3A"/>
                <w:sz w:val="22"/>
              </w:rPr>
              <w:t>Interpretation discipline</w:t>
            </w:r>
          </w:p>
          <w:p>
            <w:pPr>
              <w:spacing w:after="40"/>
            </w:pPr>
            <w:r>
              <w:t>Observed associations informed modeling and feature engineering, but were not treated as root-cause findings. Nonlinear interactions were expected, motivating tree-based models.</w:t>
            </w:r>
          </w:p>
        </w:tc>
      </w:tr>
    </w:tbl>
    <w:p>
      <w:pPr>
        <w:spacing w:after="20"/>
      </w:pPr>
    </w:p>
    <w:p>
      <w:r>
        <w:rPr>
          <w:b/>
          <w:color w:val="12A8E0"/>
          <w:sz w:val="18"/>
        </w:rPr>
        <w:t>FEATURE ENGINEERING</w:t>
      </w:r>
    </w:p>
    <w:p>
      <w:pPr>
        <w:spacing w:after="80"/>
      </w:pPr>
      <w:r>
        <w:rPr>
          <w:b/>
          <w:color w:val="0B1F3A"/>
          <w:sz w:val="56"/>
        </w:rPr>
        <w:t>4. Physics-informed feature construction</w:t>
      </w:r>
    </w:p>
    <w:p>
      <w:pPr>
        <w:spacing w:after="200"/>
      </w:pPr>
      <w:r>
        <w:rPr>
          <w:color w:val="5B6678"/>
          <w:sz w:val="24"/>
        </w:rPr>
        <w:t>Three derived variables were added to represent thermal state, mechanical work, and wear under load.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3427"/>
        <w:gridCol w:w="3427"/>
        <w:gridCol w:w="3427"/>
      </w:tblGrid>
      <w:tr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Temperature difference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Process temperature - air temperature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Represents thermal gap / heat-dissipation context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Angular velocity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RPM × 2π / 60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Converts rotational speed to rad/s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Mechanical power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Torque × angular velocity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Combines torque and rotational speed into work rate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Tool-wear load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Tool wear × torque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Interaction of accumulated wear and load</w:t>
            </w:r>
          </w:p>
        </w:tc>
      </w:tr>
    </w:tbl>
    <w:p>
      <w:pPr>
        <w:spacing w:after="40"/>
      </w:pPr>
    </w:p>
    <w:p>
      <w:pPr>
        <w:spacing w:after="100" w:line="257" w:lineRule="auto"/>
      </w:pPr>
      <w:r>
        <w:t>The final modeling feature set included Type, five raw operating variables, temperature difference, mechanical power and tool-wear load. The usefulness of engineered features was assessed within model performance rather than assumed a priori.</w:t>
      </w:r>
    </w:p>
    <w:p>
      <w:pPr>
        <w:pStyle w:val="Heading2"/>
        <w:spacing w:before="120" w:after="60"/>
      </w:pPr>
      <w:r>
        <w:t>Pipeline design</w:t>
      </w:r>
    </w:p>
    <w:p>
      <w:pPr>
        <w:spacing w:after="100" w:line="257" w:lineRule="auto"/>
      </w:pPr>
      <w:r>
        <w:t>A Scikit-learn ColumnTransformer handled categorical and numerical preprocessing, and each estimator was placed in a Pipeline. This ensured preprocessing was fit on training data only and consistently reused for inference.</w:t>
      </w:r>
    </w:p>
    <w:p>
      <w:r>
        <w:rPr>
          <w:b/>
          <w:color w:val="12A8E0"/>
          <w:sz w:val="18"/>
        </w:rPr>
        <w:t>BASELINE</w:t>
      </w:r>
    </w:p>
    <w:p>
      <w:pPr>
        <w:spacing w:after="80"/>
      </w:pPr>
      <w:r>
        <w:rPr>
          <w:b/>
          <w:color w:val="0B1F3A"/>
          <w:sz w:val="56"/>
        </w:rPr>
        <w:t>5. Baseline and linear-model experiments</w:t>
      </w:r>
    </w:p>
    <w:p>
      <w:pPr>
        <w:spacing w:after="200"/>
      </w:pPr>
      <w:r>
        <w:rPr>
          <w:color w:val="5B6678"/>
          <w:sz w:val="24"/>
        </w:rPr>
        <w:t>The baseline established why rare-event metrics matter and how class weighting changes the decision surface.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Naive Baseline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0.966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0.000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0.000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0.000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0.500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0.034</w:t>
            </w:r>
          </w:p>
        </w:tc>
      </w:tr>
      <w:tr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Logistic Regression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0.968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0.571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0.176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0.270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0.926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0.464</w:t>
            </w:r>
          </w:p>
        </w:tc>
      </w:tr>
      <w:tr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Balanced Logistic Regression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0.858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0.179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0.882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0.298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0.939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0.430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Interpretation</w:t>
      </w:r>
    </w:p>
    <w:p>
      <w:pPr>
        <w:pStyle w:val="ListBullet"/>
        <w:spacing w:after="40"/>
        <w:ind w:left="317"/>
      </w:pPr>
      <w:r>
        <w:t>Dummy majority classifier: 96.6% accuracy but zero true failures detected.</w:t>
      </w:r>
    </w:p>
    <w:p>
      <w:pPr>
        <w:pStyle w:val="ListBullet"/>
        <w:spacing w:after="40"/>
        <w:ind w:left="317"/>
      </w:pPr>
      <w:r>
        <w:t>Standard Logistic Regression: reasonable precision but only 17.6% recall, indicating a conservative boundary.</w:t>
      </w:r>
    </w:p>
    <w:p>
      <w:pPr>
        <w:pStyle w:val="ListBullet"/>
        <w:spacing w:after="40"/>
        <w:ind w:left="317"/>
      </w:pPr>
      <w:r>
        <w:t>Balanced Logistic Regression: recall increased to 88.2%, but precision dropped to 17.9%, creating a very high false-alert burden.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1769E0"/>
          </w:tcPr>
          <w:p/>
        </w:tc>
        <w:tc>
          <w:tcPr>
            <w:tcW w:type="dxa" w:w="5141"/>
            <w:shd w:fill="EEF7FF"/>
          </w:tcPr>
          <w:p>
            <w:r/>
            <w:r>
              <w:rPr>
                <w:b/>
                <w:color w:val="0B1F3A"/>
                <w:sz w:val="22"/>
              </w:rPr>
              <w:t>Technical lesson</w:t>
            </w:r>
          </w:p>
          <w:p>
            <w:pPr>
              <w:spacing w:after="40"/>
            </w:pPr>
            <w:r>
              <w:t>Class weighting can move the decision boundary substantially. A higher recall value is not automatically better if precision collapses and the operational false-positive cost becomes unacceptable.</w:t>
            </w:r>
          </w:p>
        </w:tc>
      </w:tr>
    </w:tbl>
    <w:p>
      <w:pPr>
        <w:spacing w:after="20"/>
      </w:pPr>
    </w:p>
    <w:p>
      <w:r>
        <w:rPr>
          <w:b/>
          <w:color w:val="12A8E0"/>
          <w:sz w:val="18"/>
        </w:rPr>
        <w:t>TREE MODELS</w:t>
      </w:r>
    </w:p>
    <w:p>
      <w:pPr>
        <w:spacing w:after="80"/>
      </w:pPr>
      <w:r>
        <w:rPr>
          <w:b/>
          <w:color w:val="0B1F3A"/>
          <w:sz w:val="56"/>
        </w:rPr>
        <w:t>6. Random Forest experiments</w:t>
      </w:r>
    </w:p>
    <w:p>
      <w:pPr>
        <w:spacing w:after="200"/>
      </w:pPr>
      <w:r>
        <w:rPr>
          <w:color w:val="5B6678"/>
          <w:sz w:val="24"/>
        </w:rPr>
        <w:t>Bagged decision trees were evaluated to capture nonlinear interactions without imposing a linear decision boundary.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469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Random Forest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.992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.965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.809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.880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.973</w:t>
            </w:r>
          </w:p>
        </w:tc>
        <w:tc>
          <w:tcPr>
            <w:tcW w:type="dxa" w:w="1469"/>
            <w:shd w:fill="F8FBFF"/>
          </w:tcPr>
          <w:p>
            <w:r/>
            <w:r>
              <w:rPr>
                <w:color w:val="172033"/>
                <w:sz w:val="16"/>
              </w:rPr>
              <w:t>.891</w:t>
            </w:r>
          </w:p>
        </w:tc>
      </w:tr>
      <w:tr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Balanced Random Forest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.990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.961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.721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.824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.971</w:t>
            </w:r>
          </w:p>
        </w:tc>
        <w:tc>
          <w:tcPr>
            <w:tcW w:type="dxa" w:w="1469"/>
          </w:tcPr>
          <w:p>
            <w:r/>
            <w:r>
              <w:rPr>
                <w:color w:val="172033"/>
                <w:sz w:val="16"/>
              </w:rPr>
              <w:t>.873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Decision</w:t>
      </w:r>
    </w:p>
    <w:p>
      <w:pPr>
        <w:spacing w:after="100" w:line="257" w:lineRule="auto"/>
      </w:pPr>
      <w:r>
        <w:t>The standard Random Forest became the leading candidate. Class weighting reduced recall and PR-AUC, so the balanced variant was rejected. This result demonstrated that imbalance handling needed to be empirical rather than formulaic.</w:t>
      </w:r>
    </w:p>
    <w:p>
      <w:pPr>
        <w:pStyle w:val="Heading2"/>
        <w:spacing w:before="120" w:after="60"/>
      </w:pPr>
      <w:r>
        <w:t>Random Forest strengths for this problem</w:t>
      </w:r>
    </w:p>
    <w:p>
      <w:pPr>
        <w:pStyle w:val="ListBullet"/>
        <w:spacing w:after="40"/>
        <w:ind w:left="317"/>
      </w:pPr>
      <w:r>
        <w:t>Captures nonlinear thresholds and feature interactions.</w:t>
      </w:r>
    </w:p>
    <w:p>
      <w:pPr>
        <w:pStyle w:val="ListBullet"/>
        <w:spacing w:after="40"/>
        <w:ind w:left="317"/>
      </w:pPr>
      <w:r>
        <w:t>Robust to mixed feature scales after pipeline preprocessing.</w:t>
      </w:r>
    </w:p>
    <w:p>
      <w:pPr>
        <w:pStyle w:val="ListBullet"/>
        <w:spacing w:after="40"/>
        <w:ind w:left="317"/>
      </w:pPr>
      <w:r>
        <w:t>Provides probability estimates for threshold optimization.</w:t>
      </w:r>
    </w:p>
    <w:p>
      <w:pPr>
        <w:pStyle w:val="ListBullet"/>
        <w:spacing w:after="40"/>
        <w:ind w:left="317"/>
      </w:pPr>
      <w:r>
        <w:t>Offers global importance measures that can be cross-checked with permutation importance.</w:t>
      </w:r>
    </w:p>
    <w:p>
      <w:r>
        <w:rPr>
          <w:b/>
          <w:color w:val="12A8E0"/>
          <w:sz w:val="18"/>
        </w:rPr>
        <w:t>BOOSTING CHALLENGER</w:t>
      </w:r>
    </w:p>
    <w:p>
      <w:pPr>
        <w:spacing w:after="80"/>
      </w:pPr>
      <w:r>
        <w:rPr>
          <w:b/>
          <w:color w:val="0B1F3A"/>
          <w:sz w:val="56"/>
        </w:rPr>
        <w:t>7. XGBoost experiments and hyperparameter rationale</w:t>
      </w:r>
    </w:p>
    <w:p>
      <w:pPr>
        <w:spacing w:after="200"/>
      </w:pPr>
      <w:r>
        <w:rPr>
          <w:color w:val="5B6678"/>
          <w:sz w:val="24"/>
        </w:rPr>
        <w:t>Gradient boosting was used as the primary challenger because it is strong on structured tabular data and optimizes sequential residual errors.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3427"/>
        <w:gridCol w:w="3427"/>
        <w:gridCol w:w="3427"/>
      </w:tblGrid>
      <w:tr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427"/>
            <w:shd w:fill="0B1F3A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n_estimators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300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Number of boosting trees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learning_rate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0.05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Contribution of each new tree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max_depth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4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Limits tree complexity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subsample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0.8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Row sampling to reduce overfit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colsample_bytree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0.8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Feature sampling per tree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objective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binary:logistic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Binary probability model</w:t>
            </w:r>
          </w:p>
        </w:tc>
      </w:tr>
      <w:tr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eval_metric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logloss</w:t>
            </w:r>
          </w:p>
        </w:tc>
        <w:tc>
          <w:tcPr>
            <w:tcW w:type="dxa" w:w="3427"/>
            <w:shd w:fill="F8FBFF"/>
          </w:tcPr>
          <w:p>
            <w:r/>
            <w:r>
              <w:rPr>
                <w:color w:val="172033"/>
                <w:sz w:val="16"/>
              </w:rPr>
              <w:t>Probability-quality loss during training</w:t>
            </w:r>
          </w:p>
        </w:tc>
      </w:tr>
      <w:tr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random_state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42</w:t>
            </w:r>
          </w:p>
        </w:tc>
        <w:tc>
          <w:tcPr>
            <w:tcW w:type="dxa" w:w="3427"/>
          </w:tcPr>
          <w:p>
            <w:r/>
            <w:r>
              <w:rPr>
                <w:color w:val="172033"/>
                <w:sz w:val="16"/>
              </w:rPr>
              <w:t>Reproducibility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714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PR-AUC</w:t>
            </w:r>
          </w:p>
        </w:tc>
      </w:tr>
      <w:tr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XGBoost</w:t>
            </w:r>
          </w:p>
        </w:tc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.914</w:t>
            </w:r>
          </w:p>
        </w:tc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.779</w:t>
            </w:r>
          </w:p>
        </w:tc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.841</w:t>
            </w:r>
          </w:p>
        </w:tc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.986</w:t>
            </w:r>
          </w:p>
        </w:tc>
        <w:tc>
          <w:tcPr>
            <w:tcW w:type="dxa" w:w="1714"/>
            <w:shd w:fill="F8FBFF"/>
          </w:tcPr>
          <w:p>
            <w:r/>
            <w:r>
              <w:rPr>
                <w:color w:val="172033"/>
                <w:sz w:val="16"/>
              </w:rPr>
              <w:t>.891</w:t>
            </w:r>
          </w:p>
        </w:tc>
      </w:tr>
      <w:tr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Balanced XGBoost</w:t>
            </w:r>
          </w:p>
        </w:tc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.806</w:t>
            </w:r>
          </w:p>
        </w:tc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.853</w:t>
            </w:r>
          </w:p>
        </w:tc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.829</w:t>
            </w:r>
          </w:p>
        </w:tc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.983</w:t>
            </w:r>
          </w:p>
        </w:tc>
        <w:tc>
          <w:tcPr>
            <w:tcW w:type="dxa" w:w="1714"/>
          </w:tcPr>
          <w:p>
            <w:r/>
            <w:r>
              <w:rPr>
                <w:color w:val="172033"/>
                <w:sz w:val="16"/>
              </w:rPr>
              <w:t>.887</w:t>
            </w:r>
          </w:p>
        </w:tc>
      </w:tr>
    </w:tbl>
    <w:p>
      <w:pPr>
        <w:spacing w:after="40"/>
      </w:pPr>
    </w:p>
    <w:p>
      <w:pPr>
        <w:spacing w:after="100" w:line="257" w:lineRule="auto"/>
      </w:pPr>
      <w:r>
        <w:t>XGBoost achieved the highest ROC-AUC (0.986) and tied Random Forest on PR-AUC (0.891), indicating excellent ranking ability. However, Random Forest delivered a better default precision-recall balance and higher F1.</w:t>
      </w:r>
    </w:p>
    <w:p>
      <w:r>
        <w:rPr>
          <w:b/>
          <w:color w:val="12A8E0"/>
          <w:sz w:val="18"/>
        </w:rPr>
        <w:t>MODEL COMPARISON</w:t>
      </w:r>
    </w:p>
    <w:p>
      <w:pPr>
        <w:spacing w:after="80"/>
      </w:pPr>
      <w:r>
        <w:rPr>
          <w:b/>
          <w:color w:val="0B1F3A"/>
          <w:sz w:val="56"/>
        </w:rPr>
        <w:t>8. Selection across metrics</w:t>
      </w:r>
    </w:p>
    <w:p>
      <w:pPr>
        <w:spacing w:after="200"/>
      </w:pPr>
      <w:r>
        <w:rPr>
          <w:color w:val="5B6678"/>
          <w:sz w:val="24"/>
        </w:rPr>
        <w:t>Model ranking quality and classification performance at a specific threshold were evaluated separately.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2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Selection criterion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Random Forest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XGBoost</w:t>
            </w:r>
          </w:p>
        </w:tc>
        <w:tc>
          <w:tcPr>
            <w:tcW w:type="dxa" w:w="2570"/>
            <w:shd w:fill="0B1F3A"/>
          </w:tcPr>
          <w:p>
            <w:r/>
            <w:r>
              <w:rPr>
                <w:b/>
                <w:color w:val="FFFFFF"/>
                <w:sz w:val="16"/>
              </w:rPr>
              <w:t>Technical conclusion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Default F1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.880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.841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Random Forest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Default precision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.965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.914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Random Forest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Default recall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.809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.779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Random Forest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ROC-AUC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.973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.986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XGBoost</w:t>
            </w:r>
          </w:p>
        </w:tc>
      </w:tr>
      <w:tr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PR-AUC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.891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.891</w:t>
            </w:r>
          </w:p>
        </w:tc>
        <w:tc>
          <w:tcPr>
            <w:tcW w:type="dxa" w:w="2570"/>
            <w:shd w:fill="F8FBFF"/>
          </w:tcPr>
          <w:p>
            <w:r/>
            <w:r>
              <w:rPr>
                <w:color w:val="172033"/>
                <w:sz w:val="16"/>
              </w:rPr>
              <w:t>Tie</w:t>
            </w:r>
          </w:p>
        </w:tc>
      </w:tr>
      <w:tr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85%+ recall precision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.787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.663</w:t>
            </w:r>
          </w:p>
        </w:tc>
        <w:tc>
          <w:tcPr>
            <w:tcW w:type="dxa" w:w="2570"/>
          </w:tcPr>
          <w:p>
            <w:r/>
            <w:r>
              <w:rPr>
                <w:color w:val="172033"/>
                <w:sz w:val="16"/>
              </w:rPr>
              <w:t>Random Forest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00A38C"/>
          </w:tcPr>
          <w:p/>
        </w:tc>
        <w:tc>
          <w:tcPr>
            <w:tcW w:type="dxa" w:w="5141"/>
            <w:shd w:fill="EAF8F5"/>
          </w:tcPr>
          <w:p>
            <w:r/>
            <w:r>
              <w:rPr>
                <w:b/>
                <w:color w:val="0B1F3A"/>
                <w:sz w:val="22"/>
              </w:rPr>
              <w:t>Selection rationale</w:t>
            </w:r>
          </w:p>
          <w:p>
            <w:pPr>
              <w:spacing w:after="40"/>
            </w:pPr>
            <w:r>
              <w:t>XGBoost ranked observations extremely well, but Random Forest produced the better operational classifier at both the default threshold and the high-recall business constraint.</w:t>
            </w:r>
          </w:p>
        </w:tc>
      </w:tr>
    </w:tbl>
    <w:p>
      <w:pPr>
        <w:spacing w:after="20"/>
      </w:pPr>
    </w:p>
    <w:p>
      <w:r>
        <w:rPr>
          <w:b/>
          <w:color w:val="12A8E0"/>
          <w:sz w:val="18"/>
        </w:rPr>
        <w:t>THRESHOLD ANALYSIS</w:t>
      </w:r>
    </w:p>
    <w:p>
      <w:pPr>
        <w:spacing w:after="80"/>
      </w:pPr>
      <w:r>
        <w:rPr>
          <w:b/>
          <w:color w:val="0B1F3A"/>
          <w:sz w:val="56"/>
        </w:rPr>
        <w:t>9. Probability threshold optimization</w:t>
      </w:r>
    </w:p>
    <w:p>
      <w:pPr>
        <w:spacing w:after="200"/>
      </w:pPr>
      <w:r>
        <w:rPr>
          <w:color w:val="5B6678"/>
          <w:sz w:val="24"/>
        </w:rPr>
        <w:t>Threshold optimization separated model training from the business decision rule.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6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thres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61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0B1F3A"/>
          </w:tcPr>
          <w:p>
            <w:r/>
            <w:r>
              <w:rPr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2056"/>
            <w:shd w:fill="0B1F3A"/>
          </w:tcPr>
          <w:p>
            <w:r/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2056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2056"/>
            <w:shd w:fill="0B1F3A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2056"/>
            <w:shd w:fill="0B1F3A"/>
          </w:tcPr>
          <w:p>
            <w:r/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0.20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78.7%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86.8%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82.5%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Failure-detection-first policy</w:t>
            </w:r>
          </w:p>
        </w:tc>
      </w:tr>
      <w:tr>
        <w:tc>
          <w:tcPr>
            <w:tcW w:type="dxa" w:w="2056"/>
          </w:tcPr>
          <w:p>
            <w:r/>
            <w:r>
              <w:rPr>
                <w:color w:val="172033"/>
                <w:sz w:val="16"/>
              </w:rPr>
              <w:t>0.40</w:t>
            </w:r>
          </w:p>
        </w:tc>
        <w:tc>
          <w:tcPr>
            <w:tcW w:type="dxa" w:w="2056"/>
          </w:tcPr>
          <w:p>
            <w:r/>
            <w:r>
              <w:rPr>
                <w:color w:val="172033"/>
                <w:sz w:val="16"/>
              </w:rPr>
              <w:t>96.6%</w:t>
            </w:r>
          </w:p>
        </w:tc>
        <w:tc>
          <w:tcPr>
            <w:tcW w:type="dxa" w:w="2056"/>
          </w:tcPr>
          <w:p>
            <w:r/>
            <w:r>
              <w:rPr>
                <w:color w:val="172033"/>
                <w:sz w:val="16"/>
              </w:rPr>
              <w:t>82.4%</w:t>
            </w:r>
          </w:p>
        </w:tc>
        <w:tc>
          <w:tcPr>
            <w:tcW w:type="dxa" w:w="2056"/>
          </w:tcPr>
          <w:p>
            <w:r/>
            <w:r>
              <w:rPr>
                <w:color w:val="172033"/>
                <w:sz w:val="16"/>
              </w:rPr>
              <w:t>88.9%</w:t>
            </w:r>
          </w:p>
        </w:tc>
        <w:tc>
          <w:tcPr>
            <w:tcW w:type="dxa" w:w="2056"/>
          </w:tcPr>
          <w:p>
            <w:r/>
            <w:r>
              <w:rPr>
                <w:color w:val="172033"/>
                <w:sz w:val="16"/>
              </w:rPr>
              <w:t>Best F1 in evaluated grid</w:t>
            </w:r>
          </w:p>
        </w:tc>
      </w:tr>
      <w:tr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0.50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96.5%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80.9%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88.0%</w:t>
            </w:r>
          </w:p>
        </w:tc>
        <w:tc>
          <w:tcPr>
            <w:tcW w:type="dxa" w:w="2056"/>
            <w:shd w:fill="F8FBFF"/>
          </w:tcPr>
          <w:p>
            <w:r/>
            <w:r>
              <w:rPr>
                <w:color w:val="172033"/>
                <w:sz w:val="16"/>
              </w:rPr>
              <w:t>Default high-confidence policy</w:t>
            </w:r>
          </w:p>
        </w:tc>
      </w:tr>
    </w:tbl>
    <w:p>
      <w:pPr>
        <w:spacing w:after="40"/>
      </w:pPr>
    </w:p>
    <w:p>
      <w:pPr>
        <w:spacing w:after="100" w:line="257" w:lineRule="auto"/>
      </w:pPr>
      <w:r>
        <w:t>For the business-oriented requirement of at least 85% recall, Random Forest achieved 86.8% recall at threshold 0.20 with 78.7% precision. XGBoost reached 86.8% recall at threshold 0.10 but precision fell to 66.3%.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E44D5E"/>
          </w:tcPr>
          <w:p/>
        </w:tc>
        <w:tc>
          <w:tcPr>
            <w:tcW w:type="dxa" w:w="5141"/>
            <w:shd w:fill="FDEFF1"/>
          </w:tcPr>
          <w:p>
            <w:r/>
            <w:r>
              <w:rPr>
                <w:b/>
                <w:color w:val="0B1F3A"/>
                <w:sz w:val="22"/>
              </w:rPr>
              <w:t>Validation caution</w:t>
            </w:r>
          </w:p>
          <w:p>
            <w:pPr>
              <w:spacing w:after="40"/>
            </w:pPr>
            <w:r>
              <w:t>The threshold grid was evaluated on the held-out test set. In a production-quality workflow, threshold selection should be tuned on validation data or cross-validation and the final test set reserved for one-time unbiased evaluation.</w:t>
            </w:r>
          </w:p>
        </w:tc>
      </w:tr>
    </w:tbl>
    <w:p>
      <w:pPr>
        <w:spacing w:after="20"/>
      </w:pPr>
    </w:p>
    <w:p>
      <w:r>
        <w:rPr>
          <w:b/>
          <w:color w:val="12A8E0"/>
          <w:sz w:val="18"/>
        </w:rPr>
        <w:t>EXPLAINABILITY</w:t>
      </w:r>
    </w:p>
    <w:p>
      <w:pPr>
        <w:spacing w:after="80"/>
      </w:pPr>
      <w:r>
        <w:rPr>
          <w:b/>
          <w:color w:val="0B1F3A"/>
          <w:sz w:val="56"/>
        </w:rPr>
        <w:t>10. Global model interpretation</w:t>
      </w:r>
    </w:p>
    <w:p>
      <w:pPr>
        <w:spacing w:after="200"/>
      </w:pPr>
      <w:r>
        <w:rPr>
          <w:color w:val="5B6678"/>
          <w:sz w:val="24"/>
        </w:rPr>
        <w:t>Two complementary importance methods were used to understand which predictors the final model relied upon.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094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60"/>
      </w:pPr>
      <w:r>
        <w:t>Built-in tree importance</w:t>
      </w:r>
    </w:p>
    <w:p>
      <w:pPr>
        <w:spacing w:after="100" w:line="257" w:lineRule="auto"/>
      </w:pPr>
      <w:r>
        <w:t>Mechanical power and tool-wear load were the largest built-in importance contributors, followed by rotational speed, torque and temperature difference.</w:t>
      </w:r>
    </w:p>
    <w:p>
      <w:pPr>
        <w:pStyle w:val="Heading2"/>
        <w:spacing w:before="120" w:after="60"/>
      </w:pPr>
      <w:r>
        <w:t>Permutation importance</w:t>
      </w:r>
    </w:p>
    <w:p>
      <w:pPr>
        <w:spacing w:after="100" w:line="257" w:lineRule="auto"/>
      </w:pPr>
      <w:r>
        <w:t>Randomly shuffling individual features produced the largest F1 degradation for rotational speed, temperature difference and tool-wear load. Process temperature had approximately zero/slightly negative permutation importance in this test set, suggesting limited incremental value after accounting for correlated variables.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F59E0B"/>
          </w:tcPr>
          <w:p/>
        </w:tc>
        <w:tc>
          <w:tcPr>
            <w:tcW w:type="dxa" w:w="5141"/>
            <w:shd w:fill="FFF7E6"/>
          </w:tcPr>
          <w:p>
            <w:r/>
            <w:r>
              <w:rPr>
                <w:b/>
                <w:color w:val="0B1F3A"/>
                <w:sz w:val="22"/>
              </w:rPr>
              <w:t>Correlation caveat</w:t>
            </w:r>
          </w:p>
          <w:p>
            <w:pPr>
              <w:spacing w:after="40"/>
            </w:pPr>
            <w:r>
              <w:t>Importance can be split across correlated raw and engineered variables. Global importance describes predictive dependence, not causality or a safe operating limit.</w:t>
            </w:r>
          </w:p>
        </w:tc>
      </w:tr>
    </w:tbl>
    <w:p>
      <w:pPr>
        <w:spacing w:after="20"/>
      </w:pPr>
    </w:p>
    <w:p>
      <w:r>
        <w:rPr>
          <w:b/>
          <w:color w:val="12A8E0"/>
          <w:sz w:val="18"/>
        </w:rPr>
        <w:t>FINAL EVALUATION</w:t>
      </w:r>
    </w:p>
    <w:p>
      <w:pPr>
        <w:spacing w:after="80"/>
      </w:pPr>
      <w:r>
        <w:rPr>
          <w:b/>
          <w:color w:val="0B1F3A"/>
          <w:sz w:val="56"/>
        </w:rPr>
        <w:t>11. Hold-out test performance and error profile</w:t>
      </w:r>
    </w:p>
    <w:p>
      <w:pPr>
        <w:spacing w:after="200"/>
      </w:pPr>
      <w:r>
        <w:rPr>
          <w:color w:val="5B6678"/>
          <w:sz w:val="24"/>
        </w:rPr>
        <w:t>The final Random Forest pipeline was evaluated at threshold 0.50.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2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29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0.992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accuracy</w:t>
            </w:r>
          </w:p>
        </w:tc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0.965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precision</w:t>
            </w:r>
          </w:p>
        </w:tc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0.809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recall</w:t>
            </w:r>
          </w:p>
        </w:tc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0.880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F1</w:t>
            </w:r>
          </w:p>
        </w:tc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0.973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ROC-AUC</w:t>
            </w:r>
          </w:p>
        </w:tc>
        <w:tc>
          <w:tcPr>
            <w:tcW w:type="dxa" w:w="1714"/>
            <w:shd w:fill="F4F8FD"/>
          </w:tcPr>
          <w:p>
            <w:pPr>
              <w:jc w:val="center"/>
            </w:pPr>
            <w:r/>
            <w:r>
              <w:rPr>
                <w:b/>
                <w:color w:val="1769E0"/>
                <w:sz w:val="40"/>
              </w:rPr>
              <w:t>0.891</w:t>
            </w:r>
          </w:p>
          <w:p>
            <w:pPr>
              <w:jc w:val="center"/>
            </w:pPr>
            <w:r>
              <w:rPr>
                <w:color w:val="5B6678"/>
                <w:sz w:val="15"/>
              </w:rPr>
              <w:t>PR-AUC</w:t>
            </w:r>
          </w:p>
        </w:tc>
      </w:tr>
    </w:tbl>
    <w:p>
      <w:pPr>
        <w:spacing w:after="40"/>
      </w:pPr>
    </w:p>
    <w:p>
      <w:pPr>
        <w:spacing w:after="100" w:line="257" w:lineRule="auto"/>
      </w:pPr>
      <w:r>
        <w:t>Confusion matrix counts: TN=1,930; FP=2; FN=13; TP=55. The default operating point is precision-oriented: only two false alerts occurred, while 13 of 68 failures were missed.</w:t>
      </w:r>
    </w:p>
    <w:p>
      <w:pPr>
        <w:pStyle w:val="Heading2"/>
        <w:spacing w:before="120" w:after="60"/>
      </w:pPr>
      <w:r>
        <w:t>Alternative operating point</w:t>
      </w:r>
    </w:p>
    <w:p>
      <w:pPr>
        <w:spacing w:after="100" w:line="257" w:lineRule="auto"/>
      </w:pPr>
      <w:r>
        <w:t>At threshold 0.20, recall increased to 86.8% and predicted failures increased from 57 to 75. This higher-recall configuration should only be selected after quantifying the maintenance burden and economic value of the additional captured failures.</w:t>
      </w:r>
    </w:p>
    <w:p>
      <w:r>
        <w:rPr>
          <w:b/>
          <w:color w:val="12A8E0"/>
          <w:sz w:val="18"/>
        </w:rPr>
        <w:t>MODEL ARTIFACT</w:t>
      </w:r>
    </w:p>
    <w:p>
      <w:pPr>
        <w:spacing w:after="80"/>
      </w:pPr>
      <w:r>
        <w:rPr>
          <w:b/>
          <w:color w:val="0B1F3A"/>
          <w:sz w:val="56"/>
        </w:rPr>
        <w:t>12. Reproducibility and inference design</w:t>
      </w:r>
    </w:p>
    <w:p>
      <w:pPr>
        <w:spacing w:after="200"/>
      </w:pPr>
      <w:r>
        <w:rPr>
          <w:color w:val="5B6678"/>
          <w:sz w:val="24"/>
        </w:rPr>
        <w:t>The final preprocessing-plus-model pipeline was serialized as a single reusable artifact.</w:t>
      </w:r>
    </w:p>
    <w:p>
      <w:pPr>
        <w:pStyle w:val="Heading2"/>
        <w:spacing w:before="120" w:after="60"/>
      </w:pPr>
      <w:r>
        <w:t>Saved artifact</w:t>
      </w:r>
    </w:p>
    <w:p>
      <w:pPr>
        <w:spacing w:after="100" w:line="257" w:lineRule="auto"/>
      </w:pPr>
      <w:r>
        <w:t>The notebook saved the Random Forest pipeline to predictive_maintenance_random_forest.pkl using joblib. Reloading the artifact reproduced approximately 99.25% accuracy on the same held-out test data.</w:t>
      </w:r>
    </w:p>
    <w:p>
      <w:pPr>
        <w:pStyle w:val="Heading2"/>
        <w:spacing w:before="120" w:after="60"/>
      </w:pPr>
      <w:r>
        <w:t>Why the pipeline artifact matters</w:t>
      </w:r>
    </w:p>
    <w:p>
      <w:pPr>
        <w:pStyle w:val="ListBullet"/>
        <w:spacing w:after="40"/>
        <w:ind w:left="317"/>
      </w:pPr>
      <w:r>
        <w:t>One-hot encoding and numeric scaling travel with the estimator.</w:t>
      </w:r>
    </w:p>
    <w:p>
      <w:pPr>
        <w:pStyle w:val="ListBullet"/>
        <w:spacing w:after="40"/>
        <w:ind w:left="317"/>
      </w:pPr>
      <w:r>
        <w:t>New observations receive the exact transformations used during model training.</w:t>
      </w:r>
    </w:p>
    <w:p>
      <w:pPr>
        <w:pStyle w:val="ListBullet"/>
        <w:spacing w:after="40"/>
        <w:ind w:left="317"/>
      </w:pPr>
      <w:r>
        <w:t>The artifact can be versioned and tested as a single inference unit.</w:t>
      </w:r>
    </w:p>
    <w:p>
      <w:pPr>
        <w:pStyle w:val="Heading2"/>
        <w:spacing w:before="120" w:after="60"/>
      </w:pPr>
      <w:r>
        <w:t>Production metadata to add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5141"/>
        <w:gridCol w:w="5141"/>
      </w:tblGrid>
      <w:tr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Model version / Git commit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Reproducibility and rollback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Training dataset version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Lineage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Feature schema version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Input compatibility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Threshold version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Decision-policy traceability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Training date + metrics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Performance history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Approval state / owner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Governance</w:t>
            </w:r>
          </w:p>
        </w:tc>
      </w:tr>
    </w:tbl>
    <w:p>
      <w:pPr>
        <w:spacing w:after="40"/>
      </w:pPr>
    </w:p>
    <w:p>
      <w:r>
        <w:rPr>
          <w:b/>
          <w:color w:val="12A8E0"/>
          <w:sz w:val="18"/>
        </w:rPr>
        <w:t>PRODUCTION ARCHITECTURE</w:t>
      </w:r>
    </w:p>
    <w:p>
      <w:pPr>
        <w:spacing w:after="80"/>
      </w:pPr>
      <w:r>
        <w:rPr>
          <w:b/>
          <w:color w:val="0B1F3A"/>
          <w:sz w:val="56"/>
        </w:rPr>
        <w:t>13. Recommended MLOps extension</w:t>
      </w:r>
    </w:p>
    <w:p>
      <w:pPr>
        <w:spacing w:after="200"/>
      </w:pPr>
      <w:r>
        <w:rPr>
          <w:color w:val="5B6678"/>
          <w:sz w:val="24"/>
        </w:rPr>
        <w:t>The notebook is sufficient for proof of concept; production use requires data, software, model, and governance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927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27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5141"/>
        <w:gridCol w:w="5141"/>
      </w:tblGrid>
      <w:tr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Recommended capability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Data ingestion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Historian / PLC / sensor ingestion with timestamp and asset identity controls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Validation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Schema, range, missingness, unit and sensor-quality tests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Feature pipeline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Versioned feature transformations with train/inference parity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Model serving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Batch or API scoring with versioned model + threshold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Decision integration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CMMS/work-order or monitoring dashboard with human approval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Monitoring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Input drift, prediction drift, alert rate, outcome metrics, latency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Retraining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Governed trigger, validation gates and rollback</w:t>
            </w:r>
          </w:p>
        </w:tc>
      </w:tr>
    </w:tbl>
    <w:p>
      <w:pPr>
        <w:spacing w:after="40"/>
      </w:pPr>
    </w:p>
    <w:p>
      <w:r>
        <w:rPr>
          <w:b/>
          <w:color w:val="12A8E0"/>
          <w:sz w:val="18"/>
        </w:rPr>
        <w:t>VALIDATION AND MONITORING</w:t>
      </w:r>
    </w:p>
    <w:p>
      <w:pPr>
        <w:spacing w:after="80"/>
      </w:pPr>
      <w:r>
        <w:rPr>
          <w:b/>
          <w:color w:val="0B1F3A"/>
          <w:sz w:val="56"/>
        </w:rPr>
        <w:t>14. Enterprise acceptance criteria</w:t>
      </w:r>
    </w:p>
    <w:p>
      <w:pPr>
        <w:spacing w:after="200"/>
      </w:pPr>
      <w:r>
        <w:rPr>
          <w:color w:val="5B6678"/>
          <w:sz w:val="24"/>
        </w:rPr>
        <w:t>A technically strong model is not production-ready until performance remains stable under real operating conditions.</w:t>
      </w:r>
    </w:p>
    <w:p>
      <w:pPr>
        <w:pStyle w:val="Heading2"/>
        <w:spacing w:before="120" w:after="60"/>
      </w:pPr>
      <w:r>
        <w:t>Recommended validation tests</w:t>
      </w:r>
    </w:p>
    <w:p>
      <w:pPr>
        <w:pStyle w:val="ListBullet"/>
        <w:spacing w:after="40"/>
        <w:ind w:left="317"/>
      </w:pPr>
      <w:r>
        <w:t>Time-based holdout to test future generalization.</w:t>
      </w:r>
    </w:p>
    <w:p>
      <w:pPr>
        <w:pStyle w:val="ListBullet"/>
        <w:spacing w:after="40"/>
        <w:ind w:left="317"/>
      </w:pPr>
      <w:r>
        <w:t>Asset-level or site-level holdout to test transferability.</w:t>
      </w:r>
    </w:p>
    <w:p>
      <w:pPr>
        <w:pStyle w:val="ListBullet"/>
        <w:spacing w:after="40"/>
        <w:ind w:left="317"/>
      </w:pPr>
      <w:r>
        <w:t>Cross-validation within training data for hyperparameter and threshold tuning.</w:t>
      </w:r>
    </w:p>
    <w:p>
      <w:pPr>
        <w:pStyle w:val="ListBullet"/>
        <w:spacing w:after="40"/>
        <w:ind w:left="317"/>
      </w:pPr>
      <w:r>
        <w:t>Calibration analysis to verify whether predicted probabilities reflect observed risk.</w:t>
      </w:r>
    </w:p>
    <w:p>
      <w:pPr>
        <w:pStyle w:val="ListBullet"/>
        <w:spacing w:after="40"/>
        <w:ind w:left="317"/>
      </w:pPr>
      <w:r>
        <w:t>Stress tests for missing sensors, out-of-range values, new machine types and distribution shifts.</w:t>
      </w:r>
    </w:p>
    <w:p>
      <w:pPr>
        <w:pStyle w:val="ListBullet"/>
        <w:spacing w:after="40"/>
        <w:ind w:left="317"/>
      </w:pPr>
      <w:r>
        <w:t>Subgroup metrics by asset type, line, site, shift and operating regime.</w:t>
      </w:r>
    </w:p>
    <w:p>
      <w:pPr>
        <w:pStyle w:val="Heading2"/>
        <w:spacing w:before="120" w:after="60"/>
      </w:pPr>
      <w:r>
        <w:t>Monitoring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7E3F3"/>
          <w:left w:val="single" w:sz="4" w:color="D7E3F3"/>
          <w:bottom w:val="single" w:sz="4" w:color="D7E3F3"/>
          <w:right w:val="single" w:sz="4" w:color="D7E3F3"/>
          <w:insideH w:val="single" w:sz="4" w:color="D7E3F3"/>
          <w:insideV w:val="single" w:sz="4" w:color="D7E3F3"/>
        </w:tblBorders>
      </w:tblPr>
      <w:tblGrid>
        <w:gridCol w:w="5141"/>
        <w:gridCol w:w="5141"/>
      </w:tblGrid>
      <w:tr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41"/>
            <w:shd w:fill="0B1F3A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Data quality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Missingness, range violations, stale sensors, schema drift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Drift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PSI/KS or distribution change by critical feature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Prediction behavior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Alert rate, score distribution, threshold crossings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Outcome performance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Precision, recall, F1, PR-AUC when labels mature</w:t>
            </w:r>
          </w:p>
        </w:tc>
      </w:tr>
      <w:tr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Operational</w:t>
            </w:r>
          </w:p>
        </w:tc>
        <w:tc>
          <w:tcPr>
            <w:tcW w:type="dxa" w:w="5141"/>
            <w:shd w:fill="F8FBFF"/>
          </w:tcPr>
          <w:p>
            <w:r/>
            <w:r>
              <w:rPr>
                <w:color w:val="172033"/>
                <w:sz w:val="16"/>
              </w:rPr>
              <w:t>Inspection volume, confirmed faults, avoided downtime, latency</w:t>
            </w:r>
          </w:p>
        </w:tc>
      </w:tr>
      <w:tr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Governance</w:t>
            </w:r>
          </w:p>
        </w:tc>
        <w:tc>
          <w:tcPr>
            <w:tcW w:type="dxa" w:w="5141"/>
          </w:tcPr>
          <w:p>
            <w:r/>
            <w:r>
              <w:rPr>
                <w:color w:val="172033"/>
                <w:sz w:val="16"/>
              </w:rPr>
              <w:t>Model version, threshold changes, retraining approvals, rollback events</w:t>
            </w:r>
          </w:p>
        </w:tc>
      </w:tr>
    </w:tbl>
    <w:p>
      <w:pPr>
        <w:spacing w:after="40"/>
      </w:pPr>
    </w:p>
    <w:p>
      <w:r>
        <w:rPr>
          <w:b/>
          <w:color w:val="12A8E0"/>
          <w:sz w:val="18"/>
        </w:rPr>
        <w:t>LIMITATIONS</w:t>
      </w:r>
    </w:p>
    <w:p>
      <w:pPr>
        <w:spacing w:after="80"/>
      </w:pPr>
      <w:r>
        <w:rPr>
          <w:b/>
          <w:color w:val="0B1F3A"/>
          <w:sz w:val="56"/>
        </w:rPr>
        <w:t>15. Technical limitations and future improvements</w:t>
      </w:r>
    </w:p>
    <w:p>
      <w:pPr>
        <w:spacing w:after="200"/>
      </w:pPr>
      <w:r>
        <w:rPr>
          <w:color w:val="5B6678"/>
          <w:sz w:val="24"/>
        </w:rPr>
        <w:t>The proof of concept is strong enough to justify further validation, but not to support unrestricted deployment.</w:t>
      </w:r>
    </w:p>
    <w:p>
      <w:pPr>
        <w:pStyle w:val="ListBullet"/>
        <w:spacing w:after="40"/>
        <w:ind w:left="317"/>
      </w:pPr>
      <w:r>
        <w:t>Simulated/public dataset: real plant data may contain different noise, failure mechanisms, maintenance practices and sensor quality.</w:t>
      </w:r>
    </w:p>
    <w:p>
      <w:pPr>
        <w:pStyle w:val="ListBullet"/>
        <w:spacing w:after="40"/>
        <w:ind w:left="317"/>
      </w:pPr>
      <w:r>
        <w:t>Only 339 failures: rare-event estimates can be sensitive to sample composition.</w:t>
      </w:r>
    </w:p>
    <w:p>
      <w:pPr>
        <w:pStyle w:val="ListBullet"/>
        <w:spacing w:after="40"/>
        <w:ind w:left="317"/>
      </w:pPr>
      <w:r>
        <w:t>Snapshot observations: no true machine-level degradation sequence or time-to-failure target.</w:t>
      </w:r>
    </w:p>
    <w:p>
      <w:pPr>
        <w:pStyle w:val="ListBullet"/>
        <w:spacing w:after="40"/>
        <w:ind w:left="317"/>
      </w:pPr>
      <w:r>
        <w:t>Same-source train/test split: does not demonstrate generalization across sites, assets or time.</w:t>
      </w:r>
    </w:p>
    <w:p>
      <w:pPr>
        <w:pStyle w:val="ListBullet"/>
        <w:spacing w:after="40"/>
        <w:ind w:left="317"/>
      </w:pPr>
      <w:r>
        <w:t>Threshold optimization touched the held-out test set: future work should use validation data/cross-validation for threshold selection.</w:t>
      </w:r>
    </w:p>
    <w:p>
      <w:pPr>
        <w:pStyle w:val="ListBullet"/>
        <w:spacing w:after="40"/>
        <w:ind w:left="317"/>
      </w:pPr>
      <w:r>
        <w:t>No probability calibration study was performed.</w:t>
      </w:r>
    </w:p>
    <w:p>
      <w:pPr>
        <w:pStyle w:val="ListBullet"/>
        <w:spacing w:after="40"/>
        <w:ind w:left="317"/>
      </w:pPr>
      <w:r>
        <w:t>No hyperparameter search or nested validation was performed; XGBoost parameters were reasonable starting values, not proven optima.</w:t>
      </w:r>
    </w:p>
    <w:p>
      <w:pPr>
        <w:pStyle w:val="ListBullet"/>
        <w:spacing w:after="40"/>
        <w:ind w:left="317"/>
      </w:pPr>
      <w:r>
        <w:t>Feature importance does not establish root cause.</w:t>
      </w:r>
    </w:p>
    <w:p>
      <w:pPr>
        <w:pStyle w:val="Heading2"/>
        <w:spacing w:before="120" w:after="60"/>
      </w:pPr>
      <w:r>
        <w:t>High-value future improvements</w:t>
      </w:r>
    </w:p>
    <w:p>
      <w:pPr>
        <w:pStyle w:val="ListBullet"/>
        <w:spacing w:after="40"/>
        <w:ind w:left="317"/>
      </w:pPr>
      <w:r>
        <w:t>Collect longitudinal telemetry and maintenance-event history to model time-to-failure and degradation trends.</w:t>
      </w:r>
    </w:p>
    <w:p>
      <w:pPr>
        <w:pStyle w:val="ListBullet"/>
        <w:spacing w:after="40"/>
        <w:ind w:left="317"/>
      </w:pPr>
      <w:r>
        <w:t>Add rolling statistics, rate-of-change and vibration/current/pressure features when real time-series data is available.</w:t>
      </w:r>
    </w:p>
    <w:p>
      <w:pPr>
        <w:pStyle w:val="ListBullet"/>
        <w:spacing w:after="40"/>
        <w:ind w:left="317"/>
      </w:pPr>
      <w:r>
        <w:t>Use cross-validated hyperparameter optimization and probability calibration.</w:t>
      </w:r>
    </w:p>
    <w:p>
      <w:pPr>
        <w:pStyle w:val="ListBullet"/>
        <w:spacing w:after="40"/>
        <w:ind w:left="317"/>
      </w:pPr>
      <w:r>
        <w:t>Evaluate cost-sensitive objective functions using real downtime and inspection costs.</w:t>
      </w:r>
    </w:p>
    <w:p>
      <w:pPr>
        <w:pStyle w:val="ListBullet"/>
        <w:spacing w:after="40"/>
        <w:ind w:left="317"/>
      </w:pPr>
      <w:r>
        <w:t>Add SHAP or local explanations for individual high-risk predictions.</w:t>
      </w:r>
    </w:p>
    <w:p>
      <w:pPr>
        <w:pStyle w:val="ListBullet"/>
        <w:spacing w:after="40"/>
        <w:ind w:left="317"/>
      </w:pPr>
      <w:r>
        <w:t>Implement experiment tracking/model registry, drift monitoring, CI/CD testing, and controlled retraining.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5"/>
        <w:gridCol w:w="9648"/>
      </w:tblGrid>
      <w:tr>
        <w:tc>
          <w:tcPr>
            <w:tcW w:type="dxa" w:w="5141"/>
            <w:shd w:fill="00A38C"/>
          </w:tcPr>
          <w:p/>
        </w:tc>
        <w:tc>
          <w:tcPr>
            <w:tcW w:type="dxa" w:w="5141"/>
            <w:shd w:fill="EAF8F5"/>
          </w:tcPr>
          <w:p>
            <w:r/>
            <w:r>
              <w:rPr>
                <w:b/>
                <w:color w:val="0B1F3A"/>
                <w:sz w:val="22"/>
              </w:rPr>
              <w:t>Final technical conclusion</w:t>
            </w:r>
          </w:p>
          <w:p>
            <w:pPr>
              <w:spacing w:after="40"/>
            </w:pPr>
            <w:r>
              <w:t>Random Forest was selected because it delivered the strongest operational precision-recall balance, not because it dominated every metric. XGBoost had the best ROC-AUC, but Random Forest converted ranking quality into a better decision policy under both default and 85%+ recall scenarios.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8"/>
        <w:sz w:val="15"/>
      </w:rPr>
      <w:t>Predictive Maintenance | Technical Model &amp; MLOps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3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