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The final piece of the SLMP outreach was conducted October 4th, 2022 including 19 focus group participants with a range of experience and involvement in the sector. Kerry Jothen and Mark Smith began the meeting with indigenous acknowledgement followed by introductions around the room. Kerry begins by providing an explanation of the SLMP project’s purpose and objectives followed by key themes from the literature review, interviews, SWOT analysis, seaweed related training programs, and the online survey to give a high level overview of the project so far. This information led into ideas going forward and potential opportunities for expanding on some of these ideas. </w:t>
      </w:r>
    </w:p>
    <w:p w:rsidR="00000000" w:rsidDel="00000000" w:rsidP="00000000" w:rsidRDefault="00000000" w:rsidRPr="00000000" w14:paraId="00000002">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The discussion questions were provided to the focus group attendees prior to the meeting and introduced by Kerry in the meeting as listed below:</w:t>
      </w:r>
    </w:p>
    <w:p w:rsidR="00000000" w:rsidDel="00000000" w:rsidP="00000000" w:rsidRDefault="00000000" w:rsidRPr="00000000" w14:paraId="00000003">
      <w:pPr>
        <w:numPr>
          <w:ilvl w:val="0"/>
          <w:numId w:val="1"/>
        </w:numPr>
        <w:spacing w:line="48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barriers and opportunities need to be addressed to support short-term and long-term growth of the BC seaweed sector?</w:t>
      </w:r>
    </w:p>
    <w:p w:rsidR="00000000" w:rsidDel="00000000" w:rsidP="00000000" w:rsidRDefault="00000000" w:rsidRPr="00000000" w14:paraId="00000004">
      <w:pPr>
        <w:numPr>
          <w:ilvl w:val="0"/>
          <w:numId w:val="1"/>
        </w:numPr>
        <w:spacing w:line="3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How and among whom can we collectively increase awareness of the importance and opportunities regarding seaweed in BC coastal communities?</w:t>
      </w:r>
    </w:p>
    <w:p w:rsidR="00000000" w:rsidDel="00000000" w:rsidP="00000000" w:rsidRDefault="00000000" w:rsidRPr="00000000" w14:paraId="00000005">
      <w:pPr>
        <w:numPr>
          <w:ilvl w:val="0"/>
          <w:numId w:val="1"/>
        </w:numPr>
        <w:spacing w:line="3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Specifically, what changes to governments’ regulatory approach and framework towards the seaweed sector are needed?</w:t>
      </w:r>
    </w:p>
    <w:p w:rsidR="00000000" w:rsidDel="00000000" w:rsidP="00000000" w:rsidRDefault="00000000" w:rsidRPr="00000000" w14:paraId="00000006">
      <w:pPr>
        <w:numPr>
          <w:ilvl w:val="0"/>
          <w:numId w:val="1"/>
        </w:numPr>
        <w:spacing w:line="3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will stimulate and support the necessary science and applied research involving seaweed in BC?</w:t>
      </w:r>
    </w:p>
    <w:p w:rsidR="00000000" w:rsidDel="00000000" w:rsidP="00000000" w:rsidRDefault="00000000" w:rsidRPr="00000000" w14:paraId="00000007">
      <w:pPr>
        <w:numPr>
          <w:ilvl w:val="0"/>
          <w:numId w:val="1"/>
        </w:numPr>
        <w:spacing w:line="3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are some key things the Pacific Seaweed Industry Association should be doing to support the growth and development of the seaweed sector in BC?</w:t>
      </w:r>
    </w:p>
    <w:p w:rsidR="00000000" w:rsidDel="00000000" w:rsidP="00000000" w:rsidRDefault="00000000" w:rsidRPr="00000000" w14:paraId="00000008">
      <w:pPr>
        <w:numPr>
          <w:ilvl w:val="0"/>
          <w:numId w:val="1"/>
        </w:numPr>
        <w:spacing w:line="3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How can First Nations be supported to increase their participation in seaweed production and how can industry and others work with First Nations to advance reconciliation and</w:t>
      </w:r>
    </w:p>
    <w:p w:rsidR="00000000" w:rsidDel="00000000" w:rsidP="00000000" w:rsidRDefault="00000000" w:rsidRPr="00000000" w14:paraId="00000009">
      <w:pPr>
        <w:numPr>
          <w:ilvl w:val="0"/>
          <w:numId w:val="1"/>
        </w:numPr>
        <w:spacing w:line="3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principles of UNDRIP and Truth and Reconciliation?</w:t>
      </w:r>
    </w:p>
    <w:p w:rsidR="00000000" w:rsidDel="00000000" w:rsidP="00000000" w:rsidRDefault="00000000" w:rsidRPr="00000000" w14:paraId="0000000A">
      <w:pPr>
        <w:numPr>
          <w:ilvl w:val="0"/>
          <w:numId w:val="1"/>
        </w:numPr>
        <w:spacing w:line="3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workforce development, education and training activities are needed to ensure the seaweed sector has the base of talent needed to grow and flourish?</w:t>
      </w:r>
    </w:p>
    <w:p w:rsidR="00000000" w:rsidDel="00000000" w:rsidP="00000000" w:rsidRDefault="00000000" w:rsidRPr="00000000" w14:paraId="0000000B">
      <w:pPr>
        <w:numPr>
          <w:ilvl w:val="0"/>
          <w:numId w:val="1"/>
        </w:numPr>
        <w:spacing w:line="3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How and where should programs to develop seaweed knowledge and skills be structured and delivered?</w:t>
      </w:r>
    </w:p>
    <w:p w:rsidR="00000000" w:rsidDel="00000000" w:rsidP="00000000" w:rsidRDefault="00000000" w:rsidRPr="00000000" w14:paraId="0000000C">
      <w:pPr>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Before beginning, comments were made on indigenous truth and reconciliation as an important point to focus on throughout the meeting. Strong emphasis was placed on the need to build relationships first to allow further planning to be successful. </w:t>
      </w:r>
    </w:p>
    <w:p w:rsidR="00000000" w:rsidDel="00000000" w:rsidP="00000000" w:rsidRDefault="00000000" w:rsidRPr="00000000" w14:paraId="0000000E">
      <w:pPr>
        <w:spacing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36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Q1 Key Points - Barriers and opportunities in planning processes</w:t>
      </w:r>
    </w:p>
    <w:p w:rsidR="00000000" w:rsidDel="00000000" w:rsidP="00000000" w:rsidRDefault="00000000" w:rsidRPr="00000000" w14:paraId="00000012">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There were a few key barriers identified around short and long term planning for industry growth. More data on the current seaweed industry in BC and future outlook is required for investors to get involved and make informed decisions. Public acceptance is a barrier that will need to be overcome by looking at previous mistakes and successes made in other aquaculture sectors. The application process needs to be improved with greater government human resources to manage applications and expedite the process. I</w:t>
      </w:r>
      <w:r w:rsidDel="00000000" w:rsidR="00000000" w:rsidRPr="00000000">
        <w:rPr>
          <w:rFonts w:ascii="Calibri" w:cs="Calibri" w:eastAsia="Calibri" w:hAnsi="Calibri"/>
          <w:highlight w:val="yellow"/>
          <w:rtl w:val="0"/>
        </w:rPr>
        <w:t xml:space="preserve">dentifying the jurisdiction is also acting as a barrier. (46 minutes focus group) </w:t>
      </w:r>
      <w:r w:rsidDel="00000000" w:rsidR="00000000" w:rsidRPr="00000000">
        <w:rPr>
          <w:rFonts w:ascii="Calibri" w:cs="Calibri" w:eastAsia="Calibri" w:hAnsi="Calibri"/>
          <w:rtl w:val="0"/>
        </w:rPr>
        <w:t xml:space="preserve">Communicating and coordinating around these jurisdictions is important to streamline the application process. The market is still limited and challenging for farmers to sell their product. There is a high need for capital investment in order to make a long term plan for growth. </w:t>
      </w:r>
    </w:p>
    <w:p w:rsidR="00000000" w:rsidDel="00000000" w:rsidP="00000000" w:rsidRDefault="00000000" w:rsidRPr="00000000" w14:paraId="00000013">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There was also valuable insight into opportunities for growth in the BC seaweed industry. Now is a good opportunity to begin early conversations with the federal government around implementing seaweed into the blue economy plan and strategies for growth. This could potentially reduce regulatory challenges further on. The large coastline is a major opportunity that we can use with careful planning and communication across government and jurisdictions. Determining optimal growing sites for certain species is important to reduce the trial and error process, ultimately saving time and money for farmers. </w:t>
      </w:r>
    </w:p>
    <w:p w:rsidR="00000000" w:rsidDel="00000000" w:rsidP="00000000" w:rsidRDefault="00000000" w:rsidRPr="00000000" w14:paraId="00000014">
      <w:pPr>
        <w:spacing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360" w:lineRule="auto"/>
        <w:ind w:left="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Q2 Key Points - Increasing awareness </w:t>
      </w:r>
    </w:p>
    <w:p w:rsidR="00000000" w:rsidDel="00000000" w:rsidP="00000000" w:rsidRDefault="00000000" w:rsidRPr="00000000" w14:paraId="00000016">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Raising awareness in the younger generation to encourage research and involvement in the industry was considered as a strategy in the conversation. Universities and colleges are receiving interest from students however it’s been a challenge to line students up with employment opportunities in addition to a lack of funding to allow students to pursue this field. Educating consumers around the various seaweed food products with taste testing and restaurant involvement has shown some success. Leveraging the tourism industry and partnering with seafood companies to introduce seaweed products to consumers could be effective strategies in raising awareness. British Columbia is an area with clean waters that could be taken advantage of and used as a selling point, as the ‘BC brand.’ Focusing in on smaller communities such as Tofino with niche markets and strong aboriginal background should be a part of short term planning strategies. </w:t>
      </w:r>
    </w:p>
    <w:p w:rsidR="00000000" w:rsidDel="00000000" w:rsidP="00000000" w:rsidRDefault="00000000" w:rsidRPr="00000000" w14:paraId="00000017">
      <w:pPr>
        <w:spacing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line="360" w:lineRule="auto"/>
        <w:ind w:left="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Q3 Key Points - Regulatory framework </w:t>
      </w:r>
    </w:p>
    <w:p w:rsidR="00000000" w:rsidDel="00000000" w:rsidP="00000000" w:rsidRDefault="00000000" w:rsidRPr="00000000" w14:paraId="00000019">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ab/>
        <w:t xml:space="preserve">Application process needs to be fully inclusive to ensure all applications are consistent. In addition, knowledge and experience in all areas included in the process such as the species at risk act, is important to make informed decisions. Educating regulators on the major benefits and unique environmental and economic opportunities would increase awareness and potentially expedite the process. Building a review process into the application submission process to save time and energy and increase the success rate of accepted applications. Aboriginal oversight within the regulatory process was suggested to be inclusive and work within the rights and title of aboriginal groups. There is also a need to manage the underutilised existing tenures to provide more access to sites for newcomers. </w:t>
      </w:r>
    </w:p>
    <w:p w:rsidR="00000000" w:rsidDel="00000000" w:rsidP="00000000" w:rsidRDefault="00000000" w:rsidRPr="00000000" w14:paraId="0000001A">
      <w:pPr>
        <w:spacing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line="360" w:lineRule="auto"/>
        <w:ind w:left="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Q4 Key Points - Science and applied research</w:t>
      </w:r>
    </w:p>
    <w:p w:rsidR="00000000" w:rsidDel="00000000" w:rsidP="00000000" w:rsidRDefault="00000000" w:rsidRPr="00000000" w14:paraId="0000001C">
      <w:pPr>
        <w:spacing w:line="360" w:lineRule="auto"/>
        <w:ind w:left="0" w:firstLine="720"/>
        <w:rPr>
          <w:rFonts w:ascii="Calibri" w:cs="Calibri" w:eastAsia="Calibri" w:hAnsi="Calibri"/>
        </w:rPr>
      </w:pPr>
      <w:r w:rsidDel="00000000" w:rsidR="00000000" w:rsidRPr="00000000">
        <w:rPr>
          <w:rFonts w:ascii="Calibri" w:cs="Calibri" w:eastAsia="Calibri" w:hAnsi="Calibri"/>
          <w:rtl w:val="0"/>
        </w:rPr>
        <w:t xml:space="preserve">Organising and directing the science and research is important to meet the needs of the environmental and economic objectives. Academic institutions can involve more industry professionals to be a part of teaching and relating to students. Improving communication between academic and private sectors would be useful for those to connect and collaborate. Broadening the research topics within projects would create a more holistic approach to research. </w:t>
      </w:r>
    </w:p>
    <w:p w:rsidR="00000000" w:rsidDel="00000000" w:rsidP="00000000" w:rsidRDefault="00000000" w:rsidRPr="00000000" w14:paraId="0000001D">
      <w:pPr>
        <w:spacing w:line="360" w:lineRule="auto"/>
        <w:ind w:left="0" w:firstLine="720"/>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360" w:lineRule="auto"/>
        <w:ind w:left="0" w:firstLine="0"/>
        <w:rPr>
          <w:rFonts w:ascii="Calibri" w:cs="Calibri" w:eastAsia="Calibri" w:hAnsi="Calibri"/>
        </w:rPr>
      </w:pPr>
      <w:r w:rsidDel="00000000" w:rsidR="00000000" w:rsidRPr="00000000">
        <w:rPr>
          <w:rFonts w:ascii="Calibri" w:cs="Calibri" w:eastAsia="Calibri" w:hAnsi="Calibri"/>
          <w:i w:val="1"/>
          <w:iCs w:val="1"/>
          <w:rtl w:val="0"/>
        </w:rPr>
        <w:t xml:space="preserve">Q5 Key Points - Suggestions for the PSIA</w:t>
      </w:r>
      <w:r w:rsidDel="00000000" w:rsidR="00000000" w:rsidRPr="00000000">
        <w:rPr>
          <w:rtl w:val="0"/>
        </w:rPr>
      </w:r>
    </w:p>
    <w:p w:rsidR="00000000" w:rsidDel="00000000" w:rsidP="00000000" w:rsidRDefault="00000000" w:rsidRPr="00000000" w14:paraId="0000001F">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The main priority for the PSIA in the beginning stages is to focus on communicating with all levels of government to improve the regulatory framework. It was also suggested to provide public access to information on site selection to ensure the application is successful and avoid unnecessary hurdles. Put together a working group with the provincial and federal government on the review process in the start up phase. Encourage research by compiling a list of academic institutions research projects to allow private sectors to connect and collaborate on applied research. A job board on the PSIA website would be useful for academic institutions to link to for students with interest in the sector. An example of an interactive map of farmers and seaweed buyers from the Maine based Greenwave website was brought up as an interesting and useful tool that could be considered moving forward. </w:t>
      </w:r>
    </w:p>
    <w:p w:rsidR="00000000" w:rsidDel="00000000" w:rsidP="00000000" w:rsidRDefault="00000000" w:rsidRPr="00000000" w14:paraId="00000020">
      <w:pPr>
        <w:spacing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line="360" w:lineRule="auto"/>
        <w:ind w:left="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Q6 Key Points - First Nations participation</w:t>
      </w:r>
    </w:p>
    <w:p w:rsidR="00000000" w:rsidDel="00000000" w:rsidP="00000000" w:rsidRDefault="00000000" w:rsidRPr="00000000" w14:paraId="00000022">
      <w:pPr>
        <w:spacing w:line="360" w:lineRule="auto"/>
        <w:ind w:left="0" w:firstLine="0"/>
        <w:rPr>
          <w:rFonts w:ascii="Calibri" w:cs="Calibri" w:eastAsia="Calibri" w:hAnsi="Calibri"/>
        </w:rPr>
      </w:pPr>
      <w:r w:rsidDel="00000000" w:rsidR="00000000" w:rsidRPr="00000000">
        <w:rPr>
          <w:rFonts w:ascii="Calibri" w:cs="Calibri" w:eastAsia="Calibri" w:hAnsi="Calibri"/>
          <w:i w:val="1"/>
          <w:iCs w:val="1"/>
          <w:rtl w:val="0"/>
        </w:rPr>
        <w:tab/>
      </w:r>
      <w:r w:rsidDel="00000000" w:rsidR="00000000" w:rsidRPr="00000000">
        <w:rPr>
          <w:rFonts w:ascii="Calibri" w:cs="Calibri" w:eastAsia="Calibri" w:hAnsi="Calibri"/>
          <w:rtl w:val="0"/>
        </w:rPr>
        <w:t xml:space="preserve">Focus on building relationships with first nation groups to create mutual trust and understanding. From here this will allow growth and expansion to larger organisations. Industry needs to have the knowledge and recognition during the development stages in different areas of indigenous rights and title. Ensure to present business opportunities to first nations in addition to land consultation and job proposition all while remaining open and receptive to new ideas. There are challenges and unknowns on how to get in contact with first nations groups. If this could be improved it would create a pathway for first nation groups to participate in research and development of the industry. Contacting indigenous groups that are actively involved in the sector to help advocate for opportunities with recognition of their specific needs, objectives, and priorities that are unique to the group.  </w:t>
      </w:r>
    </w:p>
    <w:p w:rsidR="00000000" w:rsidDel="00000000" w:rsidP="00000000" w:rsidRDefault="00000000" w:rsidRPr="00000000" w14:paraId="00000023">
      <w:pPr>
        <w:spacing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360" w:lineRule="auto"/>
        <w:ind w:left="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Q7/8 Key Points - Education, training, workforce</w:t>
      </w:r>
    </w:p>
    <w:p w:rsidR="00000000" w:rsidDel="00000000" w:rsidP="00000000" w:rsidRDefault="00000000" w:rsidRPr="00000000" w14:paraId="00000025">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ab/>
        <w:t xml:space="preserve">Building relationships with a broad group can be done by reaching out to organisations, first nations, academic institutions, government, etc., with a personalised message to get a better understanding of workforce priorities and needs. Including technical skills in training programs is extremely important as it is a significant attribute farms look for during the hiring process. This saves time and energy in the time sensitive training phase. To relieve the burden of travelling to large city centres to receive training, more education programs were suggested to be offered in rural communities. Other suggestions and current a method being used at University of BC is to provide the option for students to learn remotely for a portion of the course and attend the technical skills training program at the facility. In addition, tailoring these programs to meet the needs of various education levels has been a successful strategy in the past. This makes education more accessible and attainable.</w:t>
      </w:r>
    </w:p>
    <w:p w:rsidR="00000000" w:rsidDel="00000000" w:rsidP="00000000" w:rsidRDefault="00000000" w:rsidRPr="00000000" w14:paraId="0000002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line="36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Final closing </w:t>
      </w:r>
    </w:p>
    <w:p w:rsidR="00000000" w:rsidDel="00000000" w:rsidP="00000000" w:rsidRDefault="00000000" w:rsidRPr="00000000" w14:paraId="00000028">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Next steps of the focus group information and final pieces of the SLMP were presented by Mark Smith. Creating a governance committee to oversee future work is an important action item required. The group was asked for consideration of being included in a committee with the PSIA to build a diverse representation across the board. Future events the PSIA will be involved in are the Vancouver Economic Summit, and advisory committee around regenerative agriculture and agrotech. Extended appreciation for the engagement, input, and guidance to move forward in the sector. </w:t>
      </w:r>
    </w:p>
    <w:p w:rsidR="00000000" w:rsidDel="00000000" w:rsidP="00000000" w:rsidRDefault="00000000" w:rsidRPr="00000000" w14:paraId="00000029">
      <w:pPr>
        <w:spacing w:line="360" w:lineRule="auto"/>
        <w:ind w:left="0" w:firstLine="0"/>
        <w:rPr>
          <w:rFonts w:ascii="Calibri" w:cs="Calibri" w:eastAsia="Calibri" w:hAnsi="Calibri"/>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