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before="0" w:after="0"/>
      </w:pPr>
    </w:p>
    <w:p>
      <w:pPr>
        <w:spacing w:line="480" w:lineRule="exact" w:before="0" w:after="0"/>
      </w:pPr>
    </w:p>
    <w:p>
      <w:pPr>
        <w:spacing w:line="480" w:lineRule="exact" w:before="0" w:after="0"/>
      </w:pPr>
    </w:p>
    <w:p>
      <w:pPr>
        <w:spacing w:line="480" w:lineRule="exact" w:before="0" w:after="0"/>
      </w:pPr>
    </w:p>
    <w:p>
      <w:pPr>
        <w:spacing w:line="480" w:lineRule="exact" w:before="0" w:after="0"/>
      </w:pPr>
    </w:p>
    <w:p>
      <w:pPr>
        <w:spacing w:line="480" w:lineRule="exact" w:before="0" w:after="0"/>
      </w:pPr>
    </w:p>
    <w:p>
      <w:pPr>
        <w:spacing w:line="480" w:lineRule="exact" w:before="0" w:after="0"/>
        <w:jc w:val="center"/>
      </w:pPr>
      <w:r>
        <w:rPr>
          <w:rFonts w:ascii="Times New Roman" w:hAnsi="Times New Roman"/>
          <w:b/>
          <w:i w:val="0"/>
          <w:sz w:val="24"/>
        </w:rPr>
        <w:t>Deploying a Transformer Language Model as a Cloud Microservice</w:t>
      </w:r>
    </w:p>
    <w:p>
      <w:pPr>
        <w:spacing w:line="480" w:lineRule="exact" w:before="0" w:after="0"/>
        <w:jc w:val="center"/>
      </w:pPr>
      <w:r>
        <w:rPr>
          <w:rFonts w:ascii="Times New Roman" w:hAnsi="Times New Roman"/>
          <w:b w:val="0"/>
          <w:i w:val="0"/>
          <w:sz w:val="24"/>
        </w:rPr>
        <w:t>Dhruvkumar Patel</w:t>
      </w:r>
    </w:p>
    <w:p>
      <w:pPr>
        <w:spacing w:line="480" w:lineRule="exact" w:before="0" w:after="0"/>
        <w:jc w:val="center"/>
      </w:pPr>
      <w:r>
        <w:rPr>
          <w:rFonts w:ascii="Times New Roman" w:hAnsi="Times New Roman"/>
          <w:b w:val="0"/>
          <w:i w:val="0"/>
          <w:sz w:val="24"/>
        </w:rPr>
        <w:t>Northeastern University</w:t>
      </w:r>
    </w:p>
    <w:p>
      <w:pPr>
        <w:spacing w:line="480" w:lineRule="exact" w:before="0" w:after="0"/>
        <w:jc w:val="center"/>
      </w:pPr>
      <w:r>
        <w:rPr>
          <w:rFonts w:ascii="Times New Roman" w:hAnsi="Times New Roman"/>
          <w:b w:val="0"/>
          <w:i w:val="0"/>
          <w:sz w:val="24"/>
        </w:rPr>
        <w:t>EAI6010: Engineering Artificial Intelligence</w:t>
      </w:r>
    </w:p>
    <w:p>
      <w:pPr>
        <w:spacing w:line="480" w:lineRule="exact" w:before="0" w:after="0"/>
        <w:jc w:val="center"/>
      </w:pPr>
      <w:r>
        <w:rPr>
          <w:rFonts w:ascii="Times New Roman" w:hAnsi="Times New Roman"/>
          <w:b w:val="0"/>
          <w:i w:val="0"/>
          <w:sz w:val="24"/>
        </w:rPr>
        <w:t>Assignment 5</w:t>
      </w:r>
    </w:p>
    <w:p>
      <w:pPr>
        <w:spacing w:line="480" w:lineRule="exact" w:before="0" w:after="0"/>
        <w:jc w:val="center"/>
      </w:pPr>
      <w:r>
        <w:rPr>
          <w:rFonts w:ascii="Times New Roman" w:hAnsi="Times New Roman"/>
          <w:b w:val="0"/>
          <w:i w:val="0"/>
          <w:sz w:val="24"/>
        </w:rPr>
        <w:t>March 20, 2026</w:t>
      </w:r>
    </w:p>
    <w:p>
      <w:r>
        <w:br w:type="page"/>
      </w:r>
    </w:p>
    <w:p>
      <w:pPr>
        <w:spacing w:line="480" w:lineRule="exact" w:before="0" w:after="0"/>
        <w:jc w:val="center"/>
      </w:pPr>
      <w:r>
        <w:rPr>
          <w:rFonts w:ascii="Times New Roman" w:hAnsi="Times New Roman"/>
          <w:b/>
          <w:i w:val="0"/>
          <w:sz w:val="24"/>
        </w:rPr>
        <w:t>Abstract</w:t>
      </w:r>
    </w:p>
    <w:p>
      <w:pPr>
        <w:spacing w:line="480" w:lineRule="exact" w:before="0" w:after="0"/>
        <w:ind w:firstLine="720"/>
        <w:jc w:val="left"/>
      </w:pPr>
      <w:r>
        <w:rPr>
          <w:rFonts w:ascii="Times New Roman" w:hAnsi="Times New Roman"/>
          <w:b w:val="0"/>
          <w:i w:val="0"/>
          <w:sz w:val="24"/>
        </w:rPr>
        <w:t>This report documents the design, implementation, and deployment of a Shakespeare text generation microservice built for EAI6010 Assignment 5. The system wraps a PyTorch Transformer language model — trained on the Tiny Shakespeare corpus (~1.1 MB of Shakespeare's plays) — inside a FastAPI web service that exposes a REST API and a browser-based user interface. The containerized application was deployed to Google Cloud Run, providing publicly accessible, serverless inference. The report covers model architecture, API design, generation modes, deployment configuration, and practical observations drawn from live testing of the service.</w:t>
      </w:r>
    </w:p>
    <w:p>
      <w:pPr>
        <w:spacing w:line="480" w:lineRule="exact" w:before="0" w:after="0"/>
      </w:pPr>
    </w:p>
    <w:p>
      <w:pPr>
        <w:spacing w:line="480" w:lineRule="exact" w:before="0" w:after="0"/>
      </w:pPr>
      <w:r>
        <w:rPr>
          <w:rFonts w:ascii="Times New Roman" w:hAnsi="Times New Roman"/>
          <w:b/>
          <w:i w:val="0"/>
          <w:sz w:val="24"/>
        </w:rPr>
        <w:t xml:space="preserve">Keywords: </w:t>
      </w:r>
      <w:r>
        <w:rPr>
          <w:rFonts w:ascii="Times New Roman" w:hAnsi="Times New Roman"/>
          <w:b w:val="0"/>
          <w:i/>
          <w:sz w:val="24"/>
        </w:rPr>
        <w:t>transformer, language model, microservice, FastAPI, Google Cloud Run, natural language processing</w:t>
      </w:r>
    </w:p>
    <w:p>
      <w:r>
        <w:br w:type="page"/>
      </w:r>
    </w:p>
    <w:p>
      <w:pPr>
        <w:spacing w:line="480" w:lineRule="exact" w:before="0" w:after="0"/>
        <w:jc w:val="center"/>
      </w:pPr>
      <w:r>
        <w:rPr>
          <w:rFonts w:ascii="Times New Roman" w:hAnsi="Times New Roman"/>
          <w:b/>
          <w:i w:val="0"/>
          <w:sz w:val="24"/>
        </w:rPr>
        <w:t>Deploying a Transformer Language Model as a Cloud Microservice</w:t>
      </w:r>
    </w:p>
    <w:p>
      <w:pPr>
        <w:spacing w:line="480" w:lineRule="exact" w:before="0" w:after="0"/>
      </w:pPr>
    </w:p>
    <w:p>
      <w:pPr>
        <w:spacing w:line="480" w:lineRule="exact" w:before="0" w:after="0"/>
        <w:jc w:val="left"/>
      </w:pPr>
      <w:r>
        <w:rPr>
          <w:rFonts w:ascii="Times New Roman" w:hAnsi="Times New Roman"/>
          <w:b/>
          <w:i w:val="0"/>
          <w:sz w:val="24"/>
        </w:rPr>
        <w:t>Introduction</w:t>
      </w:r>
    </w:p>
    <w:p>
      <w:pPr>
        <w:spacing w:line="480" w:lineRule="exact" w:before="0" w:after="0"/>
        <w:ind w:firstLine="720"/>
        <w:jc w:val="left"/>
      </w:pPr>
      <w:r>
        <w:rPr>
          <w:rFonts w:ascii="Times New Roman" w:hAnsi="Times New Roman"/>
          <w:b w:val="0"/>
          <w:i w:val="0"/>
          <w:sz w:val="24"/>
        </w:rPr>
        <w:t>The step from a trained model to a deployed product is one of the most underappreciated in applied machine learning. A model that lives only inside a Jupyter notebook is genuinely useful to its creator, but it stops there. Wrapping that model in a web service — complete with input validation, health monitoring, and a user interface — transforms it into something anyone can interact with from a browser or an API call.</w:t>
      </w:r>
    </w:p>
    <w:p>
      <w:pPr>
        <w:spacing w:line="480" w:lineRule="exact" w:before="0" w:after="0"/>
        <w:ind w:firstLine="720"/>
        <w:jc w:val="left"/>
      </w:pPr>
      <w:r>
        <w:rPr>
          <w:rFonts w:ascii="Times New Roman" w:hAnsi="Times New Roman"/>
          <w:b w:val="0"/>
          <w:i w:val="0"/>
          <w:sz w:val="24"/>
        </w:rPr>
        <w:t>Assignment 5 builds directly on the training work completed in Assignment 4. The goal was to take the PyTorch Transformer trained on Shakespeare's plays and make it production accessible: containerized, cloud-hosted, and usable without any knowledge of Python. Google Cloud Run was selected as the deployment target because it handles scaling, HTTPS, and traffic routing automatically, letting development effort stay focused on the application itself.</w:t>
      </w:r>
    </w:p>
    <w:p>
      <w:pPr>
        <w:spacing w:line="480" w:lineRule="exact" w:before="0" w:after="0"/>
      </w:pPr>
    </w:p>
    <w:p>
      <w:pPr>
        <w:spacing w:line="480" w:lineRule="exact" w:before="0" w:after="0"/>
        <w:jc w:val="left"/>
      </w:pPr>
      <w:r>
        <w:rPr>
          <w:rFonts w:ascii="Times New Roman" w:hAnsi="Times New Roman"/>
          <w:b/>
          <w:i w:val="0"/>
          <w:sz w:val="24"/>
        </w:rPr>
        <w:t>Model Architecture</w:t>
      </w:r>
    </w:p>
    <w:p>
      <w:pPr>
        <w:spacing w:line="480" w:lineRule="exact" w:before="0" w:after="0"/>
        <w:ind w:firstLine="720"/>
        <w:jc w:val="left"/>
      </w:pPr>
      <w:r>
        <w:rPr>
          <w:rFonts w:ascii="Times New Roman" w:hAnsi="Times New Roman"/>
          <w:b w:val="0"/>
          <w:i w:val="0"/>
          <w:sz w:val="24"/>
        </w:rPr>
        <w:t>The language model is a standard Transformer encoder stack. Tokens are embedded into a 200-dimensional space and enriched with sinusoidal positional encodings, which give the model a sense of where each token sits in the sequence. The signal then passes through two encoder layers, each with two attention heads and a feed-forward hidden dimension of 200. A final linear projection maps encoder outputs back to vocabulary logits for next-token prediction.</w:t>
      </w:r>
    </w:p>
    <w:p>
      <w:pPr>
        <w:spacing w:line="480" w:lineRule="exact" w:before="0" w:after="0"/>
        <w:ind w:firstLine="720"/>
        <w:jc w:val="left"/>
      </w:pPr>
      <w:r>
        <w:rPr>
          <w:rFonts w:ascii="Times New Roman" w:hAnsi="Times New Roman"/>
          <w:b w:val="0"/>
          <w:i w:val="0"/>
          <w:sz w:val="24"/>
        </w:rPr>
        <w:t>The vocabulary covers 10,926 unique tokens derived from the Shakespeare corpus. At approximately 4.86 million parameters, the model is compact enough to load in well under a second on CPU hardware — an important constraint given that Cloud Run containers run without GPU access. Hyperparameters (embedding size, hidden size, two layers, dropout rate of 0.3) were carried directly from the Assignment 4 notebook without modification; altering the architecture in any way would break weight loading from the saved checkpoint.</w:t>
      </w:r>
    </w:p>
    <w:p>
      <w:pPr>
        <w:spacing w:line="480" w:lineRule="exact" w:before="0" w:after="0"/>
      </w:pPr>
    </w:p>
    <w:p>
      <w:pPr>
        <w:spacing w:line="480" w:lineRule="exact" w:before="0" w:after="0"/>
        <w:jc w:val="left"/>
      </w:pPr>
      <w:r>
        <w:rPr>
          <w:rFonts w:ascii="Times New Roman" w:hAnsi="Times New Roman"/>
          <w:b/>
          <w:i w:val="0"/>
          <w:sz w:val="24"/>
        </w:rPr>
        <w:t>API Design and Text Generation</w:t>
      </w:r>
    </w:p>
    <w:p>
      <w:pPr>
        <w:spacing w:line="480" w:lineRule="exact" w:before="0" w:after="0"/>
        <w:ind w:firstLine="720"/>
        <w:jc w:val="left"/>
      </w:pPr>
      <w:r>
        <w:rPr>
          <w:rFonts w:ascii="Times New Roman" w:hAnsi="Times New Roman"/>
          <w:b w:val="0"/>
          <w:i w:val="0"/>
          <w:sz w:val="24"/>
        </w:rPr>
        <w:t>The microservice is built with FastAPI and exposes three primary endpoints. A GET /health route provides a lightweight liveness probe used by Cloud Run to confirm the model has loaded. A POST /generate route accepts a JSON body and returns the generated continuation. A GET /ui route serves a fully self-contained web interface directly from the application — no separate frontend deployment required.</w:t>
      </w:r>
    </w:p>
    <w:p>
      <w:pPr>
        <w:spacing w:line="480" w:lineRule="exact" w:before="0" w:after="0"/>
        <w:ind w:firstLine="720"/>
        <w:jc w:val="left"/>
      </w:pPr>
      <w:r>
        <w:rPr>
          <w:rFonts w:ascii="Times New Roman" w:hAnsi="Times New Roman"/>
          <w:b w:val="0"/>
          <w:i w:val="0"/>
          <w:sz w:val="24"/>
        </w:rPr>
        <w:t>Text generation is autoregressive: at each step the model produces a probability distribution over the vocabulary, and the next token is sampled according to one of three modes documented in the user guide. Greedy mode (temperature 1.0, top-K 0) always picks the highest-probability token and is fully deterministic, though it produces repetitive phrases in longer passages. Balanced mode (temperature 0.8, top-K 10) samples from the ten most likely candidates — coherent and varied, and the recommended default. Creative mode (temperature 1.3, top-K 20) widens the pool and raises temperature, encouraging more surprising word combinations. The context window is capped at 256 tokens to keep memory use predictable during long sessions.</w:t>
      </w:r>
    </w:p>
    <w:p>
      <w:pPr>
        <w:spacing w:line="480" w:lineRule="exact" w:before="0" w:after="0"/>
        <w:ind w:firstLine="720"/>
        <w:jc w:val="left"/>
      </w:pPr>
      <w:r>
        <w:rPr>
          <w:rFonts w:ascii="Times New Roman" w:hAnsi="Times New Roman"/>
          <w:b w:val="0"/>
          <w:i w:val="0"/>
          <w:sz w:val="24"/>
        </w:rPr>
        <w:t>All request parameters are validated by Pydantic schemas before reaching the model. The prompt must be at least one character; max_tokens is bounded 1–200; temperature 0.1–2.0; top-K 0–50. Rejecting out-of-range values at the boundary means malformed requests never propagate into the inference loop.</w:t>
      </w:r>
    </w:p>
    <w:p>
      <w:pPr>
        <w:spacing w:line="480" w:lineRule="exact" w:before="0" w:after="0"/>
      </w:pPr>
    </w:p>
    <w:p>
      <w:pPr>
        <w:spacing w:line="480" w:lineRule="exact" w:before="0" w:after="0"/>
        <w:jc w:val="left"/>
      </w:pPr>
      <w:r>
        <w:rPr>
          <w:rFonts w:ascii="Times New Roman" w:hAnsi="Times New Roman"/>
          <w:b/>
          <w:i w:val="0"/>
          <w:sz w:val="24"/>
        </w:rPr>
        <w:t>Deployment</w:t>
      </w:r>
    </w:p>
    <w:p>
      <w:pPr>
        <w:spacing w:line="480" w:lineRule="exact" w:before="0" w:after="0"/>
        <w:ind w:firstLine="720"/>
        <w:jc w:val="left"/>
      </w:pPr>
      <w:r>
        <w:rPr>
          <w:rFonts w:ascii="Times New Roman" w:hAnsi="Times New Roman"/>
          <w:b w:val="0"/>
          <w:i w:val="0"/>
          <w:sz w:val="24"/>
        </w:rPr>
        <w:t>Deployment uses Cloud Run's source-based workflow: a single gcloud run deploy --source . command triggers Cloud Build to build a Docker image, push it to Artifact Registry, and deploy it as a managed service. The container is configured with 1 GiB of memory — the minimum that keeps PyTorch and the model weights (~22 MB) comfortably within limits — and a 60-second request timeout.</w:t>
      </w:r>
    </w:p>
    <w:p>
      <w:pPr>
        <w:spacing w:line="480" w:lineRule="exact" w:before="0" w:after="0"/>
        <w:ind w:firstLine="720"/>
        <w:jc w:val="left"/>
      </w:pPr>
      <w:r>
        <w:rPr>
          <w:rFonts w:ascii="Times New Roman" w:hAnsi="Times New Roman"/>
          <w:b w:val="0"/>
          <w:i w:val="0"/>
          <w:sz w:val="24"/>
        </w:rPr>
        <w:t>PyTorch is deliberately configured for CPU-only inference inside the container. Pinning the +cpu torch wheel keeps the image at a manageable size and avoids pulling in CUDA libraries that would provide no benefit on Cloud Run's CPU-only runtime. At 4.86 million parameters, the model produces a response in under a second on CPU, making the trade-off entirely acceptable for this use case.</w:t>
      </w:r>
    </w:p>
    <w:p>
      <w:pPr>
        <w:spacing w:line="480" w:lineRule="exact" w:before="0" w:after="0"/>
      </w:pPr>
    </w:p>
    <w:p>
      <w:pPr>
        <w:spacing w:line="480" w:lineRule="exact" w:before="0" w:after="0"/>
        <w:jc w:val="left"/>
      </w:pPr>
      <w:r>
        <w:rPr>
          <w:rFonts w:ascii="Times New Roman" w:hAnsi="Times New Roman"/>
          <w:b/>
          <w:i w:val="0"/>
          <w:sz w:val="24"/>
        </w:rPr>
        <w:t>Results and Discussion</w:t>
      </w:r>
    </w:p>
    <w:p>
      <w:pPr>
        <w:spacing w:line="480" w:lineRule="exact" w:before="0" w:after="0"/>
        <w:ind w:firstLine="720"/>
        <w:jc w:val="left"/>
      </w:pPr>
      <w:r>
        <w:rPr>
          <w:rFonts w:ascii="Times New Roman" w:hAnsi="Times New Roman"/>
          <w:b w:val="0"/>
          <w:i w:val="0"/>
          <w:sz w:val="24"/>
        </w:rPr>
        <w:t>The live service is publicly accessible at https://shakespeare-api-925816807412.us-central1.run.app and responds correctly across all three generation modes. Balanced mode consistently produces the most readable Shakespearean-style output. Greedy mode confirms the known limitation of greedy decoding: without sampling, the decoder falls into repetitive loops after roughly 20–30 tokens. This is a structural property of the algorithm rather than a model defect, and it is called out explicitly in the user guide so that end users know to choose balanced or creative mode for longer passages.</w:t>
      </w:r>
    </w:p>
    <w:p>
      <w:pPr>
        <w:spacing w:line="480" w:lineRule="exact" w:before="0" w:after="0"/>
        <w:ind w:firstLine="720"/>
        <w:jc w:val="left"/>
      </w:pPr>
      <w:r>
        <w:rPr>
          <w:rFonts w:ascii="Times New Roman" w:hAnsi="Times New Roman"/>
          <w:b w:val="0"/>
          <w:i w:val="0"/>
          <w:sz w:val="24"/>
        </w:rPr>
        <w:t>Cold start latency is the most noticeable operational limitation. Cloud Run scales to zero when idle, so the first request after inactivity carries a 5–10 second penalty while the container starts and the model loads. Pinning minimum instances to one would eliminate this for high-traffic services; for an academic deployment, the cost savings from scaling to zero outweigh the occasional wait.</w:t>
      </w:r>
    </w:p>
    <w:p>
      <w:pPr>
        <w:spacing w:line="480" w:lineRule="exact" w:before="0" w:after="0"/>
        <w:ind w:firstLine="720"/>
        <w:jc w:val="left"/>
      </w:pPr>
      <w:r>
        <w:rPr>
          <w:rFonts w:ascii="Times New Roman" w:hAnsi="Times New Roman"/>
          <w:b w:val="0"/>
          <w:i w:val="0"/>
          <w:sz w:val="24"/>
        </w:rPr>
        <w:t>The web UI received consistently positive feedback during informal testing. Presenting generation modes as named presets — Greedy, Balanced, Creative — rather than raw numerical parameters noticeably lowered the barrier for non-technical users to experiment with the service. Highlighting the original prompt in orange against the white generated continuation also proved helpful for making clear where the model's contribution began.</w:t>
      </w:r>
    </w:p>
    <w:p>
      <w:pPr>
        <w:spacing w:line="480" w:lineRule="exact" w:before="0" w:after="0"/>
      </w:pPr>
    </w:p>
    <w:p>
      <w:pPr>
        <w:spacing w:line="480" w:lineRule="exact" w:before="0" w:after="0"/>
        <w:jc w:val="left"/>
      </w:pPr>
      <w:r>
        <w:rPr>
          <w:rFonts w:ascii="Times New Roman" w:hAnsi="Times New Roman"/>
          <w:b/>
          <w:i w:val="0"/>
          <w:sz w:val="24"/>
        </w:rPr>
        <w:t>Conclusion</w:t>
      </w:r>
    </w:p>
    <w:p>
      <w:pPr>
        <w:spacing w:line="480" w:lineRule="exact" w:before="0" w:after="0"/>
        <w:ind w:firstLine="720"/>
        <w:jc w:val="left"/>
      </w:pPr>
      <w:r>
        <w:rPr>
          <w:rFonts w:ascii="Times New Roman" w:hAnsi="Times New Roman"/>
          <w:b w:val="0"/>
          <w:i w:val="0"/>
          <w:sz w:val="24"/>
        </w:rPr>
        <w:t>This project demonstrates that deploying a deep learning model as a publicly accessible web service is achievable with a relatively small amount of carefully written code. FastAPI handles validation, documentation, and async serving; Docker and Cloud Run handle containerization, scaling, and HTTPS. The application logic is roughly 300 lines of Python, yet the result is a real production service that anyone can reach from a browser or a curl command.</w:t>
      </w:r>
    </w:p>
    <w:p>
      <w:pPr>
        <w:spacing w:line="480" w:lineRule="exact" w:before="0" w:after="0"/>
        <w:ind w:firstLine="720"/>
        <w:jc w:val="left"/>
      </w:pPr>
      <w:r>
        <w:rPr>
          <w:rFonts w:ascii="Times New Roman" w:hAnsi="Times New Roman"/>
          <w:b w:val="0"/>
          <w:i w:val="0"/>
          <w:sz w:val="24"/>
        </w:rPr>
        <w:t>The work also reinforced a practical lesson about the relationship between training and serving code: the model class must exactly match the notebook, or saved weights will not load. That constraint — invisible during training, painful when violated during deployment — is a reminder that model development and model serving are not independent concerns. Treating them as a unified system from the start saves significant debugging effort later.</w:t>
      </w:r>
    </w:p>
    <w:p>
      <w:r>
        <w:br w:type="page"/>
      </w:r>
    </w:p>
    <w:p>
      <w:pPr>
        <w:spacing w:line="480" w:lineRule="exact" w:before="0" w:after="0"/>
        <w:jc w:val="center"/>
      </w:pPr>
      <w:r>
        <w:rPr>
          <w:rFonts w:ascii="Times New Roman" w:hAnsi="Times New Roman"/>
          <w:b/>
          <w:i w:val="0"/>
          <w:sz w:val="24"/>
        </w:rPr>
        <w:t>References</w:t>
      </w:r>
    </w:p>
    <w:p>
      <w:pPr>
        <w:spacing w:line="480" w:lineRule="exact" w:before="0" w:after="0"/>
      </w:pPr>
    </w:p>
    <w:p>
      <w:pPr>
        <w:spacing w:line="480" w:lineRule="exact" w:before="0" w:after="0"/>
        <w:ind w:left="720" w:hanging="720"/>
      </w:pPr>
      <w:r>
        <w:rPr>
          <w:rFonts w:ascii="Times New Roman" w:hAnsi="Times New Roman"/>
          <w:b w:val="0"/>
          <w:i w:val="0"/>
          <w:sz w:val="24"/>
        </w:rPr>
        <w:t>Google Cloud. (2024). Deploying to Cloud Run from source code. In Cloud Run documentation. https://cloud.google.com/run/docs/deploying-source-code</w:t>
      </w:r>
    </w:p>
    <w:p>
      <w:pPr>
        <w:spacing w:line="480" w:lineRule="exact" w:before="0" w:after="0"/>
        <w:ind w:left="720" w:hanging="720"/>
      </w:pPr>
      <w:r>
        <w:rPr>
          <w:rFonts w:ascii="Times New Roman" w:hAnsi="Times New Roman"/>
          <w:b w:val="0"/>
          <w:i w:val="0"/>
          <w:sz w:val="24"/>
        </w:rPr>
        <w:t>PyTorch Contributors. (2024). torch.nn.TransformerEncoder. In PyTorch documentation. https://pytorch.org/docs/stable/generated/torch.nn.TransformerEncoder.html</w:t>
      </w:r>
    </w:p>
    <w:p>
      <w:pPr>
        <w:spacing w:line="480" w:lineRule="exact" w:before="0" w:after="0"/>
        <w:ind w:left="720" w:hanging="720"/>
      </w:pPr>
      <w:r>
        <w:rPr>
          <w:rFonts w:ascii="Times New Roman" w:hAnsi="Times New Roman"/>
          <w:b w:val="0"/>
          <w:i w:val="0"/>
          <w:sz w:val="24"/>
        </w:rPr>
        <w:t>Ramírez, S. (2024). FastAPI documentation. https://fastapi.tiangolo.com</w:t>
      </w:r>
    </w:p>
    <w:p>
      <w:pPr>
        <w:spacing w:line="480" w:lineRule="exact" w:before="0" w:after="0"/>
        <w:ind w:left="720" w:hanging="720"/>
      </w:pPr>
      <w:r>
        <w:rPr>
          <w:rFonts w:ascii="Times New Roman" w:hAnsi="Times New Roman"/>
          <w:b w:val="0"/>
          <w:i w:val="0"/>
          <w:sz w:val="24"/>
        </w:rPr>
        <w:t>Vaswani, A., Shazeer, N., Parmar, N., Uszkoreit, J., Jones, L., Gomez, A. N., Kaiser, L., &amp; Polosukhin, I. (2017). Attention is all you need. Advances in Neural Information Processing Systems, 30, 5998–6008.</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val="0"/>
        <w:i w:val="0"/>
        <w:sz w:val="24"/>
      </w:rPr>
      <w:t>DEPLOYING A TRANSFORMER LANGUAGE MODEL AS A CLOUD MICROSERVICE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