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does WebGPU differ from WebGL in terms of pipeline structure and control?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BECAUSE IT GIVES LOWER LEVEL CONTROL.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Why is it important to use uniform buffers and bind groups in WebGPU?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BECAUSE MULTIPLE OBJECTS MAY SHARE THE SAME SHADER BUT THEY HAVE DIFFERENT DATA.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could the rendering performance of this Breakout game be further improved?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CAN GROUP ALL BLOCKS INTO ONE BUFFER RATHER THEN SEPARATE ONES.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