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b/>
          <w:color w:val="8064A2" w:themeColor="accent4"/>
          <w:sz w:val="32"/>
          <w:szCs w:val="32"/>
        </w:rPr>
        <w:id w:val="-1894568854"/>
        <w:docPartObj>
          <w:docPartGallery w:val="Cover Pages"/>
          <w:docPartUnique/>
        </w:docPartObj>
      </w:sdtPr>
      <w:sdtEndPr>
        <w:rPr>
          <w:rFonts w:ascii="Arial" w:hAnsi="Arial" w:cs="Arial"/>
          <w:bCs/>
          <w:color w:val="C0504D"/>
          <w:sz w:val="40"/>
          <w:szCs w:val="26"/>
        </w:rPr>
      </w:sdtEndPr>
      <w:sdtContent>
        <w:p w14:paraId="1089E5E5" w14:textId="2640C074" w:rsidR="00E10F5C" w:rsidRDefault="00E10F5C" w:rsidP="00D97479">
          <w:pPr>
            <w:pStyle w:val="NoSpacing"/>
            <w:spacing w:line="276" w:lineRule="auto"/>
            <w:rPr>
              <w:b/>
              <w:bCs/>
              <w:sz w:val="32"/>
              <w:szCs w:val="32"/>
            </w:rPr>
          </w:pPr>
          <w:r w:rsidRPr="0056257F">
            <w:rPr>
              <w:noProof/>
              <w:lang w:eastAsia="en-GB"/>
            </w:rPr>
            <w:drawing>
              <wp:anchor distT="0" distB="0" distL="114300" distR="114300" simplePos="0" relativeHeight="251661312" behindDoc="0" locked="0" layoutInCell="1" allowOverlap="1" wp14:anchorId="6A8EEED2" wp14:editId="23E97A63">
                <wp:simplePos x="0" y="0"/>
                <wp:positionH relativeFrom="column">
                  <wp:posOffset>3306445</wp:posOffset>
                </wp:positionH>
                <wp:positionV relativeFrom="paragraph">
                  <wp:posOffset>-1322070</wp:posOffset>
                </wp:positionV>
                <wp:extent cx="3600450" cy="1800225"/>
                <wp:effectExtent l="0" t="0" r="0" b="0"/>
                <wp:wrapNone/>
                <wp:docPr id="1" name="Picture 1" descr="Coventry Uniersity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ntry Uniersity Logo">
                          <a:extLst>
                            <a:ext uri="{C183D7F6-B498-43B3-948B-1728B52AA6E4}">
                              <adec:decorative xmlns:adec="http://schemas.microsoft.com/office/drawing/2017/decorative" val="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32"/>
              <w:szCs w:val="32"/>
            </w:rPr>
            <w:t xml:space="preserve">Assignment Front </w:t>
          </w:r>
          <w:r w:rsidRPr="00481D4F">
            <w:rPr>
              <w:b/>
              <w:bCs/>
              <w:sz w:val="32"/>
              <w:szCs w:val="32"/>
            </w:rPr>
            <w:t>Cover Sheet</w:t>
          </w:r>
        </w:p>
        <w:p w14:paraId="15454B06" w14:textId="77777777" w:rsidR="00E10F5C" w:rsidRPr="006921A0" w:rsidRDefault="00E10F5C" w:rsidP="00D97479">
          <w:pPr>
            <w:pStyle w:val="NoSpacing"/>
            <w:spacing w:line="276" w:lineRule="auto"/>
            <w:rPr>
              <w:b/>
              <w:bCs/>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85"/>
            <w:gridCol w:w="6305"/>
          </w:tblGrid>
          <w:tr w:rsidR="00E10F5C" w:rsidRPr="003E444B" w14:paraId="3E5B29BB" w14:textId="77777777" w:rsidTr="00611B7C">
            <w:tc>
              <w:tcPr>
                <w:tcW w:w="1985" w:type="dxa"/>
                <w:vAlign w:val="center"/>
              </w:tcPr>
              <w:p w14:paraId="1E5BEDF0" w14:textId="77777777" w:rsidR="00E10F5C" w:rsidRPr="003E444B" w:rsidRDefault="00E10F5C" w:rsidP="00D97479">
                <w:pPr>
                  <w:pStyle w:val="NoSpacing"/>
                  <w:spacing w:line="276" w:lineRule="auto"/>
                  <w:rPr>
                    <w:b/>
                    <w:bCs/>
                    <w:sz w:val="24"/>
                    <w:szCs w:val="24"/>
                  </w:rPr>
                </w:pPr>
                <w:r w:rsidRPr="003E444B">
                  <w:rPr>
                    <w:b/>
                    <w:bCs/>
                    <w:sz w:val="24"/>
                    <w:szCs w:val="24"/>
                  </w:rPr>
                  <w:t>Student Name:</w:t>
                </w:r>
              </w:p>
            </w:tc>
            <w:tc>
              <w:tcPr>
                <w:tcW w:w="6305" w:type="dxa"/>
                <w:vAlign w:val="center"/>
              </w:tcPr>
              <w:p w14:paraId="47C3D1F9" w14:textId="77777777" w:rsidR="00E10F5C" w:rsidRPr="003E444B" w:rsidRDefault="00E10F5C" w:rsidP="00D97479">
                <w:pPr>
                  <w:pStyle w:val="NoSpacing"/>
                  <w:spacing w:line="276" w:lineRule="auto"/>
                  <w:rPr>
                    <w:sz w:val="24"/>
                    <w:szCs w:val="24"/>
                  </w:rPr>
                </w:pPr>
                <w:r>
                  <w:rPr>
                    <w:sz w:val="24"/>
                    <w:szCs w:val="24"/>
                  </w:rPr>
                  <w:t>Khushi H. Patel</w:t>
                </w:r>
              </w:p>
            </w:tc>
          </w:tr>
          <w:tr w:rsidR="00E10F5C" w:rsidRPr="003E444B" w14:paraId="272121F8" w14:textId="77777777" w:rsidTr="00611B7C">
            <w:tc>
              <w:tcPr>
                <w:tcW w:w="1985" w:type="dxa"/>
                <w:vAlign w:val="center"/>
              </w:tcPr>
              <w:p w14:paraId="4A5CB077" w14:textId="77777777" w:rsidR="00E10F5C" w:rsidRPr="003E444B" w:rsidRDefault="00E10F5C" w:rsidP="00D97479">
                <w:pPr>
                  <w:pStyle w:val="NoSpacing"/>
                  <w:spacing w:line="276" w:lineRule="auto"/>
                  <w:rPr>
                    <w:b/>
                    <w:bCs/>
                    <w:sz w:val="24"/>
                    <w:szCs w:val="24"/>
                  </w:rPr>
                </w:pPr>
                <w:r w:rsidRPr="003E444B">
                  <w:rPr>
                    <w:b/>
                    <w:bCs/>
                    <w:sz w:val="24"/>
                    <w:szCs w:val="24"/>
                  </w:rPr>
                  <w:t>Student ID:</w:t>
                </w:r>
              </w:p>
            </w:tc>
            <w:tc>
              <w:tcPr>
                <w:tcW w:w="6305" w:type="dxa"/>
                <w:vAlign w:val="center"/>
              </w:tcPr>
              <w:p w14:paraId="60EAB4A6" w14:textId="77777777" w:rsidR="00E10F5C" w:rsidRPr="003E444B" w:rsidRDefault="00E10F5C" w:rsidP="00D97479">
                <w:pPr>
                  <w:pStyle w:val="NoSpacing"/>
                  <w:spacing w:line="276" w:lineRule="auto"/>
                  <w:rPr>
                    <w:sz w:val="24"/>
                    <w:szCs w:val="24"/>
                  </w:rPr>
                </w:pPr>
                <w:r>
                  <w:rPr>
                    <w:sz w:val="24"/>
                    <w:szCs w:val="24"/>
                  </w:rPr>
                  <w:t>14524170</w:t>
                </w:r>
              </w:p>
            </w:tc>
          </w:tr>
          <w:tr w:rsidR="00E10F5C" w:rsidRPr="003E444B" w14:paraId="3612B4AA" w14:textId="77777777" w:rsidTr="00611B7C">
            <w:tc>
              <w:tcPr>
                <w:tcW w:w="1985" w:type="dxa"/>
                <w:vAlign w:val="center"/>
              </w:tcPr>
              <w:p w14:paraId="3D20DC85" w14:textId="77777777" w:rsidR="00E10F5C" w:rsidRPr="003E444B" w:rsidRDefault="00E10F5C" w:rsidP="00D97479">
                <w:pPr>
                  <w:pStyle w:val="NoSpacing"/>
                  <w:spacing w:line="276" w:lineRule="auto"/>
                  <w:rPr>
                    <w:b/>
                    <w:bCs/>
                    <w:sz w:val="24"/>
                    <w:szCs w:val="24"/>
                  </w:rPr>
                </w:pPr>
                <w:r w:rsidRPr="003E444B">
                  <w:rPr>
                    <w:b/>
                    <w:bCs/>
                    <w:sz w:val="24"/>
                    <w:szCs w:val="24"/>
                  </w:rPr>
                  <w:t>Degree Title:</w:t>
                </w:r>
              </w:p>
            </w:tc>
            <w:tc>
              <w:tcPr>
                <w:tcW w:w="6305" w:type="dxa"/>
                <w:vAlign w:val="center"/>
              </w:tcPr>
              <w:p w14:paraId="30B8A15A" w14:textId="77777777" w:rsidR="00E10F5C" w:rsidRPr="003E444B" w:rsidRDefault="00E10F5C" w:rsidP="00D97479">
                <w:pPr>
                  <w:pStyle w:val="NoSpacing"/>
                  <w:spacing w:line="276" w:lineRule="auto"/>
                  <w:rPr>
                    <w:sz w:val="24"/>
                    <w:szCs w:val="24"/>
                  </w:rPr>
                </w:pPr>
                <w:r>
                  <w:rPr>
                    <w:sz w:val="24"/>
                    <w:szCs w:val="24"/>
                  </w:rPr>
                  <w:t>MSc. Professional Accounting</w:t>
                </w:r>
              </w:p>
            </w:tc>
          </w:tr>
          <w:tr w:rsidR="00E10F5C" w:rsidRPr="003E444B" w14:paraId="10E851BD" w14:textId="77777777" w:rsidTr="00611B7C">
            <w:tc>
              <w:tcPr>
                <w:tcW w:w="1985" w:type="dxa"/>
                <w:vAlign w:val="center"/>
              </w:tcPr>
              <w:p w14:paraId="06A9B5BA" w14:textId="77777777" w:rsidR="00E10F5C" w:rsidRPr="003E444B" w:rsidRDefault="00E10F5C" w:rsidP="00D97479">
                <w:pPr>
                  <w:pStyle w:val="NoSpacing"/>
                  <w:spacing w:line="276" w:lineRule="auto"/>
                  <w:rPr>
                    <w:b/>
                    <w:bCs/>
                    <w:sz w:val="24"/>
                    <w:szCs w:val="24"/>
                  </w:rPr>
                </w:pPr>
                <w:r w:rsidRPr="003E444B">
                  <w:rPr>
                    <w:b/>
                    <w:bCs/>
                    <w:sz w:val="24"/>
                    <w:szCs w:val="24"/>
                  </w:rPr>
                  <w:t>Level:</w:t>
                </w:r>
              </w:p>
            </w:tc>
            <w:tc>
              <w:tcPr>
                <w:tcW w:w="6305" w:type="dxa"/>
                <w:vAlign w:val="center"/>
              </w:tcPr>
              <w:p w14:paraId="37AD5D7D" w14:textId="77777777" w:rsidR="00E10F5C" w:rsidRPr="003E444B" w:rsidRDefault="00E10F5C" w:rsidP="00D97479">
                <w:pPr>
                  <w:pStyle w:val="NoSpacing"/>
                  <w:spacing w:line="276" w:lineRule="auto"/>
                  <w:rPr>
                    <w:sz w:val="24"/>
                    <w:szCs w:val="24"/>
                  </w:rPr>
                </w:pPr>
                <w:r>
                  <w:rPr>
                    <w:sz w:val="24"/>
                    <w:szCs w:val="24"/>
                  </w:rPr>
                  <w:t>7</w:t>
                </w:r>
              </w:p>
            </w:tc>
          </w:tr>
          <w:tr w:rsidR="00E10F5C" w:rsidRPr="003E444B" w14:paraId="3C50C0FD" w14:textId="77777777" w:rsidTr="00611B7C">
            <w:tc>
              <w:tcPr>
                <w:tcW w:w="1985" w:type="dxa"/>
                <w:vAlign w:val="center"/>
              </w:tcPr>
              <w:p w14:paraId="3B948485" w14:textId="77777777" w:rsidR="00E10F5C" w:rsidRPr="003E444B" w:rsidRDefault="00E10F5C" w:rsidP="00D97479">
                <w:pPr>
                  <w:pStyle w:val="NoSpacing"/>
                  <w:spacing w:line="276" w:lineRule="auto"/>
                  <w:rPr>
                    <w:b/>
                    <w:bCs/>
                    <w:sz w:val="24"/>
                    <w:szCs w:val="24"/>
                  </w:rPr>
                </w:pPr>
                <w:r w:rsidRPr="003E444B">
                  <w:rPr>
                    <w:b/>
                    <w:bCs/>
                    <w:sz w:val="24"/>
                    <w:szCs w:val="24"/>
                  </w:rPr>
                  <w:t>Module Title:</w:t>
                </w:r>
              </w:p>
            </w:tc>
            <w:tc>
              <w:tcPr>
                <w:tcW w:w="6305" w:type="dxa"/>
                <w:vAlign w:val="center"/>
              </w:tcPr>
              <w:p w14:paraId="4BACB962" w14:textId="77777777" w:rsidR="00E10F5C" w:rsidRPr="003E444B" w:rsidRDefault="00E10F5C" w:rsidP="00D97479">
                <w:pPr>
                  <w:pStyle w:val="NoSpacing"/>
                  <w:spacing w:line="276" w:lineRule="auto"/>
                  <w:rPr>
                    <w:sz w:val="24"/>
                    <w:szCs w:val="24"/>
                  </w:rPr>
                </w:pPr>
                <w:r>
                  <w:rPr>
                    <w:sz w:val="24"/>
                    <w:szCs w:val="24"/>
                  </w:rPr>
                  <w:t>Audit, Assurance and Professional Ethics</w:t>
                </w:r>
              </w:p>
            </w:tc>
          </w:tr>
          <w:tr w:rsidR="00E10F5C" w:rsidRPr="003E444B" w14:paraId="4BCEE2B4" w14:textId="77777777" w:rsidTr="00611B7C">
            <w:tc>
              <w:tcPr>
                <w:tcW w:w="1985" w:type="dxa"/>
                <w:vAlign w:val="center"/>
              </w:tcPr>
              <w:p w14:paraId="01088254" w14:textId="77777777" w:rsidR="00E10F5C" w:rsidRPr="003E444B" w:rsidRDefault="00E10F5C" w:rsidP="00D97479">
                <w:pPr>
                  <w:pStyle w:val="NoSpacing"/>
                  <w:spacing w:line="276" w:lineRule="auto"/>
                  <w:rPr>
                    <w:b/>
                    <w:bCs/>
                    <w:sz w:val="24"/>
                    <w:szCs w:val="24"/>
                  </w:rPr>
                </w:pPr>
                <w:r w:rsidRPr="003E444B">
                  <w:rPr>
                    <w:b/>
                    <w:bCs/>
                    <w:sz w:val="24"/>
                    <w:szCs w:val="24"/>
                  </w:rPr>
                  <w:t>Module Code:</w:t>
                </w:r>
              </w:p>
            </w:tc>
            <w:tc>
              <w:tcPr>
                <w:tcW w:w="6305" w:type="dxa"/>
                <w:vAlign w:val="center"/>
              </w:tcPr>
              <w:p w14:paraId="3E7C90E1" w14:textId="77777777" w:rsidR="00E10F5C" w:rsidRPr="003E444B" w:rsidRDefault="00E10F5C" w:rsidP="00D97479">
                <w:pPr>
                  <w:pStyle w:val="NoSpacing"/>
                  <w:spacing w:line="276" w:lineRule="auto"/>
                  <w:rPr>
                    <w:sz w:val="24"/>
                    <w:szCs w:val="24"/>
                  </w:rPr>
                </w:pPr>
                <w:r>
                  <w:rPr>
                    <w:sz w:val="24"/>
                    <w:szCs w:val="24"/>
                  </w:rPr>
                  <w:t>7033AFE</w:t>
                </w:r>
              </w:p>
            </w:tc>
          </w:tr>
          <w:tr w:rsidR="00E10F5C" w:rsidRPr="003E444B" w14:paraId="67FD3FCD" w14:textId="77777777" w:rsidTr="00611B7C">
            <w:tc>
              <w:tcPr>
                <w:tcW w:w="1985" w:type="dxa"/>
                <w:vAlign w:val="center"/>
              </w:tcPr>
              <w:p w14:paraId="5ADBE5F6" w14:textId="77777777" w:rsidR="00E10F5C" w:rsidRPr="003E444B" w:rsidRDefault="00E10F5C" w:rsidP="00D97479">
                <w:pPr>
                  <w:pStyle w:val="NoSpacing"/>
                  <w:spacing w:line="276" w:lineRule="auto"/>
                  <w:rPr>
                    <w:b/>
                    <w:bCs/>
                    <w:sz w:val="24"/>
                    <w:szCs w:val="24"/>
                  </w:rPr>
                </w:pPr>
                <w:r w:rsidRPr="003E444B">
                  <w:rPr>
                    <w:b/>
                    <w:bCs/>
                    <w:sz w:val="24"/>
                    <w:szCs w:val="24"/>
                  </w:rPr>
                  <w:t>Seminar Lecturer:</w:t>
                </w:r>
              </w:p>
            </w:tc>
            <w:tc>
              <w:tcPr>
                <w:tcW w:w="6305" w:type="dxa"/>
                <w:vAlign w:val="center"/>
              </w:tcPr>
              <w:p w14:paraId="4111EEA6" w14:textId="77777777" w:rsidR="00E10F5C" w:rsidRPr="003E444B" w:rsidRDefault="00E10F5C" w:rsidP="00D97479">
                <w:pPr>
                  <w:pStyle w:val="NoSpacing"/>
                  <w:spacing w:line="276" w:lineRule="auto"/>
                  <w:rPr>
                    <w:sz w:val="24"/>
                    <w:szCs w:val="24"/>
                  </w:rPr>
                </w:pPr>
                <w:r w:rsidRPr="00BD618A">
                  <w:rPr>
                    <w:sz w:val="24"/>
                    <w:szCs w:val="24"/>
                  </w:rPr>
                  <w:t>Folashade Kola-Eke</w:t>
                </w:r>
              </w:p>
            </w:tc>
          </w:tr>
        </w:tbl>
        <w:p w14:paraId="79859215" w14:textId="77777777" w:rsidR="00E10F5C" w:rsidRPr="00AD02F9" w:rsidRDefault="00E10F5C" w:rsidP="00D97479">
          <w:pPr>
            <w:pStyle w:val="NoSpacing"/>
            <w:spacing w:line="276" w:lineRule="auto"/>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80"/>
            <w:gridCol w:w="6310"/>
          </w:tblGrid>
          <w:tr w:rsidR="00E10F5C" w:rsidRPr="003E444B" w14:paraId="5CD75406" w14:textId="77777777" w:rsidTr="00611B7C">
            <w:tc>
              <w:tcPr>
                <w:tcW w:w="1980" w:type="dxa"/>
                <w:vAlign w:val="center"/>
              </w:tcPr>
              <w:p w14:paraId="14421E14" w14:textId="77777777" w:rsidR="00E10F5C" w:rsidRPr="003E444B" w:rsidRDefault="00E10F5C" w:rsidP="00D97479">
                <w:pPr>
                  <w:pStyle w:val="NoSpacing"/>
                  <w:spacing w:line="276" w:lineRule="auto"/>
                  <w:rPr>
                    <w:b/>
                    <w:bCs/>
                    <w:sz w:val="24"/>
                    <w:szCs w:val="24"/>
                  </w:rPr>
                </w:pPr>
                <w:r w:rsidRPr="003E444B">
                  <w:rPr>
                    <w:b/>
                    <w:bCs/>
                    <w:sz w:val="24"/>
                    <w:szCs w:val="24"/>
                  </w:rPr>
                  <w:t>Assignment Title:</w:t>
                </w:r>
              </w:p>
            </w:tc>
            <w:tc>
              <w:tcPr>
                <w:tcW w:w="6310" w:type="dxa"/>
                <w:vAlign w:val="center"/>
              </w:tcPr>
              <w:p w14:paraId="47888EB3" w14:textId="029E09A8" w:rsidR="00E10F5C" w:rsidRPr="003E444B" w:rsidRDefault="00431E56" w:rsidP="00D97479">
                <w:pPr>
                  <w:pStyle w:val="NoSpacing"/>
                  <w:spacing w:line="276" w:lineRule="auto"/>
                  <w:rPr>
                    <w:sz w:val="24"/>
                    <w:szCs w:val="24"/>
                  </w:rPr>
                </w:pPr>
                <w:r w:rsidRPr="00431E56">
                  <w:rPr>
                    <w:sz w:val="24"/>
                    <w:szCs w:val="24"/>
                  </w:rPr>
                  <w:t>Problems with audited accounts</w:t>
                </w:r>
              </w:p>
            </w:tc>
          </w:tr>
          <w:tr w:rsidR="00E10F5C" w:rsidRPr="003E444B" w14:paraId="4ADCB85F" w14:textId="77777777" w:rsidTr="00611B7C">
            <w:tc>
              <w:tcPr>
                <w:tcW w:w="1980" w:type="dxa"/>
                <w:vAlign w:val="center"/>
              </w:tcPr>
              <w:p w14:paraId="4BBF52B4" w14:textId="77777777" w:rsidR="00E10F5C" w:rsidRPr="003E444B" w:rsidRDefault="00E10F5C" w:rsidP="00D97479">
                <w:pPr>
                  <w:pStyle w:val="NoSpacing"/>
                  <w:spacing w:line="276" w:lineRule="auto"/>
                  <w:rPr>
                    <w:b/>
                    <w:bCs/>
                    <w:sz w:val="24"/>
                    <w:szCs w:val="24"/>
                  </w:rPr>
                </w:pPr>
                <w:r w:rsidRPr="003E444B">
                  <w:rPr>
                    <w:b/>
                    <w:bCs/>
                    <w:sz w:val="24"/>
                    <w:szCs w:val="24"/>
                  </w:rPr>
                  <w:t>Word Count:</w:t>
                </w:r>
              </w:p>
            </w:tc>
            <w:tc>
              <w:tcPr>
                <w:tcW w:w="6310" w:type="dxa"/>
                <w:vAlign w:val="center"/>
              </w:tcPr>
              <w:p w14:paraId="05D4AC25" w14:textId="35B44EA0" w:rsidR="00E10F5C" w:rsidRPr="003E444B" w:rsidRDefault="00D362D3" w:rsidP="00D97479">
                <w:pPr>
                  <w:pStyle w:val="NoSpacing"/>
                  <w:spacing w:line="276" w:lineRule="auto"/>
                  <w:rPr>
                    <w:sz w:val="24"/>
                    <w:szCs w:val="24"/>
                  </w:rPr>
                </w:pPr>
                <w:r>
                  <w:rPr>
                    <w:sz w:val="24"/>
                    <w:szCs w:val="24"/>
                  </w:rPr>
                  <w:t>2</w:t>
                </w:r>
                <w:r w:rsidR="00B7040D">
                  <w:rPr>
                    <w:sz w:val="24"/>
                    <w:szCs w:val="24"/>
                  </w:rPr>
                  <w:t>071</w:t>
                </w:r>
              </w:p>
            </w:tc>
          </w:tr>
        </w:tbl>
        <w:p w14:paraId="1099DF71" w14:textId="77777777" w:rsidR="00E10F5C" w:rsidRDefault="00E10F5C" w:rsidP="00D97479">
          <w:pPr>
            <w:pStyle w:val="NoSpacing"/>
            <w:spacing w:line="276" w:lineRule="auto"/>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47"/>
            <w:gridCol w:w="5743"/>
          </w:tblGrid>
          <w:tr w:rsidR="00E10F5C" w14:paraId="5E1EB1BE" w14:textId="77777777" w:rsidTr="00611B7C">
            <w:tc>
              <w:tcPr>
                <w:tcW w:w="2547" w:type="dxa"/>
                <w:vAlign w:val="center"/>
              </w:tcPr>
              <w:p w14:paraId="7A1DBE1A" w14:textId="77777777" w:rsidR="00E10F5C" w:rsidRPr="00420630" w:rsidRDefault="00E10F5C" w:rsidP="00D97479">
                <w:pPr>
                  <w:pStyle w:val="NoSpacing"/>
                  <w:spacing w:line="276" w:lineRule="auto"/>
                  <w:rPr>
                    <w:b/>
                    <w:bCs/>
                    <w:sz w:val="24"/>
                    <w:szCs w:val="24"/>
                  </w:rPr>
                </w:pPr>
                <w:r w:rsidRPr="00420630">
                  <w:rPr>
                    <w:b/>
                    <w:bCs/>
                    <w:sz w:val="24"/>
                    <w:szCs w:val="24"/>
                  </w:rPr>
                  <w:t>Link:</w:t>
                </w:r>
              </w:p>
              <w:p w14:paraId="6212D34B" w14:textId="77777777" w:rsidR="00E10F5C" w:rsidRDefault="00E10F5C" w:rsidP="00D97479">
                <w:pPr>
                  <w:pStyle w:val="NoSpacing"/>
                  <w:spacing w:line="276" w:lineRule="auto"/>
                  <w:rPr>
                    <w:sz w:val="32"/>
                    <w:szCs w:val="32"/>
                  </w:rPr>
                </w:pPr>
                <w:r w:rsidRPr="008E5A10">
                  <w:rPr>
                    <w:b/>
                    <w:bCs/>
                  </w:rPr>
                  <w:t>To shared files, wordpress.com Blog, etc.</w:t>
                </w:r>
              </w:p>
            </w:tc>
            <w:tc>
              <w:tcPr>
                <w:tcW w:w="5743" w:type="dxa"/>
                <w:vAlign w:val="center"/>
              </w:tcPr>
              <w:p w14:paraId="0740DB03" w14:textId="423FC5B8" w:rsidR="00E10F5C" w:rsidRPr="000B3381" w:rsidRDefault="00E10F5C" w:rsidP="00D97479">
                <w:pPr>
                  <w:pStyle w:val="NoSpacing"/>
                  <w:spacing w:line="276" w:lineRule="auto"/>
                  <w:rPr>
                    <w:sz w:val="24"/>
                    <w:szCs w:val="24"/>
                  </w:rPr>
                </w:pPr>
              </w:p>
            </w:tc>
          </w:tr>
        </w:tbl>
        <w:p w14:paraId="5A95B3F1" w14:textId="77777777" w:rsidR="00E10F5C" w:rsidRDefault="00E10F5C" w:rsidP="00D97479">
          <w:pPr>
            <w:pStyle w:val="NoSpacing"/>
            <w:spacing w:line="276" w:lineRule="auto"/>
          </w:pPr>
        </w:p>
        <w:p w14:paraId="3C25104C" w14:textId="77777777" w:rsidR="00E10F5C" w:rsidRPr="00420630" w:rsidRDefault="00E10F5C" w:rsidP="00D97479">
          <w:pPr>
            <w:ind w:right="113"/>
            <w:rPr>
              <w:rFonts w:cstheme="minorHAnsi"/>
              <w:b/>
              <w:bCs/>
            </w:rPr>
          </w:pPr>
          <w:r w:rsidRPr="00420630">
            <w:rPr>
              <w:rFonts w:cstheme="minorHAnsi"/>
              <w:b/>
              <w:bCs/>
            </w:rPr>
            <w:t>By submitting this assignment, I confirm that:</w:t>
          </w:r>
        </w:p>
        <w:p w14:paraId="74EF1517" w14:textId="77777777" w:rsidR="00E10F5C" w:rsidRPr="00420630" w:rsidRDefault="00E10F5C" w:rsidP="00D97479">
          <w:pPr>
            <w:ind w:right="113"/>
            <w:rPr>
              <w:rFonts w:cstheme="minorHAnsi"/>
              <w:b/>
              <w:bCs/>
            </w:rPr>
          </w:pPr>
        </w:p>
        <w:p w14:paraId="1308F943" w14:textId="77777777" w:rsidR="00E10F5C" w:rsidRPr="00420630" w:rsidRDefault="00E10F5C" w:rsidP="00D97479">
          <w:pPr>
            <w:numPr>
              <w:ilvl w:val="0"/>
              <w:numId w:val="1"/>
            </w:numPr>
            <w:autoSpaceDE w:val="0"/>
            <w:autoSpaceDN w:val="0"/>
            <w:adjustRightInd w:val="0"/>
            <w:rPr>
              <w:rFonts w:cstheme="minorHAnsi"/>
              <w:color w:val="000000"/>
            </w:rPr>
          </w:pPr>
          <w:r w:rsidRPr="00420630">
            <w:rPr>
              <w:rFonts w:cstheme="minorHAnsi"/>
              <w:color w:val="000000"/>
            </w:rPr>
            <w:t xml:space="preserve">I have read and understood the University’s </w:t>
          </w:r>
          <w:hyperlink r:id="rId10" w:history="1">
            <w:r w:rsidRPr="00AC471F">
              <w:rPr>
                <w:rStyle w:val="Hyperlink"/>
                <w:rFonts w:cstheme="minorHAnsi"/>
              </w:rPr>
              <w:t>Academic Integrity Guidance</w:t>
            </w:r>
          </w:hyperlink>
          <w:r w:rsidRPr="00420630">
            <w:rPr>
              <w:rFonts w:cstheme="minorHAnsi"/>
              <w:color w:val="000000"/>
            </w:rPr>
            <w:t xml:space="preserve"> and that in the attached submission I have worked within the expectations of the Regulations Governing Academic Integrity.</w:t>
          </w:r>
        </w:p>
        <w:p w14:paraId="5A4F3403" w14:textId="6200D86D" w:rsidR="00E10F5C" w:rsidRPr="00420630" w:rsidRDefault="00E10F5C" w:rsidP="00D97479">
          <w:pPr>
            <w:numPr>
              <w:ilvl w:val="0"/>
              <w:numId w:val="1"/>
            </w:numPr>
            <w:autoSpaceDE w:val="0"/>
            <w:autoSpaceDN w:val="0"/>
            <w:adjustRightInd w:val="0"/>
            <w:rPr>
              <w:rFonts w:cstheme="minorHAnsi"/>
              <w:color w:val="000000"/>
            </w:rPr>
          </w:pPr>
          <w:r w:rsidRPr="00420630">
            <w:rPr>
              <w:rFonts w:cstheme="minorHAnsi"/>
              <w:color w:val="000000"/>
            </w:rPr>
            <w:t xml:space="preserve">I am aware that failure to act </w:t>
          </w:r>
          <w:r w:rsidR="00F33664">
            <w:rPr>
              <w:rFonts w:cstheme="minorHAnsi"/>
              <w:color w:val="000000"/>
            </w:rPr>
            <w:t>by</w:t>
          </w:r>
          <w:r>
            <w:rPr>
              <w:rFonts w:cstheme="minorHAnsi"/>
              <w:color w:val="000000"/>
            </w:rPr>
            <w:t xml:space="preserve"> Appendix 1 of the </w:t>
          </w:r>
          <w:hyperlink r:id="rId11" w:history="1">
            <w:r w:rsidRPr="00800236">
              <w:rPr>
                <w:rStyle w:val="Hyperlink"/>
                <w:rFonts w:cstheme="minorHAnsi"/>
              </w:rPr>
              <w:t>General Regulations</w:t>
            </w:r>
          </w:hyperlink>
          <w:r w:rsidRPr="00420630">
            <w:rPr>
              <w:rFonts w:cstheme="minorHAnsi"/>
              <w:color w:val="000000"/>
            </w:rPr>
            <w:t xml:space="preserve"> may lead to the imposition of penalties which, for the most serious cases, may include termination of </w:t>
          </w:r>
          <w:r>
            <w:rPr>
              <w:rFonts w:cstheme="minorHAnsi"/>
              <w:color w:val="000000"/>
            </w:rPr>
            <w:t>studies</w:t>
          </w:r>
          <w:r w:rsidRPr="00420630">
            <w:rPr>
              <w:rFonts w:cstheme="minorHAnsi"/>
              <w:color w:val="000000"/>
            </w:rPr>
            <w:t>.</w:t>
          </w:r>
        </w:p>
        <w:p w14:paraId="2B8B4B88" w14:textId="77777777" w:rsidR="00E10F5C" w:rsidRPr="00420630" w:rsidRDefault="00E10F5C" w:rsidP="00D97479">
          <w:pPr>
            <w:numPr>
              <w:ilvl w:val="0"/>
              <w:numId w:val="1"/>
            </w:numPr>
            <w:autoSpaceDE w:val="0"/>
            <w:autoSpaceDN w:val="0"/>
            <w:adjustRightInd w:val="0"/>
            <w:rPr>
              <w:rFonts w:cstheme="minorHAnsi"/>
              <w:color w:val="000000"/>
            </w:rPr>
          </w:pPr>
          <w:r w:rsidRPr="00420630">
            <w:rPr>
              <w:rFonts w:cstheme="minorHAnsi"/>
              <w:color w:val="000000"/>
            </w:rPr>
            <w:t>I consent to the University copying and distributing any or all of my work in any form and using third parties (who may be based outside the UK/EU) to verify whether my work contains plagiarised material, and for quality assurance purposes.</w:t>
          </w:r>
        </w:p>
        <w:p w14:paraId="19DD5E3A" w14:textId="77777777" w:rsidR="00E10F5C" w:rsidRPr="00420630" w:rsidRDefault="00E10F5C" w:rsidP="00D97479">
          <w:pPr>
            <w:rPr>
              <w:rFonts w:cstheme="minorHAnsi"/>
            </w:rPr>
          </w:pPr>
        </w:p>
        <w:p w14:paraId="5C7484ED" w14:textId="77777777" w:rsidR="00E10F5C" w:rsidRPr="00420630" w:rsidRDefault="00E10F5C" w:rsidP="00D97479">
          <w:pPr>
            <w:rPr>
              <w:rFonts w:cstheme="minorHAnsi"/>
              <w:b/>
              <w:bCs/>
            </w:rPr>
          </w:pPr>
          <w:r w:rsidRPr="00420630">
            <w:rPr>
              <w:rFonts w:cstheme="minorHAnsi"/>
              <w:b/>
              <w:bCs/>
            </w:rPr>
            <w:t xml:space="preserve">Academic Integrity Declaration: </w:t>
          </w:r>
        </w:p>
        <w:p w14:paraId="7D1C583A" w14:textId="77777777" w:rsidR="00E10F5C" w:rsidRPr="00420630" w:rsidRDefault="00E10F5C" w:rsidP="00D97479">
          <w:pPr>
            <w:rPr>
              <w:rFonts w:cstheme="minorHAnsi"/>
              <w:b/>
              <w:bCs/>
            </w:rPr>
          </w:pPr>
        </w:p>
        <w:p w14:paraId="4371AAFF" w14:textId="77777777" w:rsidR="00E10F5C" w:rsidRPr="00420630" w:rsidRDefault="00E10F5C" w:rsidP="00D97479">
          <w:pPr>
            <w:rPr>
              <w:rFonts w:cstheme="minorHAnsi"/>
            </w:rPr>
          </w:pPr>
          <w:r w:rsidRPr="00420630">
            <w:rPr>
              <w:rFonts w:cstheme="minorHAnsi"/>
            </w:rPr>
            <w:t>I</w:t>
          </w:r>
          <w:r w:rsidRPr="00420630">
            <w:t xml:space="preserve">, </w:t>
          </w:r>
          <w:r>
            <w:t>Khushi H. Patel</w:t>
          </w:r>
          <w:r w:rsidRPr="00420630">
            <w:rPr>
              <w:rFonts w:cstheme="minorHAnsi"/>
            </w:rPr>
            <w:t xml:space="preserve"> am aware of the requirements of good academic practice and the potential penalties for any breaches.</w:t>
          </w:r>
        </w:p>
        <w:p w14:paraId="7AB9D120" w14:textId="77777777" w:rsidR="00E10F5C" w:rsidRPr="00420630" w:rsidRDefault="00E10F5C" w:rsidP="00D97479">
          <w:pPr>
            <w:pStyle w:val="NoSpacing"/>
            <w:spacing w:line="276" w:lineRule="auto"/>
            <w:rPr>
              <w:sz w:val="24"/>
              <w:szCs w:val="24"/>
            </w:rPr>
          </w:pPr>
        </w:p>
        <w:p w14:paraId="4598A652" w14:textId="1D66F880" w:rsidR="00E10F5C" w:rsidRPr="00420630" w:rsidRDefault="00E10F5C" w:rsidP="00D97479">
          <w:pPr>
            <w:pStyle w:val="NoSpacing"/>
            <w:spacing w:line="276" w:lineRule="auto"/>
            <w:rPr>
              <w:sz w:val="24"/>
              <w:szCs w:val="24"/>
            </w:rPr>
          </w:pPr>
          <w:r w:rsidRPr="00420630">
            <w:rPr>
              <w:sz w:val="24"/>
              <w:szCs w:val="24"/>
            </w:rPr>
            <w:t xml:space="preserve">I, </w:t>
          </w:r>
          <w:r>
            <w:rPr>
              <w:sz w:val="24"/>
              <w:szCs w:val="24"/>
            </w:rPr>
            <w:t>Khushi H. Patel</w:t>
          </w:r>
          <w:r w:rsidRPr="00420630">
            <w:rPr>
              <w:sz w:val="24"/>
              <w:szCs w:val="24"/>
            </w:rPr>
            <w:t xml:space="preserve"> confirm that this submission is my work and I accept all responsibility for any copyright infringement that may occur as a result of this submission.</w:t>
          </w:r>
        </w:p>
        <w:p w14:paraId="0C316EA2" w14:textId="77777777" w:rsidR="00E10F5C" w:rsidRPr="00420630" w:rsidRDefault="00E10F5C" w:rsidP="00D97479">
          <w:pPr>
            <w:pStyle w:val="NoSpacing"/>
            <w:spacing w:line="276" w:lineRule="auto"/>
            <w:rPr>
              <w:rFonts w:ascii="Arial" w:hAnsi="Arial"/>
              <w:b/>
              <w:color w:val="000000"/>
              <w:sz w:val="36"/>
              <w:szCs w:val="3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47"/>
            <w:gridCol w:w="5743"/>
          </w:tblGrid>
          <w:tr w:rsidR="00E10F5C" w:rsidRPr="00420630" w14:paraId="63B0B3A2" w14:textId="77777777" w:rsidTr="00611B7C">
            <w:tc>
              <w:tcPr>
                <w:tcW w:w="2547" w:type="dxa"/>
                <w:vAlign w:val="center"/>
              </w:tcPr>
              <w:p w14:paraId="5F6E0455" w14:textId="77777777" w:rsidR="00E10F5C" w:rsidRPr="00420630" w:rsidRDefault="00E10F5C" w:rsidP="00D97479">
                <w:pPr>
                  <w:pStyle w:val="NoSpacing"/>
                  <w:spacing w:line="276" w:lineRule="auto"/>
                  <w:rPr>
                    <w:sz w:val="36"/>
                    <w:szCs w:val="36"/>
                  </w:rPr>
                </w:pPr>
                <w:r w:rsidRPr="00420630">
                  <w:rPr>
                    <w:sz w:val="24"/>
                    <w:szCs w:val="24"/>
                  </w:rPr>
                  <w:t>Date of Submission:</w:t>
                </w:r>
              </w:p>
            </w:tc>
            <w:tc>
              <w:tcPr>
                <w:tcW w:w="5743" w:type="dxa"/>
                <w:vAlign w:val="center"/>
              </w:tcPr>
              <w:p w14:paraId="1AA915A9" w14:textId="00394EBB" w:rsidR="00E10F5C" w:rsidRPr="00BD618A" w:rsidRDefault="00B7040D" w:rsidP="00D97479">
                <w:pPr>
                  <w:pStyle w:val="NoSpacing"/>
                  <w:spacing w:line="276" w:lineRule="auto"/>
                  <w:rPr>
                    <w:sz w:val="24"/>
                    <w:szCs w:val="24"/>
                  </w:rPr>
                </w:pPr>
                <w:r>
                  <w:rPr>
                    <w:sz w:val="24"/>
                    <w:szCs w:val="24"/>
                  </w:rPr>
                  <w:t>7</w:t>
                </w:r>
                <w:r w:rsidRPr="00B7040D">
                  <w:rPr>
                    <w:sz w:val="24"/>
                    <w:szCs w:val="24"/>
                    <w:vertAlign w:val="superscript"/>
                  </w:rPr>
                  <w:t>th</w:t>
                </w:r>
                <w:r w:rsidR="00E10F5C" w:rsidRPr="00BD618A">
                  <w:rPr>
                    <w:sz w:val="24"/>
                    <w:szCs w:val="24"/>
                  </w:rPr>
                  <w:t xml:space="preserve"> July, 2024</w:t>
                </w:r>
              </w:p>
            </w:tc>
          </w:tr>
        </w:tbl>
        <w:p w14:paraId="0CE83362" w14:textId="77777777" w:rsidR="00E10F5C" w:rsidRDefault="00E10F5C" w:rsidP="008F5A66">
          <w:pPr>
            <w:widowControl w:val="0"/>
            <w:spacing w:line="360" w:lineRule="auto"/>
            <w:rPr>
              <w:b/>
              <w:color w:val="000000"/>
              <w:sz w:val="32"/>
              <w:szCs w:val="32"/>
            </w:rPr>
          </w:pPr>
        </w:p>
        <w:p w14:paraId="7E0B878C" w14:textId="4CA39DB3" w:rsidR="00E10F5C" w:rsidRPr="007D6B8C" w:rsidRDefault="00B5699D" w:rsidP="007D6B8C">
          <w:pPr>
            <w:widowControl w:val="0"/>
            <w:spacing w:line="360" w:lineRule="auto"/>
            <w:rPr>
              <w:b/>
              <w:color w:val="000000"/>
              <w:sz w:val="32"/>
              <w:szCs w:val="32"/>
            </w:rPr>
          </w:pPr>
          <w:r>
            <w:rPr>
              <w:noProof/>
              <w:lang w:eastAsia="zh-CN"/>
            </w:rPr>
            <mc:AlternateContent>
              <mc:Choice Requires="wps">
                <w:drawing>
                  <wp:anchor distT="0" distB="0" distL="114300" distR="114300" simplePos="0" relativeHeight="251659264" behindDoc="1" locked="0" layoutInCell="1" allowOverlap="1" wp14:anchorId="1AA2F9BD" wp14:editId="48ED740C">
                    <wp:simplePos x="0" y="0"/>
                    <wp:positionH relativeFrom="page">
                      <wp:posOffset>219710</wp:posOffset>
                    </wp:positionH>
                    <wp:positionV relativeFrom="page">
                      <wp:posOffset>336550</wp:posOffset>
                    </wp:positionV>
                    <wp:extent cx="1712595" cy="9354820"/>
                    <wp:effectExtent l="12700" t="12700" r="13970" b="17780"/>
                    <wp:wrapTight wrapText="bothSides">
                      <wp:wrapPolygon edited="1">
                        <wp:start x="-39" y="-29"/>
                        <wp:lineTo x="-39" y="21612"/>
                        <wp:lineTo x="23474" y="23697"/>
                        <wp:lineTo x="21604" y="-29"/>
                        <wp:lineTo x="-39" y="-29"/>
                      </wp:wrapPolygon>
                    </wp:wrapTight>
                    <wp:docPr id="138" name="Text Box 30"/>
                    <wp:cNvGraphicFramePr/>
                    <a:graphic xmlns:a="http://schemas.openxmlformats.org/drawingml/2006/main">
                      <a:graphicData uri="http://schemas.microsoft.com/office/word/2010/wordprocessingShape">
                        <wps:wsp>
                          <wps:cNvSpPr txBox="1"/>
                          <wps:spPr>
                            <a:xfrm>
                              <a:off x="0" y="0"/>
                              <a:ext cx="1712595" cy="9354820"/>
                            </a:xfrm>
                            <a:prstGeom prst="rect">
                              <a:avLst/>
                            </a:prstGeom>
                            <a:ln>
                              <a:solidFill>
                                <a:srgbClr val="C0504D"/>
                              </a:solidFill>
                            </a:ln>
                          </wps:spPr>
                          <wps:style>
                            <a:lnRef idx="2">
                              <a:schemeClr val="accent4"/>
                            </a:lnRef>
                            <a:fillRef idx="1">
                              <a:schemeClr val="lt1"/>
                            </a:fillRef>
                            <a:effectRef idx="0">
                              <a:schemeClr val="accent4"/>
                            </a:effectRef>
                            <a:fontRef idx="minor">
                              <a:schemeClr val="dk1"/>
                            </a:fontRef>
                          </wps:style>
                          <wps:txb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96" w:type="dxa"/>
                                    <w:left w:w="360" w:type="dxa"/>
                                    <w:bottom w:w="1296" w:type="dxa"/>
                                    <w:right w:w="360" w:type="dxa"/>
                                  </w:tblCellMar>
                                  <w:tblLook w:val="04A0" w:firstRow="1" w:lastRow="0" w:firstColumn="1" w:lastColumn="0" w:noHBand="0" w:noVBand="1"/>
                                </w:tblPr>
                                <w:tblGrid>
                                  <w:gridCol w:w="5546"/>
                                  <w:gridCol w:w="2628"/>
                                </w:tblGrid>
                                <w:tr w:rsidR="000E0F2A" w:rsidRPr="001252DF" w14:paraId="58C67F6C" w14:textId="77777777" w:rsidTr="007F4AF8">
                                  <w:trPr>
                                    <w:jc w:val="center"/>
                                  </w:trPr>
                                  <w:tc>
                                    <w:tcPr>
                                      <w:tcW w:w="2568" w:type="pct"/>
                                      <w:vAlign w:val="center"/>
                                    </w:tcPr>
                                    <w:p w14:paraId="4F0123B4" w14:textId="77777777" w:rsidR="00676990" w:rsidRPr="001252DF" w:rsidRDefault="00676990" w:rsidP="007F4AF8">
                                      <w:pPr>
                                        <w:jc w:val="right"/>
                                        <w:rPr>
                                          <w:color w:val="000000" w:themeColor="text1"/>
                                          <w14:textOutline w14:w="9525" w14:cap="rnd" w14:cmpd="sng" w14:algn="ctr">
                                            <w14:noFill/>
                                            <w14:prstDash w14:val="solid"/>
                                            <w14:bevel/>
                                          </w14:textOutline>
                                        </w:rPr>
                                      </w:pPr>
                                      <w:r w:rsidRPr="001252DF">
                                        <w:rPr>
                                          <w:noProof/>
                                          <w:color w:val="000000" w:themeColor="text1"/>
                                          <w14:textOutline w14:w="9525" w14:cap="rnd" w14:cmpd="sng" w14:algn="ctr">
                                            <w14:noFill/>
                                            <w14:prstDash w14:val="solid"/>
                                            <w14:bevel/>
                                          </w14:textOutline>
                                        </w:rPr>
                                        <w:drawing>
                                          <wp:inline distT="0" distB="0" distL="0" distR="0" wp14:anchorId="35AB324E" wp14:editId="519082E0">
                                            <wp:extent cx="3065006" cy="1866588"/>
                                            <wp:effectExtent l="0" t="0" r="0" b="635"/>
                                            <wp:docPr id="990690329" name="Picture 29" descr="Wirecard Clears Own Executive at Center of Fraud Allegations - Bloom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99285" name="Picture 29" descr="Wirecard Clears Own Executive at Center of Fraud Allegations - Bloomberg"/>
                                                    <pic:cNvPicPr/>
                                                  </pic:nvPicPr>
                                                  <pic:blipFill>
                                                    <a:blip r:embed="rId12">
                                                      <a:extLst>
                                                        <a:ext uri="{837473B0-CC2E-450A-ABE3-18F120FF3D39}">
                                                          <a1611:picAttrSrcUrl xmlns:a1611="http://schemas.microsoft.com/office/drawing/2016/11/main" r:id="rId13"/>
                                                        </a:ext>
                                                      </a:extLst>
                                                    </a:blip>
                                                    <a:stretch>
                                                      <a:fillRect/>
                                                    </a:stretch>
                                                  </pic:blipFill>
                                                  <pic:spPr>
                                                    <a:xfrm>
                                                      <a:off x="0" y="0"/>
                                                      <a:ext cx="3065006" cy="1866588"/>
                                                    </a:xfrm>
                                                    <a:prstGeom prst="rect">
                                                      <a:avLst/>
                                                    </a:prstGeom>
                                                  </pic:spPr>
                                                </pic:pic>
                                              </a:graphicData>
                                            </a:graphic>
                                          </wp:inline>
                                        </w:drawing>
                                      </w:r>
                                    </w:p>
                                    <w:sdt>
                                      <w:sdtPr>
                                        <w:rPr>
                                          <w:caps/>
                                          <w:color w:val="000000" w:themeColor="text1"/>
                                          <w:sz w:val="72"/>
                                          <w:szCs w:val="72"/>
                                          <w14:textOutline w14:w="9525" w14:cap="rnd" w14:cmpd="sng" w14:algn="ctr">
                                            <w14:noFill/>
                                            <w14:prstDash w14:val="solid"/>
                                            <w14:bevel/>
                                          </w14:textOutline>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9C38DD3" w14:textId="69C7A5E5" w:rsidR="00676990" w:rsidRPr="001252DF" w:rsidRDefault="00C35802" w:rsidP="004F6C36">
                                          <w:pPr>
                                            <w:pStyle w:val="NoSpacing"/>
                                            <w:spacing w:line="276" w:lineRule="auto"/>
                                            <w:jc w:val="right"/>
                                            <w:rPr>
                                              <w:caps/>
                                              <w:color w:val="000000" w:themeColor="text1"/>
                                              <w:sz w:val="72"/>
                                              <w:szCs w:val="72"/>
                                              <w14:textOutline w14:w="9525" w14:cap="rnd" w14:cmpd="sng" w14:algn="ctr">
                                                <w14:noFill/>
                                                <w14:prstDash w14:val="solid"/>
                                                <w14:bevel/>
                                              </w14:textOutline>
                                            </w:rPr>
                                          </w:pPr>
                                          <w:r w:rsidRPr="001252DF">
                                            <w:rPr>
                                              <w:caps/>
                                              <w:color w:val="000000" w:themeColor="text1"/>
                                              <w:sz w:val="72"/>
                                              <w:szCs w:val="72"/>
                                              <w14:textOutline w14:w="9525" w14:cap="rnd" w14:cmpd="sng" w14:algn="ctr">
                                                <w14:noFill/>
                                                <w14:prstDash w14:val="solid"/>
                                                <w14:bevel/>
                                              </w14:textOutline>
                                            </w:rPr>
                                            <w:t>Audit Issues At wirecard</w:t>
                                          </w:r>
                                          <w:r w:rsidR="00D95716" w:rsidRPr="001252DF">
                                            <w:rPr>
                                              <w:caps/>
                                              <w:color w:val="000000" w:themeColor="text1"/>
                                              <w:sz w:val="72"/>
                                              <w:szCs w:val="72"/>
                                              <w14:textOutline w14:w="9525" w14:cap="rnd" w14:cmpd="sng" w14:algn="ctr">
                                                <w14:noFill/>
                                                <w14:prstDash w14:val="solid"/>
                                                <w14:bevel/>
                                              </w14:textOutline>
                                            </w:rPr>
                                            <w:t xml:space="preserve"> AG</w:t>
                                          </w:r>
                                          <w:r w:rsidRPr="001252DF">
                                            <w:rPr>
                                              <w:caps/>
                                              <w:color w:val="000000" w:themeColor="text1"/>
                                              <w:sz w:val="72"/>
                                              <w:szCs w:val="72"/>
                                              <w14:textOutline w14:w="9525" w14:cap="rnd" w14:cmpd="sng" w14:algn="ctr">
                                                <w14:noFill/>
                                                <w14:prstDash w14:val="solid"/>
                                                <w14:bevel/>
                                              </w14:textOutline>
                                            </w:rPr>
                                            <w:t>.</w:t>
                                          </w:r>
                                        </w:p>
                                      </w:sdtContent>
                                    </w:sdt>
                                    <w:sdt>
                                      <w:sdtPr>
                                        <w:rPr>
                                          <w:color w:val="C0504D"/>
                                          <w14:textOutline w14:w="9525" w14:cap="rnd" w14:cmpd="sng" w14:algn="ctr">
                                            <w14:noFill/>
                                            <w14:prstDash w14:val="solid"/>
                                            <w14:bevel/>
                                          </w14:textOutline>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E24C4E5" w14:textId="67C4C7E0" w:rsidR="00676990" w:rsidRPr="001252DF" w:rsidRDefault="00FF68AF" w:rsidP="007F4AF8">
                                          <w:pPr>
                                            <w:jc w:val="right"/>
                                            <w:rPr>
                                              <w:color w:val="000000" w:themeColor="text1"/>
                                              <w14:textOutline w14:w="9525" w14:cap="rnd" w14:cmpd="sng" w14:algn="ctr">
                                                <w14:noFill/>
                                                <w14:prstDash w14:val="solid"/>
                                                <w14:bevel/>
                                              </w14:textOutline>
                                            </w:rPr>
                                          </w:pPr>
                                          <w:r w:rsidRPr="001252DF">
                                            <w:rPr>
                                              <w:color w:val="C0504D"/>
                                              <w14:textOutline w14:w="9525" w14:cap="rnd" w14:cmpd="sng" w14:algn="ctr">
                                                <w14:noFill/>
                                                <w14:prstDash w14:val="solid"/>
                                                <w14:bevel/>
                                              </w14:textOutline>
                                            </w:rPr>
                                            <w:t>Individual Report</w:t>
                                          </w:r>
                                        </w:p>
                                      </w:sdtContent>
                                    </w:sdt>
                                  </w:tc>
                                  <w:tc>
                                    <w:tcPr>
                                      <w:tcW w:w="2432" w:type="pct"/>
                                      <w:vAlign w:val="center"/>
                                    </w:tcPr>
                                    <w:p w14:paraId="137D0987" w14:textId="2D7B8425" w:rsidR="00F23F5E" w:rsidRPr="001252DF" w:rsidRDefault="00F23F5E" w:rsidP="00F51D4E">
                                      <w:pPr>
                                        <w:rPr>
                                          <w:b/>
                                          <w:bCs/>
                                        </w:rPr>
                                      </w:pPr>
                                      <w:r w:rsidRPr="001252DF">
                                        <w:rPr>
                                          <w:b/>
                                          <w:bCs/>
                                        </w:rPr>
                                        <w:t>Abstract:</w:t>
                                      </w:r>
                                    </w:p>
                                    <w:p w14:paraId="43A27EF3" w14:textId="40CCFFC5" w:rsidR="00676990" w:rsidRPr="001252DF" w:rsidRDefault="00F51D4E" w:rsidP="003F2E10">
                                      <w:pPr>
                                        <w:rPr>
                                          <w:rFonts w:cs="Arial"/>
                                        </w:rPr>
                                      </w:pPr>
                                      <w:r w:rsidRPr="001252DF">
                                        <w:rPr>
                                          <w:rFonts w:cs="Arial"/>
                                        </w:rPr>
                                        <w:t>This report includes a comprehensive analysis of audit issues at Wirecard AG.</w:t>
                                      </w:r>
                                      <w:r w:rsidR="00984652" w:rsidRPr="001252DF">
                                        <w:rPr>
                                          <w:rFonts w:cs="Arial"/>
                                        </w:rPr>
                                        <w:t xml:space="preserve"> The findings reveal significant threats to auditor’s independence and objectivity and potential conflict of interest. The report concludes with recommendations </w:t>
                                      </w:r>
                                      <w:r w:rsidR="0038246A" w:rsidRPr="001252DF">
                                        <w:rPr>
                                          <w:rFonts w:cs="Arial"/>
                                        </w:rPr>
                                        <w:t>for strict and robust oversight regulatory framework and quality control over auditing procedures and ethical standards to prevent future frauds.</w:t>
                                      </w:r>
                                    </w:p>
                                    <w:p w14:paraId="4BED107C" w14:textId="71BEC657" w:rsidR="00676990" w:rsidRPr="001252DF" w:rsidRDefault="00676990" w:rsidP="007F4AF8">
                                      <w:pPr>
                                        <w:rPr>
                                          <w:color w:val="000000" w:themeColor="text1"/>
                                          <w14:textOutline w14:w="9525" w14:cap="rnd" w14:cmpd="sng" w14:algn="ctr">
                                            <w14:noFill/>
                                            <w14:prstDash w14:val="solid"/>
                                            <w14:bevel/>
                                          </w14:textOutline>
                                        </w:rPr>
                                      </w:pPr>
                                    </w:p>
                                    <w:p w14:paraId="35DD1BE2" w14:textId="77777777" w:rsidR="0038246A" w:rsidRPr="001252DF" w:rsidRDefault="0038246A" w:rsidP="007F4AF8">
                                      <w:pPr>
                                        <w:rPr>
                                          <w:color w:val="000000" w:themeColor="text1"/>
                                          <w14:textOutline w14:w="9525" w14:cap="rnd" w14:cmpd="sng" w14:algn="ctr">
                                            <w14:noFill/>
                                            <w14:prstDash w14:val="solid"/>
                                            <w14:bevel/>
                                          </w14:textOutline>
                                        </w:rPr>
                                      </w:pPr>
                                    </w:p>
                                    <w:p w14:paraId="1791B514" w14:textId="77777777" w:rsidR="0038246A" w:rsidRPr="001252DF" w:rsidRDefault="0038246A" w:rsidP="007F4AF8">
                                      <w:pPr>
                                        <w:rPr>
                                          <w:color w:val="000000" w:themeColor="text1"/>
                                          <w14:textOutline w14:w="9525" w14:cap="rnd" w14:cmpd="sng" w14:algn="ctr">
                                            <w14:noFill/>
                                            <w14:prstDash w14:val="solid"/>
                                            <w14:bevel/>
                                          </w14:textOutline>
                                        </w:rPr>
                                      </w:pPr>
                                    </w:p>
                                    <w:p w14:paraId="6498C2F3" w14:textId="77777777" w:rsidR="0038246A" w:rsidRPr="001252DF" w:rsidRDefault="0038246A" w:rsidP="007F4AF8">
                                      <w:pPr>
                                        <w:rPr>
                                          <w:color w:val="000000" w:themeColor="text1"/>
                                          <w14:textOutline w14:w="9525" w14:cap="rnd" w14:cmpd="sng" w14:algn="ctr">
                                            <w14:noFill/>
                                            <w14:prstDash w14:val="solid"/>
                                            <w14:bevel/>
                                          </w14:textOutline>
                                        </w:rPr>
                                      </w:pPr>
                                    </w:p>
                                    <w:p w14:paraId="517DA56D" w14:textId="77777777" w:rsidR="0038246A" w:rsidRPr="001252DF" w:rsidRDefault="0038246A" w:rsidP="007F4AF8">
                                      <w:pPr>
                                        <w:rPr>
                                          <w:color w:val="000000" w:themeColor="text1"/>
                                          <w14:textOutline w14:w="9525" w14:cap="rnd" w14:cmpd="sng" w14:algn="ctr">
                                            <w14:noFill/>
                                            <w14:prstDash w14:val="solid"/>
                                            <w14:bevel/>
                                          </w14:textOutline>
                                        </w:rPr>
                                      </w:pPr>
                                    </w:p>
                                    <w:p w14:paraId="54B84F3A" w14:textId="77777777" w:rsidR="0038246A" w:rsidRPr="001252DF" w:rsidRDefault="0038246A" w:rsidP="007F4AF8">
                                      <w:pPr>
                                        <w:rPr>
                                          <w:color w:val="000000" w:themeColor="text1"/>
                                          <w14:textOutline w14:w="9525" w14:cap="rnd" w14:cmpd="sng" w14:algn="ctr">
                                            <w14:noFill/>
                                            <w14:prstDash w14:val="solid"/>
                                            <w14:bevel/>
                                          </w14:textOutline>
                                        </w:rPr>
                                      </w:pPr>
                                    </w:p>
                                    <w:p w14:paraId="2B06B6A6" w14:textId="77777777" w:rsidR="0038246A" w:rsidRPr="001252DF" w:rsidRDefault="0038246A" w:rsidP="007F4AF8">
                                      <w:pPr>
                                        <w:rPr>
                                          <w:color w:val="000000" w:themeColor="text1"/>
                                          <w14:textOutline w14:w="9525" w14:cap="rnd" w14:cmpd="sng" w14:algn="ctr">
                                            <w14:noFill/>
                                            <w14:prstDash w14:val="solid"/>
                                            <w14:bevel/>
                                          </w14:textOutline>
                                        </w:rPr>
                                      </w:pPr>
                                    </w:p>
                                    <w:p w14:paraId="14797DFC" w14:textId="77777777" w:rsidR="0038246A" w:rsidRPr="001252DF" w:rsidRDefault="0038246A" w:rsidP="007F4AF8">
                                      <w:pPr>
                                        <w:rPr>
                                          <w:color w:val="000000" w:themeColor="text1"/>
                                          <w14:textOutline w14:w="9525" w14:cap="rnd" w14:cmpd="sng" w14:algn="ctr">
                                            <w14:noFill/>
                                            <w14:prstDash w14:val="solid"/>
                                            <w14:bevel/>
                                          </w14:textOutline>
                                        </w:rPr>
                                      </w:pPr>
                                    </w:p>
                                    <w:p w14:paraId="01575C41" w14:textId="77777777" w:rsidR="0038246A" w:rsidRPr="001252DF" w:rsidRDefault="0038246A" w:rsidP="007F4AF8">
                                      <w:pPr>
                                        <w:rPr>
                                          <w:color w:val="000000" w:themeColor="text1"/>
                                          <w14:textOutline w14:w="9525" w14:cap="rnd" w14:cmpd="sng" w14:algn="ctr">
                                            <w14:noFill/>
                                            <w14:prstDash w14:val="solid"/>
                                            <w14:bevel/>
                                          </w14:textOutline>
                                        </w:rPr>
                                      </w:pPr>
                                    </w:p>
                                    <w:p w14:paraId="756FA4D2" w14:textId="77777777" w:rsidR="0038246A" w:rsidRPr="001252DF" w:rsidRDefault="0038246A" w:rsidP="007F4AF8">
                                      <w:pPr>
                                        <w:rPr>
                                          <w:color w:val="000000" w:themeColor="text1"/>
                                          <w14:textOutline w14:w="9525" w14:cap="rnd" w14:cmpd="sng" w14:algn="ctr">
                                            <w14:noFill/>
                                            <w14:prstDash w14:val="solid"/>
                                            <w14:bevel/>
                                          </w14:textOutline>
                                        </w:rPr>
                                      </w:pPr>
                                    </w:p>
                                    <w:p w14:paraId="11221BDB" w14:textId="77777777" w:rsidR="0038246A" w:rsidRPr="001252DF" w:rsidRDefault="0038246A" w:rsidP="007F4AF8">
                                      <w:pPr>
                                        <w:rPr>
                                          <w:color w:val="000000" w:themeColor="text1"/>
                                          <w14:textOutline w14:w="9525" w14:cap="rnd" w14:cmpd="sng" w14:algn="ctr">
                                            <w14:noFill/>
                                            <w14:prstDash w14:val="solid"/>
                                            <w14:bevel/>
                                          </w14:textOutline>
                                        </w:rPr>
                                      </w:pPr>
                                    </w:p>
                                    <w:p w14:paraId="02B852B2" w14:textId="77777777" w:rsidR="0038246A" w:rsidRPr="001252DF" w:rsidRDefault="0038246A" w:rsidP="007F4AF8">
                                      <w:pPr>
                                        <w:rPr>
                                          <w:color w:val="000000" w:themeColor="text1"/>
                                          <w14:textOutline w14:w="9525" w14:cap="rnd" w14:cmpd="sng" w14:algn="ctr">
                                            <w14:noFill/>
                                            <w14:prstDash w14:val="solid"/>
                                            <w14:bevel/>
                                          </w14:textOutline>
                                        </w:rPr>
                                      </w:pPr>
                                    </w:p>
                                    <w:p w14:paraId="367AD1E6" w14:textId="77777777" w:rsidR="0038246A" w:rsidRPr="001252DF" w:rsidRDefault="0038246A" w:rsidP="007F4AF8">
                                      <w:pPr>
                                        <w:rPr>
                                          <w:color w:val="000000" w:themeColor="text1"/>
                                          <w14:textOutline w14:w="9525" w14:cap="rnd" w14:cmpd="sng" w14:algn="ctr">
                                            <w14:noFill/>
                                            <w14:prstDash w14:val="solid"/>
                                            <w14:bevel/>
                                          </w14:textOutline>
                                        </w:rPr>
                                      </w:pPr>
                                    </w:p>
                                    <w:p w14:paraId="3400469B" w14:textId="77777777" w:rsidR="0038246A" w:rsidRPr="001252DF" w:rsidRDefault="0038246A" w:rsidP="007F4AF8">
                                      <w:pPr>
                                        <w:rPr>
                                          <w:color w:val="000000" w:themeColor="text1"/>
                                          <w14:textOutline w14:w="9525" w14:cap="rnd" w14:cmpd="sng" w14:algn="ctr">
                                            <w14:noFill/>
                                            <w14:prstDash w14:val="solid"/>
                                            <w14:bevel/>
                                          </w14:textOutline>
                                        </w:rPr>
                                      </w:pPr>
                                    </w:p>
                                    <w:p w14:paraId="609E4793" w14:textId="51071117" w:rsidR="00676990" w:rsidRPr="001252DF" w:rsidRDefault="00676990" w:rsidP="007F4AF8">
                                      <w:pPr>
                                        <w:pStyle w:val="NoSpacing"/>
                                        <w:rPr>
                                          <w:color w:val="4F81BD" w:themeColor="accent1"/>
                                          <w:sz w:val="44"/>
                                          <w:szCs w:val="44"/>
                                          <w14:textOutline w14:w="9525" w14:cap="rnd" w14:cmpd="sng" w14:algn="ctr">
                                            <w14:noFill/>
                                            <w14:prstDash w14:val="solid"/>
                                            <w14:bevel/>
                                          </w14:textOutline>
                                        </w:rPr>
                                      </w:pPr>
                                    </w:p>
                                    <w:p w14:paraId="332CCD23" w14:textId="09BE7D7D" w:rsidR="00676990" w:rsidRPr="001252DF" w:rsidRDefault="00FB3165" w:rsidP="007F4AF8">
                                      <w:pPr>
                                        <w:pStyle w:val="NoSpacing"/>
                                        <w:rPr>
                                          <w:color w:val="000000" w:themeColor="text1"/>
                                          <w14:textOutline w14:w="9525" w14:cap="rnd" w14:cmpd="sng" w14:algn="ctr">
                                            <w14:noFill/>
                                            <w14:prstDash w14:val="solid"/>
                                            <w14:bevel/>
                                          </w14:textOutline>
                                        </w:rPr>
                                      </w:pPr>
                                      <w:sdt>
                                        <w:sdtPr>
                                          <w:rPr>
                                            <w:color w:val="000000" w:themeColor="text1"/>
                                            <w14:textOutline w14:w="9525" w14:cap="rnd" w14:cmpd="sng" w14:algn="ctr">
                                              <w14:noFill/>
                                              <w14:prstDash w14:val="solid"/>
                                              <w14:bevel/>
                                            </w14:textOutline>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F68AF" w:rsidRPr="001252DF">
                                            <w:rPr>
                                              <w:color w:val="000000" w:themeColor="text1"/>
                                              <w14:textOutline w14:w="9525" w14:cap="rnd" w14:cmpd="sng" w14:algn="ctr">
                                                <w14:noFill/>
                                                <w14:prstDash w14:val="solid"/>
                                                <w14:bevel/>
                                              </w14:textOutline>
                                            </w:rPr>
                                            <w:t>Audit, Assurance and Professional Ethics</w:t>
                                          </w:r>
                                        </w:sdtContent>
                                      </w:sdt>
                                    </w:p>
                                  </w:tc>
                                </w:tr>
                              </w:tbl>
                              <w:p w14:paraId="5213258E" w14:textId="77777777" w:rsidR="00676990" w:rsidRPr="001252DF" w:rsidRDefault="00676990" w:rsidP="007F4AF8">
                                <w:pP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AA2F9BD" id="_x0000_t202" coordsize="21600,21600" o:spt="202" path="m,l,21600r21600,l21600,xe">
                    <v:stroke joinstyle="miter"/>
                    <v:path gradientshapeok="t" o:connecttype="rect"/>
                  </v:shapetype>
                  <v:shape id="Text Box 30" o:spid="_x0000_s1026" type="#_x0000_t202" style="position:absolute;left:0;text-align:left;margin-left:17.3pt;margin-top:26.5pt;width:134.85pt;height:736.6pt;z-index:-25165721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wrapcoords="-162 -29 -162 21612 97465 23697 89700 -29 -162 -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" fillcolor="white [3201]" strokecolor="#c0504d" strokeweight="2pt">
                    <v:textbox inset="10mm,10mm,10mm,10mm">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96" w:type="dxa"/>
                              <w:left w:w="360" w:type="dxa"/>
                              <w:bottom w:w="1296" w:type="dxa"/>
                              <w:right w:w="360" w:type="dxa"/>
                            </w:tblCellMar>
                            <w:tblLook w:val="04A0" w:firstRow="1" w:lastRow="0" w:firstColumn="1" w:lastColumn="0" w:noHBand="0" w:noVBand="1"/>
                          </w:tblPr>
                          <w:tblGrid>
                            <w:gridCol w:w="5546"/>
                            <w:gridCol w:w="2628"/>
                          </w:tblGrid>
                          <w:tr w:rsidR="000E0F2A" w:rsidRPr="001252DF" w14:paraId="58C67F6C" w14:textId="77777777" w:rsidTr="007F4AF8">
                            <w:trPr>
                              <w:jc w:val="center"/>
                            </w:trPr>
                            <w:tc>
                              <w:tcPr>
                                <w:tcW w:w="2568" w:type="pct"/>
                                <w:vAlign w:val="center"/>
                              </w:tcPr>
                              <w:p w14:paraId="4F0123B4" w14:textId="77777777" w:rsidR="00676990" w:rsidRPr="001252DF" w:rsidRDefault="00676990" w:rsidP="007F4AF8">
                                <w:pPr>
                                  <w:jc w:val="right"/>
                                  <w:rPr>
                                    <w:color w:val="000000" w:themeColor="text1"/>
                                    <w14:textOutline w14:w="9525" w14:cap="rnd" w14:cmpd="sng" w14:algn="ctr">
                                      <w14:noFill/>
                                      <w14:prstDash w14:val="solid"/>
                                      <w14:bevel/>
                                    </w14:textOutline>
                                  </w:rPr>
                                </w:pPr>
                                <w:r w:rsidRPr="001252DF">
                                  <w:rPr>
                                    <w:noProof/>
                                    <w:color w:val="000000" w:themeColor="text1"/>
                                    <w14:textOutline w14:w="9525" w14:cap="rnd" w14:cmpd="sng" w14:algn="ctr">
                                      <w14:noFill/>
                                      <w14:prstDash w14:val="solid"/>
                                      <w14:bevel/>
                                    </w14:textOutline>
                                  </w:rPr>
                                  <w:drawing>
                                    <wp:inline distT="0" distB="0" distL="0" distR="0" wp14:anchorId="35AB324E" wp14:editId="519082E0">
                                      <wp:extent cx="3065006" cy="1866588"/>
                                      <wp:effectExtent l="0" t="0" r="0" b="635"/>
                                      <wp:docPr id="990690329" name="Picture 29" descr="Wirecard Clears Own Executive at Center of Fraud Allegations - Bloom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99285" name="Picture 29" descr="Wirecard Clears Own Executive at Center of Fraud Allegations - Bloomberg"/>
                                              <pic:cNvPicPr/>
                                            </pic:nvPicPr>
                                            <pic:blipFill>
                                              <a:blip r:embed="rId12">
                                                <a:extLst>
                                                  <a:ext uri="{837473B0-CC2E-450A-ABE3-18F120FF3D39}">
                                                    <a1611:picAttrSrcUrl xmlns:a1611="http://schemas.microsoft.com/office/drawing/2016/11/main" r:id="rId13"/>
                                                  </a:ext>
                                                </a:extLst>
                                              </a:blip>
                                              <a:stretch>
                                                <a:fillRect/>
                                              </a:stretch>
                                            </pic:blipFill>
                                            <pic:spPr>
                                              <a:xfrm>
                                                <a:off x="0" y="0"/>
                                                <a:ext cx="3065006" cy="1866588"/>
                                              </a:xfrm>
                                              <a:prstGeom prst="rect">
                                                <a:avLst/>
                                              </a:prstGeom>
                                            </pic:spPr>
                                          </pic:pic>
                                        </a:graphicData>
                                      </a:graphic>
                                    </wp:inline>
                                  </w:drawing>
                                </w:r>
                              </w:p>
                              <w:sdt>
                                <w:sdtPr>
                                  <w:rPr>
                                    <w:caps/>
                                    <w:color w:val="000000" w:themeColor="text1"/>
                                    <w:sz w:val="72"/>
                                    <w:szCs w:val="72"/>
                                    <w14:textOutline w14:w="9525" w14:cap="rnd" w14:cmpd="sng" w14:algn="ctr">
                                      <w14:noFill/>
                                      <w14:prstDash w14:val="solid"/>
                                      <w14:bevel/>
                                    </w14:textOutline>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9C38DD3" w14:textId="69C7A5E5" w:rsidR="00676990" w:rsidRPr="001252DF" w:rsidRDefault="00C35802" w:rsidP="004F6C36">
                                    <w:pPr>
                                      <w:pStyle w:val="NoSpacing"/>
                                      <w:spacing w:line="276" w:lineRule="auto"/>
                                      <w:jc w:val="right"/>
                                      <w:rPr>
                                        <w:caps/>
                                        <w:color w:val="000000" w:themeColor="text1"/>
                                        <w:sz w:val="72"/>
                                        <w:szCs w:val="72"/>
                                        <w14:textOutline w14:w="9525" w14:cap="rnd" w14:cmpd="sng" w14:algn="ctr">
                                          <w14:noFill/>
                                          <w14:prstDash w14:val="solid"/>
                                          <w14:bevel/>
                                        </w14:textOutline>
                                      </w:rPr>
                                    </w:pPr>
                                    <w:r w:rsidRPr="001252DF">
                                      <w:rPr>
                                        <w:caps/>
                                        <w:color w:val="000000" w:themeColor="text1"/>
                                        <w:sz w:val="72"/>
                                        <w:szCs w:val="72"/>
                                        <w14:textOutline w14:w="9525" w14:cap="rnd" w14:cmpd="sng" w14:algn="ctr">
                                          <w14:noFill/>
                                          <w14:prstDash w14:val="solid"/>
                                          <w14:bevel/>
                                        </w14:textOutline>
                                      </w:rPr>
                                      <w:t>Audit Issues At wirecard</w:t>
                                    </w:r>
                                    <w:r w:rsidR="00D95716" w:rsidRPr="001252DF">
                                      <w:rPr>
                                        <w:caps/>
                                        <w:color w:val="000000" w:themeColor="text1"/>
                                        <w:sz w:val="72"/>
                                        <w:szCs w:val="72"/>
                                        <w14:textOutline w14:w="9525" w14:cap="rnd" w14:cmpd="sng" w14:algn="ctr">
                                          <w14:noFill/>
                                          <w14:prstDash w14:val="solid"/>
                                          <w14:bevel/>
                                        </w14:textOutline>
                                      </w:rPr>
                                      <w:t xml:space="preserve"> AG</w:t>
                                    </w:r>
                                    <w:r w:rsidRPr="001252DF">
                                      <w:rPr>
                                        <w:caps/>
                                        <w:color w:val="000000" w:themeColor="text1"/>
                                        <w:sz w:val="72"/>
                                        <w:szCs w:val="72"/>
                                        <w14:textOutline w14:w="9525" w14:cap="rnd" w14:cmpd="sng" w14:algn="ctr">
                                          <w14:noFill/>
                                          <w14:prstDash w14:val="solid"/>
                                          <w14:bevel/>
                                        </w14:textOutline>
                                      </w:rPr>
                                      <w:t>.</w:t>
                                    </w:r>
                                  </w:p>
                                </w:sdtContent>
                              </w:sdt>
                              <w:sdt>
                                <w:sdtPr>
                                  <w:rPr>
                                    <w:color w:val="C0504D"/>
                                    <w14:textOutline w14:w="9525" w14:cap="rnd" w14:cmpd="sng" w14:algn="ctr">
                                      <w14:noFill/>
                                      <w14:prstDash w14:val="solid"/>
                                      <w14:bevel/>
                                    </w14:textOutline>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E24C4E5" w14:textId="67C4C7E0" w:rsidR="00676990" w:rsidRPr="001252DF" w:rsidRDefault="00FF68AF" w:rsidP="007F4AF8">
                                    <w:pPr>
                                      <w:jc w:val="right"/>
                                      <w:rPr>
                                        <w:color w:val="000000" w:themeColor="text1"/>
                                        <w14:textOutline w14:w="9525" w14:cap="rnd" w14:cmpd="sng" w14:algn="ctr">
                                          <w14:noFill/>
                                          <w14:prstDash w14:val="solid"/>
                                          <w14:bevel/>
                                        </w14:textOutline>
                                      </w:rPr>
                                    </w:pPr>
                                    <w:r w:rsidRPr="001252DF">
                                      <w:rPr>
                                        <w:color w:val="C0504D"/>
                                        <w14:textOutline w14:w="9525" w14:cap="rnd" w14:cmpd="sng" w14:algn="ctr">
                                          <w14:noFill/>
                                          <w14:prstDash w14:val="solid"/>
                                          <w14:bevel/>
                                        </w14:textOutline>
                                      </w:rPr>
                                      <w:t>Individual Report</w:t>
                                    </w:r>
                                  </w:p>
                                </w:sdtContent>
                              </w:sdt>
                            </w:tc>
                            <w:tc>
                              <w:tcPr>
                                <w:tcW w:w="2432" w:type="pct"/>
                                <w:vAlign w:val="center"/>
                              </w:tcPr>
                              <w:p w14:paraId="137D0987" w14:textId="2D7B8425" w:rsidR="00F23F5E" w:rsidRPr="001252DF" w:rsidRDefault="00F23F5E" w:rsidP="00F51D4E">
                                <w:pPr>
                                  <w:rPr>
                                    <w:b/>
                                    <w:bCs/>
                                  </w:rPr>
                                </w:pPr>
                                <w:r w:rsidRPr="001252DF">
                                  <w:rPr>
                                    <w:b/>
                                    <w:bCs/>
                                  </w:rPr>
                                  <w:t>Abstract:</w:t>
                                </w:r>
                              </w:p>
                              <w:p w14:paraId="43A27EF3" w14:textId="40CCFFC5" w:rsidR="00676990" w:rsidRPr="001252DF" w:rsidRDefault="00F51D4E" w:rsidP="003F2E10">
                                <w:pPr>
                                  <w:rPr>
                                    <w:rFonts w:cs="Arial"/>
                                  </w:rPr>
                                </w:pPr>
                                <w:r w:rsidRPr="001252DF">
                                  <w:rPr>
                                    <w:rFonts w:cs="Arial"/>
                                  </w:rPr>
                                  <w:t>This report includes a comprehensive analysis of audit issues at Wirecard AG.</w:t>
                                </w:r>
                                <w:r w:rsidR="00984652" w:rsidRPr="001252DF">
                                  <w:rPr>
                                    <w:rFonts w:cs="Arial"/>
                                  </w:rPr>
                                  <w:t xml:space="preserve"> The findings reveal significant threats to auditor’s independence and objectivity and potential conflict of interest. The report concludes with recommendations </w:t>
                                </w:r>
                                <w:r w:rsidR="0038246A" w:rsidRPr="001252DF">
                                  <w:rPr>
                                    <w:rFonts w:cs="Arial"/>
                                  </w:rPr>
                                  <w:t>for strict and robust oversight regulatory framework and quality control over auditing procedures and ethical standards to prevent future frauds.</w:t>
                                </w:r>
                              </w:p>
                              <w:p w14:paraId="4BED107C" w14:textId="71BEC657" w:rsidR="00676990" w:rsidRPr="001252DF" w:rsidRDefault="00676990" w:rsidP="007F4AF8">
                                <w:pPr>
                                  <w:rPr>
                                    <w:color w:val="000000" w:themeColor="text1"/>
                                    <w14:textOutline w14:w="9525" w14:cap="rnd" w14:cmpd="sng" w14:algn="ctr">
                                      <w14:noFill/>
                                      <w14:prstDash w14:val="solid"/>
                                      <w14:bevel/>
                                    </w14:textOutline>
                                  </w:rPr>
                                </w:pPr>
                              </w:p>
                              <w:p w14:paraId="35DD1BE2" w14:textId="77777777" w:rsidR="0038246A" w:rsidRPr="001252DF" w:rsidRDefault="0038246A" w:rsidP="007F4AF8">
                                <w:pPr>
                                  <w:rPr>
                                    <w:color w:val="000000" w:themeColor="text1"/>
                                    <w14:textOutline w14:w="9525" w14:cap="rnd" w14:cmpd="sng" w14:algn="ctr">
                                      <w14:noFill/>
                                      <w14:prstDash w14:val="solid"/>
                                      <w14:bevel/>
                                    </w14:textOutline>
                                  </w:rPr>
                                </w:pPr>
                              </w:p>
                              <w:p w14:paraId="1791B514" w14:textId="77777777" w:rsidR="0038246A" w:rsidRPr="001252DF" w:rsidRDefault="0038246A" w:rsidP="007F4AF8">
                                <w:pPr>
                                  <w:rPr>
                                    <w:color w:val="000000" w:themeColor="text1"/>
                                    <w14:textOutline w14:w="9525" w14:cap="rnd" w14:cmpd="sng" w14:algn="ctr">
                                      <w14:noFill/>
                                      <w14:prstDash w14:val="solid"/>
                                      <w14:bevel/>
                                    </w14:textOutline>
                                  </w:rPr>
                                </w:pPr>
                              </w:p>
                              <w:p w14:paraId="6498C2F3" w14:textId="77777777" w:rsidR="0038246A" w:rsidRPr="001252DF" w:rsidRDefault="0038246A" w:rsidP="007F4AF8">
                                <w:pPr>
                                  <w:rPr>
                                    <w:color w:val="000000" w:themeColor="text1"/>
                                    <w14:textOutline w14:w="9525" w14:cap="rnd" w14:cmpd="sng" w14:algn="ctr">
                                      <w14:noFill/>
                                      <w14:prstDash w14:val="solid"/>
                                      <w14:bevel/>
                                    </w14:textOutline>
                                  </w:rPr>
                                </w:pPr>
                              </w:p>
                              <w:p w14:paraId="517DA56D" w14:textId="77777777" w:rsidR="0038246A" w:rsidRPr="001252DF" w:rsidRDefault="0038246A" w:rsidP="007F4AF8">
                                <w:pPr>
                                  <w:rPr>
                                    <w:color w:val="000000" w:themeColor="text1"/>
                                    <w14:textOutline w14:w="9525" w14:cap="rnd" w14:cmpd="sng" w14:algn="ctr">
                                      <w14:noFill/>
                                      <w14:prstDash w14:val="solid"/>
                                      <w14:bevel/>
                                    </w14:textOutline>
                                  </w:rPr>
                                </w:pPr>
                              </w:p>
                              <w:p w14:paraId="54B84F3A" w14:textId="77777777" w:rsidR="0038246A" w:rsidRPr="001252DF" w:rsidRDefault="0038246A" w:rsidP="007F4AF8">
                                <w:pPr>
                                  <w:rPr>
                                    <w:color w:val="000000" w:themeColor="text1"/>
                                    <w14:textOutline w14:w="9525" w14:cap="rnd" w14:cmpd="sng" w14:algn="ctr">
                                      <w14:noFill/>
                                      <w14:prstDash w14:val="solid"/>
                                      <w14:bevel/>
                                    </w14:textOutline>
                                  </w:rPr>
                                </w:pPr>
                              </w:p>
                              <w:p w14:paraId="2B06B6A6" w14:textId="77777777" w:rsidR="0038246A" w:rsidRPr="001252DF" w:rsidRDefault="0038246A" w:rsidP="007F4AF8">
                                <w:pPr>
                                  <w:rPr>
                                    <w:color w:val="000000" w:themeColor="text1"/>
                                    <w14:textOutline w14:w="9525" w14:cap="rnd" w14:cmpd="sng" w14:algn="ctr">
                                      <w14:noFill/>
                                      <w14:prstDash w14:val="solid"/>
                                      <w14:bevel/>
                                    </w14:textOutline>
                                  </w:rPr>
                                </w:pPr>
                              </w:p>
                              <w:p w14:paraId="14797DFC" w14:textId="77777777" w:rsidR="0038246A" w:rsidRPr="001252DF" w:rsidRDefault="0038246A" w:rsidP="007F4AF8">
                                <w:pPr>
                                  <w:rPr>
                                    <w:color w:val="000000" w:themeColor="text1"/>
                                    <w14:textOutline w14:w="9525" w14:cap="rnd" w14:cmpd="sng" w14:algn="ctr">
                                      <w14:noFill/>
                                      <w14:prstDash w14:val="solid"/>
                                      <w14:bevel/>
                                    </w14:textOutline>
                                  </w:rPr>
                                </w:pPr>
                              </w:p>
                              <w:p w14:paraId="01575C41" w14:textId="77777777" w:rsidR="0038246A" w:rsidRPr="001252DF" w:rsidRDefault="0038246A" w:rsidP="007F4AF8">
                                <w:pPr>
                                  <w:rPr>
                                    <w:color w:val="000000" w:themeColor="text1"/>
                                    <w14:textOutline w14:w="9525" w14:cap="rnd" w14:cmpd="sng" w14:algn="ctr">
                                      <w14:noFill/>
                                      <w14:prstDash w14:val="solid"/>
                                      <w14:bevel/>
                                    </w14:textOutline>
                                  </w:rPr>
                                </w:pPr>
                              </w:p>
                              <w:p w14:paraId="756FA4D2" w14:textId="77777777" w:rsidR="0038246A" w:rsidRPr="001252DF" w:rsidRDefault="0038246A" w:rsidP="007F4AF8">
                                <w:pPr>
                                  <w:rPr>
                                    <w:color w:val="000000" w:themeColor="text1"/>
                                    <w14:textOutline w14:w="9525" w14:cap="rnd" w14:cmpd="sng" w14:algn="ctr">
                                      <w14:noFill/>
                                      <w14:prstDash w14:val="solid"/>
                                      <w14:bevel/>
                                    </w14:textOutline>
                                  </w:rPr>
                                </w:pPr>
                              </w:p>
                              <w:p w14:paraId="11221BDB" w14:textId="77777777" w:rsidR="0038246A" w:rsidRPr="001252DF" w:rsidRDefault="0038246A" w:rsidP="007F4AF8">
                                <w:pPr>
                                  <w:rPr>
                                    <w:color w:val="000000" w:themeColor="text1"/>
                                    <w14:textOutline w14:w="9525" w14:cap="rnd" w14:cmpd="sng" w14:algn="ctr">
                                      <w14:noFill/>
                                      <w14:prstDash w14:val="solid"/>
                                      <w14:bevel/>
                                    </w14:textOutline>
                                  </w:rPr>
                                </w:pPr>
                              </w:p>
                              <w:p w14:paraId="02B852B2" w14:textId="77777777" w:rsidR="0038246A" w:rsidRPr="001252DF" w:rsidRDefault="0038246A" w:rsidP="007F4AF8">
                                <w:pPr>
                                  <w:rPr>
                                    <w:color w:val="000000" w:themeColor="text1"/>
                                    <w14:textOutline w14:w="9525" w14:cap="rnd" w14:cmpd="sng" w14:algn="ctr">
                                      <w14:noFill/>
                                      <w14:prstDash w14:val="solid"/>
                                      <w14:bevel/>
                                    </w14:textOutline>
                                  </w:rPr>
                                </w:pPr>
                              </w:p>
                              <w:p w14:paraId="367AD1E6" w14:textId="77777777" w:rsidR="0038246A" w:rsidRPr="001252DF" w:rsidRDefault="0038246A" w:rsidP="007F4AF8">
                                <w:pPr>
                                  <w:rPr>
                                    <w:color w:val="000000" w:themeColor="text1"/>
                                    <w14:textOutline w14:w="9525" w14:cap="rnd" w14:cmpd="sng" w14:algn="ctr">
                                      <w14:noFill/>
                                      <w14:prstDash w14:val="solid"/>
                                      <w14:bevel/>
                                    </w14:textOutline>
                                  </w:rPr>
                                </w:pPr>
                              </w:p>
                              <w:p w14:paraId="3400469B" w14:textId="77777777" w:rsidR="0038246A" w:rsidRPr="001252DF" w:rsidRDefault="0038246A" w:rsidP="007F4AF8">
                                <w:pPr>
                                  <w:rPr>
                                    <w:color w:val="000000" w:themeColor="text1"/>
                                    <w14:textOutline w14:w="9525" w14:cap="rnd" w14:cmpd="sng" w14:algn="ctr">
                                      <w14:noFill/>
                                      <w14:prstDash w14:val="solid"/>
                                      <w14:bevel/>
                                    </w14:textOutline>
                                  </w:rPr>
                                </w:pPr>
                              </w:p>
                              <w:p w14:paraId="609E4793" w14:textId="51071117" w:rsidR="00676990" w:rsidRPr="001252DF" w:rsidRDefault="00676990" w:rsidP="007F4AF8">
                                <w:pPr>
                                  <w:pStyle w:val="NoSpacing"/>
                                  <w:rPr>
                                    <w:color w:val="4F81BD" w:themeColor="accent1"/>
                                    <w:sz w:val="44"/>
                                    <w:szCs w:val="44"/>
                                    <w14:textOutline w14:w="9525" w14:cap="rnd" w14:cmpd="sng" w14:algn="ctr">
                                      <w14:noFill/>
                                      <w14:prstDash w14:val="solid"/>
                                      <w14:bevel/>
                                    </w14:textOutline>
                                  </w:rPr>
                                </w:pPr>
                              </w:p>
                              <w:p w14:paraId="332CCD23" w14:textId="09BE7D7D" w:rsidR="00676990" w:rsidRPr="001252DF" w:rsidRDefault="00FB3165" w:rsidP="007F4AF8">
                                <w:pPr>
                                  <w:pStyle w:val="NoSpacing"/>
                                  <w:rPr>
                                    <w:color w:val="000000" w:themeColor="text1"/>
                                    <w14:textOutline w14:w="9525" w14:cap="rnd" w14:cmpd="sng" w14:algn="ctr">
                                      <w14:noFill/>
                                      <w14:prstDash w14:val="solid"/>
                                      <w14:bevel/>
                                    </w14:textOutline>
                                  </w:rPr>
                                </w:pPr>
                                <w:sdt>
                                  <w:sdtPr>
                                    <w:rPr>
                                      <w:color w:val="000000" w:themeColor="text1"/>
                                      <w14:textOutline w14:w="9525" w14:cap="rnd" w14:cmpd="sng" w14:algn="ctr">
                                        <w14:noFill/>
                                        <w14:prstDash w14:val="solid"/>
                                        <w14:bevel/>
                                      </w14:textOutline>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F68AF" w:rsidRPr="001252DF">
                                      <w:rPr>
                                        <w:color w:val="000000" w:themeColor="text1"/>
                                        <w14:textOutline w14:w="9525" w14:cap="rnd" w14:cmpd="sng" w14:algn="ctr">
                                          <w14:noFill/>
                                          <w14:prstDash w14:val="solid"/>
                                          <w14:bevel/>
                                        </w14:textOutline>
                                      </w:rPr>
                                      <w:t>Audit, Assurance and Professional Ethics</w:t>
                                    </w:r>
                                  </w:sdtContent>
                                </w:sdt>
                              </w:p>
                            </w:tc>
                          </w:tr>
                        </w:tbl>
                        <w:p w14:paraId="5213258E" w14:textId="77777777" w:rsidR="00676990" w:rsidRPr="001252DF" w:rsidRDefault="00676990" w:rsidP="007F4AF8">
                          <w:pPr>
                            <w:rPr>
                              <w:color w:val="000000" w:themeColor="text1"/>
                              <w14:textOutline w14:w="9525" w14:cap="rnd" w14:cmpd="sng" w14:algn="ctr">
                                <w14:noFill/>
                                <w14:prstDash w14:val="solid"/>
                                <w14:bevel/>
                              </w14:textOutline>
                            </w:rPr>
                          </w:pPr>
                        </w:p>
                      </w:txbxContent>
                    </v:textbox>
                    <w10:wrap type="tight" anchorx="page" anchory="page"/>
                  </v:shape>
                </w:pict>
              </mc:Fallback>
            </mc:AlternateContent>
          </w:r>
          <w:r w:rsidR="00E10F5C">
            <w:rPr>
              <w:noProof/>
              <w:lang w:eastAsia="zh-CN"/>
            </w:rPr>
            <w:br w:type="page"/>
          </w:r>
        </w:p>
        <w:sdt>
          <w:sdtPr>
            <w:rPr>
              <w:rFonts w:ascii="Arial" w:eastAsia="Calibri" w:hAnsi="Arial" w:cs="Arial"/>
              <w:b w:val="0"/>
              <w:bCs w:val="0"/>
              <w:color w:val="auto"/>
              <w:sz w:val="24"/>
              <w:szCs w:val="24"/>
              <w:lang w:val="en-GB" w:eastAsia="en-GB"/>
            </w:rPr>
            <w:id w:val="324946091"/>
            <w:docPartObj>
              <w:docPartGallery w:val="Table of Contents"/>
              <w:docPartUnique/>
            </w:docPartObj>
          </w:sdtPr>
          <w:sdtEndPr>
            <w:rPr>
              <w:rFonts w:eastAsia="Times New Roman"/>
              <w:noProof/>
              <w:lang w:val="en-IN"/>
            </w:rPr>
          </w:sdtEndPr>
          <w:sdtContent>
            <w:p w14:paraId="368B09D5" w14:textId="797B4913" w:rsidR="00FE2723" w:rsidRPr="00BE47BF" w:rsidRDefault="00FE2723" w:rsidP="00A07B2B">
              <w:pPr>
                <w:pStyle w:val="TOCHeading"/>
                <w:spacing w:line="600" w:lineRule="auto"/>
                <w:rPr>
                  <w:rFonts w:ascii="Arial" w:hAnsi="Arial" w:cs="Arial"/>
                  <w:b w:val="0"/>
                  <w:bCs w:val="0"/>
                  <w:color w:val="C0504D"/>
                </w:rPr>
              </w:pPr>
              <w:r w:rsidRPr="00BE47BF">
                <w:rPr>
                  <w:rFonts w:ascii="Arial" w:hAnsi="Arial" w:cs="Arial"/>
                  <w:b w:val="0"/>
                  <w:bCs w:val="0"/>
                  <w:color w:val="C0504D"/>
                </w:rPr>
                <w:t>Table of Contents</w:t>
              </w:r>
            </w:p>
            <w:p w14:paraId="22773212" w14:textId="302CA05F" w:rsidR="00A07B2B" w:rsidRPr="00BE47BF" w:rsidRDefault="00FE2723" w:rsidP="00A07B2B">
              <w:pPr>
                <w:pStyle w:val="TOC2"/>
                <w:tabs>
                  <w:tab w:val="right" w:leader="dot" w:pos="9054"/>
                </w:tabs>
                <w:spacing w:line="600" w:lineRule="auto"/>
                <w:rPr>
                  <w:rFonts w:ascii="Arial" w:eastAsiaTheme="minorEastAsia" w:hAnsi="Arial" w:cs="Arial"/>
                  <w:b w:val="0"/>
                  <w:bCs w:val="0"/>
                  <w:noProof/>
                  <w:kern w:val="2"/>
                  <w:sz w:val="28"/>
                  <w:szCs w:val="28"/>
                  <w:lang w:val="en-IN" w:eastAsia="en-GB"/>
                  <w14:ligatures w14:val="standardContextual"/>
                </w:rPr>
              </w:pPr>
              <w:r w:rsidRPr="00BE47BF">
                <w:rPr>
                  <w:rFonts w:ascii="Arial" w:hAnsi="Arial" w:cs="Arial"/>
                  <w:b w:val="0"/>
                  <w:bCs w:val="0"/>
                  <w:sz w:val="28"/>
                  <w:szCs w:val="28"/>
                </w:rPr>
                <w:fldChar w:fldCharType="begin"/>
              </w:r>
              <w:r w:rsidRPr="00BE47BF">
                <w:rPr>
                  <w:rFonts w:ascii="Arial" w:hAnsi="Arial" w:cs="Arial"/>
                  <w:b w:val="0"/>
                  <w:bCs w:val="0"/>
                  <w:sz w:val="28"/>
                  <w:szCs w:val="28"/>
                </w:rPr>
                <w:instrText xml:space="preserve"> TOC \o "1-3" \h \z \u </w:instrText>
              </w:r>
              <w:r w:rsidRPr="00BE47BF">
                <w:rPr>
                  <w:rFonts w:ascii="Arial" w:hAnsi="Arial" w:cs="Arial"/>
                  <w:b w:val="0"/>
                  <w:bCs w:val="0"/>
                  <w:sz w:val="28"/>
                  <w:szCs w:val="28"/>
                </w:rPr>
                <w:fldChar w:fldCharType="separate"/>
              </w:r>
              <w:hyperlink w:anchor="_Toc170080166" w:history="1">
                <w:r w:rsidR="00A07B2B" w:rsidRPr="00BE47BF">
                  <w:rPr>
                    <w:rStyle w:val="Hyperlink"/>
                    <w:rFonts w:ascii="Arial" w:hAnsi="Arial" w:cs="Arial"/>
                    <w:b w:val="0"/>
                    <w:bCs w:val="0"/>
                    <w:noProof/>
                    <w:sz w:val="28"/>
                    <w:szCs w:val="28"/>
                  </w:rPr>
                  <w:t xml:space="preserve">Introduction </w:t>
                </w:r>
                <w:r w:rsidR="00A07B2B" w:rsidRPr="00BE47BF">
                  <w:rPr>
                    <w:rFonts w:ascii="Arial" w:hAnsi="Arial" w:cs="Arial"/>
                    <w:b w:val="0"/>
                    <w:bCs w:val="0"/>
                    <w:noProof/>
                    <w:webHidden/>
                    <w:sz w:val="28"/>
                    <w:szCs w:val="28"/>
                  </w:rPr>
                  <w:tab/>
                </w:r>
                <w:r w:rsidR="00A07B2B" w:rsidRPr="00BE47BF">
                  <w:rPr>
                    <w:rFonts w:ascii="Arial" w:hAnsi="Arial" w:cs="Arial"/>
                    <w:b w:val="0"/>
                    <w:bCs w:val="0"/>
                    <w:noProof/>
                    <w:webHidden/>
                    <w:sz w:val="28"/>
                    <w:szCs w:val="28"/>
                  </w:rPr>
                  <w:fldChar w:fldCharType="begin"/>
                </w:r>
                <w:r w:rsidR="00A07B2B" w:rsidRPr="00BE47BF">
                  <w:rPr>
                    <w:rFonts w:ascii="Arial" w:hAnsi="Arial" w:cs="Arial"/>
                    <w:b w:val="0"/>
                    <w:bCs w:val="0"/>
                    <w:noProof/>
                    <w:webHidden/>
                    <w:sz w:val="28"/>
                    <w:szCs w:val="28"/>
                  </w:rPr>
                  <w:instrText xml:space="preserve"> PAGEREF _Toc170080166 \h </w:instrText>
                </w:r>
                <w:r w:rsidR="00A07B2B" w:rsidRPr="00BE47BF">
                  <w:rPr>
                    <w:rFonts w:ascii="Arial" w:hAnsi="Arial" w:cs="Arial"/>
                    <w:b w:val="0"/>
                    <w:bCs w:val="0"/>
                    <w:noProof/>
                    <w:webHidden/>
                    <w:sz w:val="28"/>
                    <w:szCs w:val="28"/>
                  </w:rPr>
                </w:r>
                <w:r w:rsidR="00A07B2B" w:rsidRPr="00BE47BF">
                  <w:rPr>
                    <w:rFonts w:ascii="Arial" w:hAnsi="Arial" w:cs="Arial"/>
                    <w:b w:val="0"/>
                    <w:bCs w:val="0"/>
                    <w:noProof/>
                    <w:webHidden/>
                    <w:sz w:val="28"/>
                    <w:szCs w:val="28"/>
                  </w:rPr>
                  <w:fldChar w:fldCharType="separate"/>
                </w:r>
                <w:r w:rsidR="001A499C">
                  <w:rPr>
                    <w:rFonts w:ascii="Arial" w:hAnsi="Arial" w:cs="Arial"/>
                    <w:b w:val="0"/>
                    <w:bCs w:val="0"/>
                    <w:noProof/>
                    <w:webHidden/>
                    <w:sz w:val="28"/>
                    <w:szCs w:val="28"/>
                  </w:rPr>
                  <w:t>3</w:t>
                </w:r>
                <w:r w:rsidR="00A07B2B" w:rsidRPr="00BE47BF">
                  <w:rPr>
                    <w:rFonts w:ascii="Arial" w:hAnsi="Arial" w:cs="Arial"/>
                    <w:b w:val="0"/>
                    <w:bCs w:val="0"/>
                    <w:noProof/>
                    <w:webHidden/>
                    <w:sz w:val="28"/>
                    <w:szCs w:val="28"/>
                  </w:rPr>
                  <w:fldChar w:fldCharType="end"/>
                </w:r>
              </w:hyperlink>
            </w:p>
            <w:p w14:paraId="51C89F99" w14:textId="1BB5AB05" w:rsidR="00A07B2B" w:rsidRPr="00BE47BF" w:rsidRDefault="00FB3165" w:rsidP="00A07B2B">
              <w:pPr>
                <w:pStyle w:val="TOC2"/>
                <w:tabs>
                  <w:tab w:val="right" w:leader="dot" w:pos="9054"/>
                </w:tabs>
                <w:spacing w:line="600" w:lineRule="auto"/>
                <w:rPr>
                  <w:rFonts w:ascii="Arial" w:eastAsiaTheme="minorEastAsia" w:hAnsi="Arial" w:cs="Arial"/>
                  <w:b w:val="0"/>
                  <w:bCs w:val="0"/>
                  <w:noProof/>
                  <w:kern w:val="2"/>
                  <w:sz w:val="28"/>
                  <w:szCs w:val="28"/>
                  <w:lang w:val="en-IN" w:eastAsia="en-GB"/>
                  <w14:ligatures w14:val="standardContextual"/>
                </w:rPr>
              </w:pPr>
              <w:hyperlink w:anchor="_Toc170080167" w:history="1">
                <w:r w:rsidR="00A07B2B" w:rsidRPr="00BE47BF">
                  <w:rPr>
                    <w:rStyle w:val="Hyperlink"/>
                    <w:rFonts w:ascii="Arial" w:hAnsi="Arial" w:cs="Arial"/>
                    <w:b w:val="0"/>
                    <w:bCs w:val="0"/>
                    <w:noProof/>
                    <w:sz w:val="28"/>
                    <w:szCs w:val="28"/>
                  </w:rPr>
                  <w:t>Company Overview</w:t>
                </w:r>
                <w:r w:rsidR="00A07B2B" w:rsidRPr="00BE47BF">
                  <w:rPr>
                    <w:rFonts w:ascii="Arial" w:hAnsi="Arial" w:cs="Arial"/>
                    <w:b w:val="0"/>
                    <w:bCs w:val="0"/>
                    <w:noProof/>
                    <w:webHidden/>
                    <w:sz w:val="28"/>
                    <w:szCs w:val="28"/>
                  </w:rPr>
                  <w:tab/>
                </w:r>
                <w:r w:rsidR="00A07B2B" w:rsidRPr="00BE47BF">
                  <w:rPr>
                    <w:rFonts w:ascii="Arial" w:hAnsi="Arial" w:cs="Arial"/>
                    <w:b w:val="0"/>
                    <w:bCs w:val="0"/>
                    <w:noProof/>
                    <w:webHidden/>
                    <w:sz w:val="28"/>
                    <w:szCs w:val="28"/>
                  </w:rPr>
                  <w:fldChar w:fldCharType="begin"/>
                </w:r>
                <w:r w:rsidR="00A07B2B" w:rsidRPr="00BE47BF">
                  <w:rPr>
                    <w:rFonts w:ascii="Arial" w:hAnsi="Arial" w:cs="Arial"/>
                    <w:b w:val="0"/>
                    <w:bCs w:val="0"/>
                    <w:noProof/>
                    <w:webHidden/>
                    <w:sz w:val="28"/>
                    <w:szCs w:val="28"/>
                  </w:rPr>
                  <w:instrText xml:space="preserve"> PAGEREF _Toc170080167 \h </w:instrText>
                </w:r>
                <w:r w:rsidR="00A07B2B" w:rsidRPr="00BE47BF">
                  <w:rPr>
                    <w:rFonts w:ascii="Arial" w:hAnsi="Arial" w:cs="Arial"/>
                    <w:b w:val="0"/>
                    <w:bCs w:val="0"/>
                    <w:noProof/>
                    <w:webHidden/>
                    <w:sz w:val="28"/>
                    <w:szCs w:val="28"/>
                  </w:rPr>
                </w:r>
                <w:r w:rsidR="00A07B2B" w:rsidRPr="00BE47BF">
                  <w:rPr>
                    <w:rFonts w:ascii="Arial" w:hAnsi="Arial" w:cs="Arial"/>
                    <w:b w:val="0"/>
                    <w:bCs w:val="0"/>
                    <w:noProof/>
                    <w:webHidden/>
                    <w:sz w:val="28"/>
                    <w:szCs w:val="28"/>
                  </w:rPr>
                  <w:fldChar w:fldCharType="separate"/>
                </w:r>
                <w:r w:rsidR="001A499C">
                  <w:rPr>
                    <w:rFonts w:ascii="Arial" w:hAnsi="Arial" w:cs="Arial"/>
                    <w:b w:val="0"/>
                    <w:bCs w:val="0"/>
                    <w:noProof/>
                    <w:webHidden/>
                    <w:sz w:val="28"/>
                    <w:szCs w:val="28"/>
                  </w:rPr>
                  <w:t>4</w:t>
                </w:r>
                <w:r w:rsidR="00A07B2B" w:rsidRPr="00BE47BF">
                  <w:rPr>
                    <w:rFonts w:ascii="Arial" w:hAnsi="Arial" w:cs="Arial"/>
                    <w:b w:val="0"/>
                    <w:bCs w:val="0"/>
                    <w:noProof/>
                    <w:webHidden/>
                    <w:sz w:val="28"/>
                    <w:szCs w:val="28"/>
                  </w:rPr>
                  <w:fldChar w:fldCharType="end"/>
                </w:r>
              </w:hyperlink>
            </w:p>
            <w:p w14:paraId="189FA03A" w14:textId="66815B4D" w:rsidR="00A07B2B" w:rsidRPr="00BE47BF" w:rsidRDefault="00FB3165" w:rsidP="00A07B2B">
              <w:pPr>
                <w:pStyle w:val="TOC2"/>
                <w:tabs>
                  <w:tab w:val="right" w:leader="dot" w:pos="9054"/>
                </w:tabs>
                <w:spacing w:line="600" w:lineRule="auto"/>
                <w:rPr>
                  <w:rFonts w:ascii="Arial" w:eastAsiaTheme="minorEastAsia" w:hAnsi="Arial" w:cs="Arial"/>
                  <w:b w:val="0"/>
                  <w:bCs w:val="0"/>
                  <w:noProof/>
                  <w:kern w:val="2"/>
                  <w:sz w:val="28"/>
                  <w:szCs w:val="28"/>
                  <w:lang w:val="en-IN" w:eastAsia="en-GB"/>
                  <w14:ligatures w14:val="standardContextual"/>
                </w:rPr>
              </w:pPr>
              <w:hyperlink w:anchor="_Toc170080168" w:history="1">
                <w:r w:rsidR="00A07B2B" w:rsidRPr="00BE47BF">
                  <w:rPr>
                    <w:rStyle w:val="Hyperlink"/>
                    <w:rFonts w:ascii="Arial" w:hAnsi="Arial" w:cs="Arial"/>
                    <w:b w:val="0"/>
                    <w:bCs w:val="0"/>
                    <w:noProof/>
                    <w:sz w:val="28"/>
                    <w:szCs w:val="28"/>
                  </w:rPr>
                  <w:t>Event Overview</w:t>
                </w:r>
                <w:r w:rsidR="00A07B2B" w:rsidRPr="00BE47BF">
                  <w:rPr>
                    <w:rFonts w:ascii="Arial" w:hAnsi="Arial" w:cs="Arial"/>
                    <w:b w:val="0"/>
                    <w:bCs w:val="0"/>
                    <w:noProof/>
                    <w:webHidden/>
                    <w:sz w:val="28"/>
                    <w:szCs w:val="28"/>
                  </w:rPr>
                  <w:tab/>
                </w:r>
                <w:r w:rsidR="00A07B2B" w:rsidRPr="00BE47BF">
                  <w:rPr>
                    <w:rFonts w:ascii="Arial" w:hAnsi="Arial" w:cs="Arial"/>
                    <w:b w:val="0"/>
                    <w:bCs w:val="0"/>
                    <w:noProof/>
                    <w:webHidden/>
                    <w:sz w:val="28"/>
                    <w:szCs w:val="28"/>
                  </w:rPr>
                  <w:fldChar w:fldCharType="begin"/>
                </w:r>
                <w:r w:rsidR="00A07B2B" w:rsidRPr="00BE47BF">
                  <w:rPr>
                    <w:rFonts w:ascii="Arial" w:hAnsi="Arial" w:cs="Arial"/>
                    <w:b w:val="0"/>
                    <w:bCs w:val="0"/>
                    <w:noProof/>
                    <w:webHidden/>
                    <w:sz w:val="28"/>
                    <w:szCs w:val="28"/>
                  </w:rPr>
                  <w:instrText xml:space="preserve"> PAGEREF _Toc170080168 \h </w:instrText>
                </w:r>
                <w:r w:rsidR="00A07B2B" w:rsidRPr="00BE47BF">
                  <w:rPr>
                    <w:rFonts w:ascii="Arial" w:hAnsi="Arial" w:cs="Arial"/>
                    <w:b w:val="0"/>
                    <w:bCs w:val="0"/>
                    <w:noProof/>
                    <w:webHidden/>
                    <w:sz w:val="28"/>
                    <w:szCs w:val="28"/>
                  </w:rPr>
                </w:r>
                <w:r w:rsidR="00A07B2B" w:rsidRPr="00BE47BF">
                  <w:rPr>
                    <w:rFonts w:ascii="Arial" w:hAnsi="Arial" w:cs="Arial"/>
                    <w:b w:val="0"/>
                    <w:bCs w:val="0"/>
                    <w:noProof/>
                    <w:webHidden/>
                    <w:sz w:val="28"/>
                    <w:szCs w:val="28"/>
                  </w:rPr>
                  <w:fldChar w:fldCharType="separate"/>
                </w:r>
                <w:r w:rsidR="001A499C">
                  <w:rPr>
                    <w:rFonts w:ascii="Arial" w:hAnsi="Arial" w:cs="Arial"/>
                    <w:b w:val="0"/>
                    <w:bCs w:val="0"/>
                    <w:noProof/>
                    <w:webHidden/>
                    <w:sz w:val="28"/>
                    <w:szCs w:val="28"/>
                  </w:rPr>
                  <w:t>5</w:t>
                </w:r>
                <w:r w:rsidR="00A07B2B" w:rsidRPr="00BE47BF">
                  <w:rPr>
                    <w:rFonts w:ascii="Arial" w:hAnsi="Arial" w:cs="Arial"/>
                    <w:b w:val="0"/>
                    <w:bCs w:val="0"/>
                    <w:noProof/>
                    <w:webHidden/>
                    <w:sz w:val="28"/>
                    <w:szCs w:val="28"/>
                  </w:rPr>
                  <w:fldChar w:fldCharType="end"/>
                </w:r>
              </w:hyperlink>
            </w:p>
            <w:p w14:paraId="3ED29D46" w14:textId="74B56D7F" w:rsidR="00A07B2B" w:rsidRPr="00BE47BF" w:rsidRDefault="00FB3165" w:rsidP="00A07B2B">
              <w:pPr>
                <w:pStyle w:val="TOC2"/>
                <w:tabs>
                  <w:tab w:val="right" w:leader="dot" w:pos="9054"/>
                </w:tabs>
                <w:spacing w:line="600" w:lineRule="auto"/>
                <w:rPr>
                  <w:rFonts w:ascii="Arial" w:eastAsiaTheme="minorEastAsia" w:hAnsi="Arial" w:cs="Arial"/>
                  <w:b w:val="0"/>
                  <w:bCs w:val="0"/>
                  <w:noProof/>
                  <w:kern w:val="2"/>
                  <w:sz w:val="28"/>
                  <w:szCs w:val="28"/>
                  <w:lang w:val="en-IN" w:eastAsia="en-GB"/>
                  <w14:ligatures w14:val="standardContextual"/>
                </w:rPr>
              </w:pPr>
              <w:hyperlink w:anchor="_Toc170080169" w:history="1">
                <w:r w:rsidR="00A07B2B" w:rsidRPr="00BE47BF">
                  <w:rPr>
                    <w:rStyle w:val="Hyperlink"/>
                    <w:rFonts w:ascii="Arial" w:hAnsi="Arial" w:cs="Arial"/>
                    <w:b w:val="0"/>
                    <w:bCs w:val="0"/>
                    <w:noProof/>
                    <w:sz w:val="28"/>
                    <w:szCs w:val="28"/>
                  </w:rPr>
                  <w:t>Reasons Behind the Issue</w:t>
                </w:r>
                <w:r w:rsidR="00A07B2B" w:rsidRPr="00BE47BF">
                  <w:rPr>
                    <w:rFonts w:ascii="Arial" w:hAnsi="Arial" w:cs="Arial"/>
                    <w:b w:val="0"/>
                    <w:bCs w:val="0"/>
                    <w:noProof/>
                    <w:webHidden/>
                    <w:sz w:val="28"/>
                    <w:szCs w:val="28"/>
                  </w:rPr>
                  <w:tab/>
                </w:r>
                <w:r w:rsidR="00A07B2B" w:rsidRPr="00BE47BF">
                  <w:rPr>
                    <w:rFonts w:ascii="Arial" w:hAnsi="Arial" w:cs="Arial"/>
                    <w:b w:val="0"/>
                    <w:bCs w:val="0"/>
                    <w:noProof/>
                    <w:webHidden/>
                    <w:sz w:val="28"/>
                    <w:szCs w:val="28"/>
                  </w:rPr>
                  <w:fldChar w:fldCharType="begin"/>
                </w:r>
                <w:r w:rsidR="00A07B2B" w:rsidRPr="00BE47BF">
                  <w:rPr>
                    <w:rFonts w:ascii="Arial" w:hAnsi="Arial" w:cs="Arial"/>
                    <w:b w:val="0"/>
                    <w:bCs w:val="0"/>
                    <w:noProof/>
                    <w:webHidden/>
                    <w:sz w:val="28"/>
                    <w:szCs w:val="28"/>
                  </w:rPr>
                  <w:instrText xml:space="preserve"> PAGEREF _Toc170080169 \h </w:instrText>
                </w:r>
                <w:r w:rsidR="00A07B2B" w:rsidRPr="00BE47BF">
                  <w:rPr>
                    <w:rFonts w:ascii="Arial" w:hAnsi="Arial" w:cs="Arial"/>
                    <w:b w:val="0"/>
                    <w:bCs w:val="0"/>
                    <w:noProof/>
                    <w:webHidden/>
                    <w:sz w:val="28"/>
                    <w:szCs w:val="28"/>
                  </w:rPr>
                </w:r>
                <w:r w:rsidR="00A07B2B" w:rsidRPr="00BE47BF">
                  <w:rPr>
                    <w:rFonts w:ascii="Arial" w:hAnsi="Arial" w:cs="Arial"/>
                    <w:b w:val="0"/>
                    <w:bCs w:val="0"/>
                    <w:noProof/>
                    <w:webHidden/>
                    <w:sz w:val="28"/>
                    <w:szCs w:val="28"/>
                  </w:rPr>
                  <w:fldChar w:fldCharType="separate"/>
                </w:r>
                <w:r w:rsidR="001A499C">
                  <w:rPr>
                    <w:rFonts w:ascii="Arial" w:hAnsi="Arial" w:cs="Arial"/>
                    <w:b w:val="0"/>
                    <w:bCs w:val="0"/>
                    <w:noProof/>
                    <w:webHidden/>
                    <w:sz w:val="28"/>
                    <w:szCs w:val="28"/>
                  </w:rPr>
                  <w:t>6</w:t>
                </w:r>
                <w:r w:rsidR="00A07B2B" w:rsidRPr="00BE47BF">
                  <w:rPr>
                    <w:rFonts w:ascii="Arial" w:hAnsi="Arial" w:cs="Arial"/>
                    <w:b w:val="0"/>
                    <w:bCs w:val="0"/>
                    <w:noProof/>
                    <w:webHidden/>
                    <w:sz w:val="28"/>
                    <w:szCs w:val="28"/>
                  </w:rPr>
                  <w:fldChar w:fldCharType="end"/>
                </w:r>
              </w:hyperlink>
            </w:p>
            <w:p w14:paraId="30E855DB" w14:textId="1B9C5204" w:rsidR="00A07B2B" w:rsidRPr="00BE47BF" w:rsidRDefault="00FB3165" w:rsidP="00A07B2B">
              <w:pPr>
                <w:pStyle w:val="TOC3"/>
                <w:tabs>
                  <w:tab w:val="right" w:leader="dot" w:pos="9054"/>
                </w:tabs>
                <w:spacing w:line="600" w:lineRule="auto"/>
                <w:rPr>
                  <w:rFonts w:ascii="Arial" w:eastAsiaTheme="minorEastAsia" w:hAnsi="Arial" w:cs="Arial"/>
                  <w:noProof/>
                  <w:kern w:val="2"/>
                  <w:sz w:val="28"/>
                  <w:szCs w:val="28"/>
                  <w:lang w:val="en-IN" w:eastAsia="en-GB"/>
                  <w14:ligatures w14:val="standardContextual"/>
                </w:rPr>
              </w:pPr>
              <w:hyperlink w:anchor="_Toc170080170" w:history="1">
                <w:r w:rsidR="00A07B2B" w:rsidRPr="00BE47BF">
                  <w:rPr>
                    <w:rStyle w:val="Hyperlink"/>
                    <w:rFonts w:ascii="Arial" w:hAnsi="Arial" w:cs="Arial"/>
                    <w:noProof/>
                    <w:sz w:val="28"/>
                    <w:szCs w:val="28"/>
                  </w:rPr>
                  <w:t>Internal Factors</w:t>
                </w:r>
                <w:r w:rsidR="00A07B2B" w:rsidRPr="00BE47BF">
                  <w:rPr>
                    <w:rFonts w:ascii="Arial" w:hAnsi="Arial" w:cs="Arial"/>
                    <w:noProof/>
                    <w:webHidden/>
                    <w:sz w:val="28"/>
                    <w:szCs w:val="28"/>
                  </w:rPr>
                  <w:tab/>
                </w:r>
                <w:r w:rsidR="00A07B2B" w:rsidRPr="00BE47BF">
                  <w:rPr>
                    <w:rFonts w:ascii="Arial" w:hAnsi="Arial" w:cs="Arial"/>
                    <w:noProof/>
                    <w:webHidden/>
                    <w:sz w:val="28"/>
                    <w:szCs w:val="28"/>
                  </w:rPr>
                  <w:fldChar w:fldCharType="begin"/>
                </w:r>
                <w:r w:rsidR="00A07B2B" w:rsidRPr="00BE47BF">
                  <w:rPr>
                    <w:rFonts w:ascii="Arial" w:hAnsi="Arial" w:cs="Arial"/>
                    <w:noProof/>
                    <w:webHidden/>
                    <w:sz w:val="28"/>
                    <w:szCs w:val="28"/>
                  </w:rPr>
                  <w:instrText xml:space="preserve"> PAGEREF _Toc170080170 \h </w:instrText>
                </w:r>
                <w:r w:rsidR="00A07B2B" w:rsidRPr="00BE47BF">
                  <w:rPr>
                    <w:rFonts w:ascii="Arial" w:hAnsi="Arial" w:cs="Arial"/>
                    <w:noProof/>
                    <w:webHidden/>
                    <w:sz w:val="28"/>
                    <w:szCs w:val="28"/>
                  </w:rPr>
                </w:r>
                <w:r w:rsidR="00A07B2B" w:rsidRPr="00BE47BF">
                  <w:rPr>
                    <w:rFonts w:ascii="Arial" w:hAnsi="Arial" w:cs="Arial"/>
                    <w:noProof/>
                    <w:webHidden/>
                    <w:sz w:val="28"/>
                    <w:szCs w:val="28"/>
                  </w:rPr>
                  <w:fldChar w:fldCharType="separate"/>
                </w:r>
                <w:r w:rsidR="001A499C">
                  <w:rPr>
                    <w:rFonts w:ascii="Arial" w:hAnsi="Arial" w:cs="Arial"/>
                    <w:noProof/>
                    <w:webHidden/>
                    <w:sz w:val="28"/>
                    <w:szCs w:val="28"/>
                  </w:rPr>
                  <w:t>6</w:t>
                </w:r>
                <w:r w:rsidR="00A07B2B" w:rsidRPr="00BE47BF">
                  <w:rPr>
                    <w:rFonts w:ascii="Arial" w:hAnsi="Arial" w:cs="Arial"/>
                    <w:noProof/>
                    <w:webHidden/>
                    <w:sz w:val="28"/>
                    <w:szCs w:val="28"/>
                  </w:rPr>
                  <w:fldChar w:fldCharType="end"/>
                </w:r>
              </w:hyperlink>
            </w:p>
            <w:p w14:paraId="5C327AB7" w14:textId="2EAFE1D2" w:rsidR="00A07B2B" w:rsidRPr="00BE47BF" w:rsidRDefault="00FB3165" w:rsidP="00A07B2B">
              <w:pPr>
                <w:pStyle w:val="TOC3"/>
                <w:tabs>
                  <w:tab w:val="right" w:leader="dot" w:pos="9054"/>
                </w:tabs>
                <w:spacing w:line="600" w:lineRule="auto"/>
                <w:rPr>
                  <w:rFonts w:ascii="Arial" w:eastAsiaTheme="minorEastAsia" w:hAnsi="Arial" w:cs="Arial"/>
                  <w:noProof/>
                  <w:kern w:val="2"/>
                  <w:sz w:val="28"/>
                  <w:szCs w:val="28"/>
                  <w:lang w:val="en-IN" w:eastAsia="en-GB"/>
                  <w14:ligatures w14:val="standardContextual"/>
                </w:rPr>
              </w:pPr>
              <w:hyperlink w:anchor="_Toc170080171" w:history="1">
                <w:r w:rsidR="00A07B2B" w:rsidRPr="00BE47BF">
                  <w:rPr>
                    <w:rStyle w:val="Hyperlink"/>
                    <w:rFonts w:ascii="Arial" w:hAnsi="Arial" w:cs="Arial"/>
                    <w:noProof/>
                    <w:sz w:val="28"/>
                    <w:szCs w:val="28"/>
                  </w:rPr>
                  <w:t>External Factors</w:t>
                </w:r>
                <w:r w:rsidR="00A07B2B" w:rsidRPr="00BE47BF">
                  <w:rPr>
                    <w:rFonts w:ascii="Arial" w:hAnsi="Arial" w:cs="Arial"/>
                    <w:noProof/>
                    <w:webHidden/>
                    <w:sz w:val="28"/>
                    <w:szCs w:val="28"/>
                  </w:rPr>
                  <w:tab/>
                </w:r>
                <w:r w:rsidR="00A07B2B" w:rsidRPr="00BE47BF">
                  <w:rPr>
                    <w:rFonts w:ascii="Arial" w:hAnsi="Arial" w:cs="Arial"/>
                    <w:noProof/>
                    <w:webHidden/>
                    <w:sz w:val="28"/>
                    <w:szCs w:val="28"/>
                  </w:rPr>
                  <w:fldChar w:fldCharType="begin"/>
                </w:r>
                <w:r w:rsidR="00A07B2B" w:rsidRPr="00BE47BF">
                  <w:rPr>
                    <w:rFonts w:ascii="Arial" w:hAnsi="Arial" w:cs="Arial"/>
                    <w:noProof/>
                    <w:webHidden/>
                    <w:sz w:val="28"/>
                    <w:szCs w:val="28"/>
                  </w:rPr>
                  <w:instrText xml:space="preserve"> PAGEREF _Toc170080171 \h </w:instrText>
                </w:r>
                <w:r w:rsidR="00A07B2B" w:rsidRPr="00BE47BF">
                  <w:rPr>
                    <w:rFonts w:ascii="Arial" w:hAnsi="Arial" w:cs="Arial"/>
                    <w:noProof/>
                    <w:webHidden/>
                    <w:sz w:val="28"/>
                    <w:szCs w:val="28"/>
                  </w:rPr>
                </w:r>
                <w:r w:rsidR="00A07B2B" w:rsidRPr="00BE47BF">
                  <w:rPr>
                    <w:rFonts w:ascii="Arial" w:hAnsi="Arial" w:cs="Arial"/>
                    <w:noProof/>
                    <w:webHidden/>
                    <w:sz w:val="28"/>
                    <w:szCs w:val="28"/>
                  </w:rPr>
                  <w:fldChar w:fldCharType="separate"/>
                </w:r>
                <w:r w:rsidR="001A499C">
                  <w:rPr>
                    <w:rFonts w:ascii="Arial" w:hAnsi="Arial" w:cs="Arial"/>
                    <w:noProof/>
                    <w:webHidden/>
                    <w:sz w:val="28"/>
                    <w:szCs w:val="28"/>
                  </w:rPr>
                  <w:t>7</w:t>
                </w:r>
                <w:r w:rsidR="00A07B2B" w:rsidRPr="00BE47BF">
                  <w:rPr>
                    <w:rFonts w:ascii="Arial" w:hAnsi="Arial" w:cs="Arial"/>
                    <w:noProof/>
                    <w:webHidden/>
                    <w:sz w:val="28"/>
                    <w:szCs w:val="28"/>
                  </w:rPr>
                  <w:fldChar w:fldCharType="end"/>
                </w:r>
              </w:hyperlink>
            </w:p>
            <w:p w14:paraId="179A9540" w14:textId="6D5B845E" w:rsidR="00A07B2B" w:rsidRPr="00BE47BF" w:rsidRDefault="00FB3165" w:rsidP="00A07B2B">
              <w:pPr>
                <w:pStyle w:val="TOC3"/>
                <w:tabs>
                  <w:tab w:val="right" w:leader="dot" w:pos="9054"/>
                </w:tabs>
                <w:spacing w:line="600" w:lineRule="auto"/>
                <w:rPr>
                  <w:rFonts w:ascii="Arial" w:eastAsiaTheme="minorEastAsia" w:hAnsi="Arial" w:cs="Arial"/>
                  <w:noProof/>
                  <w:kern w:val="2"/>
                  <w:sz w:val="28"/>
                  <w:szCs w:val="28"/>
                  <w:lang w:val="en-IN" w:eastAsia="en-GB"/>
                  <w14:ligatures w14:val="standardContextual"/>
                </w:rPr>
              </w:pPr>
              <w:hyperlink w:anchor="_Toc170080172" w:history="1">
                <w:r w:rsidR="00A07B2B" w:rsidRPr="00BE47BF">
                  <w:rPr>
                    <w:rStyle w:val="Hyperlink"/>
                    <w:rFonts w:ascii="Arial" w:hAnsi="Arial" w:cs="Arial"/>
                    <w:noProof/>
                    <w:sz w:val="28"/>
                    <w:szCs w:val="28"/>
                  </w:rPr>
                  <w:t>Ethical Issues</w:t>
                </w:r>
                <w:r w:rsidR="00A07B2B" w:rsidRPr="00BE47BF">
                  <w:rPr>
                    <w:rFonts w:ascii="Arial" w:hAnsi="Arial" w:cs="Arial"/>
                    <w:noProof/>
                    <w:webHidden/>
                    <w:sz w:val="28"/>
                    <w:szCs w:val="28"/>
                  </w:rPr>
                  <w:tab/>
                </w:r>
                <w:r w:rsidR="00A07B2B" w:rsidRPr="00BE47BF">
                  <w:rPr>
                    <w:rFonts w:ascii="Arial" w:hAnsi="Arial" w:cs="Arial"/>
                    <w:noProof/>
                    <w:webHidden/>
                    <w:sz w:val="28"/>
                    <w:szCs w:val="28"/>
                  </w:rPr>
                  <w:fldChar w:fldCharType="begin"/>
                </w:r>
                <w:r w:rsidR="00A07B2B" w:rsidRPr="00BE47BF">
                  <w:rPr>
                    <w:rFonts w:ascii="Arial" w:hAnsi="Arial" w:cs="Arial"/>
                    <w:noProof/>
                    <w:webHidden/>
                    <w:sz w:val="28"/>
                    <w:szCs w:val="28"/>
                  </w:rPr>
                  <w:instrText xml:space="preserve"> PAGEREF _Toc170080172 \h </w:instrText>
                </w:r>
                <w:r w:rsidR="00A07B2B" w:rsidRPr="00BE47BF">
                  <w:rPr>
                    <w:rFonts w:ascii="Arial" w:hAnsi="Arial" w:cs="Arial"/>
                    <w:noProof/>
                    <w:webHidden/>
                    <w:sz w:val="28"/>
                    <w:szCs w:val="28"/>
                  </w:rPr>
                </w:r>
                <w:r w:rsidR="00A07B2B" w:rsidRPr="00BE47BF">
                  <w:rPr>
                    <w:rFonts w:ascii="Arial" w:hAnsi="Arial" w:cs="Arial"/>
                    <w:noProof/>
                    <w:webHidden/>
                    <w:sz w:val="28"/>
                    <w:szCs w:val="28"/>
                  </w:rPr>
                  <w:fldChar w:fldCharType="separate"/>
                </w:r>
                <w:r w:rsidR="001A499C">
                  <w:rPr>
                    <w:rFonts w:ascii="Arial" w:hAnsi="Arial" w:cs="Arial"/>
                    <w:noProof/>
                    <w:webHidden/>
                    <w:sz w:val="28"/>
                    <w:szCs w:val="28"/>
                  </w:rPr>
                  <w:t>8</w:t>
                </w:r>
                <w:r w:rsidR="00A07B2B" w:rsidRPr="00BE47BF">
                  <w:rPr>
                    <w:rFonts w:ascii="Arial" w:hAnsi="Arial" w:cs="Arial"/>
                    <w:noProof/>
                    <w:webHidden/>
                    <w:sz w:val="28"/>
                    <w:szCs w:val="28"/>
                  </w:rPr>
                  <w:fldChar w:fldCharType="end"/>
                </w:r>
              </w:hyperlink>
            </w:p>
            <w:p w14:paraId="205C78C4" w14:textId="5EEC19D3" w:rsidR="00A07B2B" w:rsidRPr="00BE47BF" w:rsidRDefault="00FB3165" w:rsidP="00A07B2B">
              <w:pPr>
                <w:pStyle w:val="TOC2"/>
                <w:tabs>
                  <w:tab w:val="right" w:leader="dot" w:pos="9054"/>
                </w:tabs>
                <w:spacing w:line="600" w:lineRule="auto"/>
                <w:rPr>
                  <w:rFonts w:ascii="Arial" w:eastAsiaTheme="minorEastAsia" w:hAnsi="Arial" w:cs="Arial"/>
                  <w:b w:val="0"/>
                  <w:bCs w:val="0"/>
                  <w:noProof/>
                  <w:kern w:val="2"/>
                  <w:sz w:val="28"/>
                  <w:szCs w:val="28"/>
                  <w:lang w:val="en-IN" w:eastAsia="en-GB"/>
                  <w14:ligatures w14:val="standardContextual"/>
                </w:rPr>
              </w:pPr>
              <w:hyperlink w:anchor="_Toc170080173" w:history="1">
                <w:r w:rsidR="00A07B2B" w:rsidRPr="00BE47BF">
                  <w:rPr>
                    <w:rStyle w:val="Hyperlink"/>
                    <w:rFonts w:ascii="Arial" w:hAnsi="Arial" w:cs="Arial"/>
                    <w:b w:val="0"/>
                    <w:bCs w:val="0"/>
                    <w:noProof/>
                    <w:sz w:val="28"/>
                    <w:szCs w:val="28"/>
                  </w:rPr>
                  <w:t>Audit Failures and Misconduct</w:t>
                </w:r>
                <w:r w:rsidR="00A07B2B" w:rsidRPr="00BE47BF">
                  <w:rPr>
                    <w:rFonts w:ascii="Arial" w:hAnsi="Arial" w:cs="Arial"/>
                    <w:b w:val="0"/>
                    <w:bCs w:val="0"/>
                    <w:noProof/>
                    <w:webHidden/>
                    <w:sz w:val="28"/>
                    <w:szCs w:val="28"/>
                  </w:rPr>
                  <w:tab/>
                </w:r>
                <w:r w:rsidR="00A07B2B" w:rsidRPr="00BE47BF">
                  <w:rPr>
                    <w:rFonts w:ascii="Arial" w:hAnsi="Arial" w:cs="Arial"/>
                    <w:b w:val="0"/>
                    <w:bCs w:val="0"/>
                    <w:noProof/>
                    <w:webHidden/>
                    <w:sz w:val="28"/>
                    <w:szCs w:val="28"/>
                  </w:rPr>
                  <w:fldChar w:fldCharType="begin"/>
                </w:r>
                <w:r w:rsidR="00A07B2B" w:rsidRPr="00BE47BF">
                  <w:rPr>
                    <w:rFonts w:ascii="Arial" w:hAnsi="Arial" w:cs="Arial"/>
                    <w:b w:val="0"/>
                    <w:bCs w:val="0"/>
                    <w:noProof/>
                    <w:webHidden/>
                    <w:sz w:val="28"/>
                    <w:szCs w:val="28"/>
                  </w:rPr>
                  <w:instrText xml:space="preserve"> PAGEREF _Toc170080173 \h </w:instrText>
                </w:r>
                <w:r w:rsidR="00A07B2B" w:rsidRPr="00BE47BF">
                  <w:rPr>
                    <w:rFonts w:ascii="Arial" w:hAnsi="Arial" w:cs="Arial"/>
                    <w:b w:val="0"/>
                    <w:bCs w:val="0"/>
                    <w:noProof/>
                    <w:webHidden/>
                    <w:sz w:val="28"/>
                    <w:szCs w:val="28"/>
                  </w:rPr>
                </w:r>
                <w:r w:rsidR="00A07B2B" w:rsidRPr="00BE47BF">
                  <w:rPr>
                    <w:rFonts w:ascii="Arial" w:hAnsi="Arial" w:cs="Arial"/>
                    <w:b w:val="0"/>
                    <w:bCs w:val="0"/>
                    <w:noProof/>
                    <w:webHidden/>
                    <w:sz w:val="28"/>
                    <w:szCs w:val="28"/>
                  </w:rPr>
                  <w:fldChar w:fldCharType="separate"/>
                </w:r>
                <w:r w:rsidR="001A499C">
                  <w:rPr>
                    <w:rFonts w:ascii="Arial" w:hAnsi="Arial" w:cs="Arial"/>
                    <w:b w:val="0"/>
                    <w:bCs w:val="0"/>
                    <w:noProof/>
                    <w:webHidden/>
                    <w:sz w:val="28"/>
                    <w:szCs w:val="28"/>
                  </w:rPr>
                  <w:t>9</w:t>
                </w:r>
                <w:r w:rsidR="00A07B2B" w:rsidRPr="00BE47BF">
                  <w:rPr>
                    <w:rFonts w:ascii="Arial" w:hAnsi="Arial" w:cs="Arial"/>
                    <w:b w:val="0"/>
                    <w:bCs w:val="0"/>
                    <w:noProof/>
                    <w:webHidden/>
                    <w:sz w:val="28"/>
                    <w:szCs w:val="28"/>
                  </w:rPr>
                  <w:fldChar w:fldCharType="end"/>
                </w:r>
              </w:hyperlink>
            </w:p>
            <w:p w14:paraId="1691B9BE" w14:textId="1410C83D" w:rsidR="00A07B2B" w:rsidRPr="00BE47BF" w:rsidRDefault="00FB3165" w:rsidP="00A07B2B">
              <w:pPr>
                <w:pStyle w:val="TOC3"/>
                <w:tabs>
                  <w:tab w:val="right" w:leader="dot" w:pos="9054"/>
                </w:tabs>
                <w:spacing w:line="600" w:lineRule="auto"/>
                <w:rPr>
                  <w:rFonts w:ascii="Arial" w:eastAsiaTheme="minorEastAsia" w:hAnsi="Arial" w:cs="Arial"/>
                  <w:noProof/>
                  <w:kern w:val="2"/>
                  <w:sz w:val="28"/>
                  <w:szCs w:val="28"/>
                  <w:lang w:val="en-IN" w:eastAsia="en-GB"/>
                  <w14:ligatures w14:val="standardContextual"/>
                </w:rPr>
              </w:pPr>
              <w:hyperlink w:anchor="_Toc170080174" w:history="1">
                <w:r w:rsidR="00A07B2B" w:rsidRPr="00BE47BF">
                  <w:rPr>
                    <w:rStyle w:val="Hyperlink"/>
                    <w:rFonts w:ascii="Arial" w:hAnsi="Arial" w:cs="Arial"/>
                    <w:noProof/>
                    <w:sz w:val="28"/>
                    <w:szCs w:val="28"/>
                  </w:rPr>
                  <w:t>Actions and Omissions by Auditors</w:t>
                </w:r>
                <w:r w:rsidR="00A07B2B" w:rsidRPr="00BE47BF">
                  <w:rPr>
                    <w:rFonts w:ascii="Arial" w:hAnsi="Arial" w:cs="Arial"/>
                    <w:noProof/>
                    <w:webHidden/>
                    <w:sz w:val="28"/>
                    <w:szCs w:val="28"/>
                  </w:rPr>
                  <w:tab/>
                </w:r>
                <w:r w:rsidR="00A07B2B" w:rsidRPr="00BE47BF">
                  <w:rPr>
                    <w:rFonts w:ascii="Arial" w:hAnsi="Arial" w:cs="Arial"/>
                    <w:noProof/>
                    <w:webHidden/>
                    <w:sz w:val="28"/>
                    <w:szCs w:val="28"/>
                  </w:rPr>
                  <w:fldChar w:fldCharType="begin"/>
                </w:r>
                <w:r w:rsidR="00A07B2B" w:rsidRPr="00BE47BF">
                  <w:rPr>
                    <w:rFonts w:ascii="Arial" w:hAnsi="Arial" w:cs="Arial"/>
                    <w:noProof/>
                    <w:webHidden/>
                    <w:sz w:val="28"/>
                    <w:szCs w:val="28"/>
                  </w:rPr>
                  <w:instrText xml:space="preserve"> PAGEREF _Toc170080174 \h </w:instrText>
                </w:r>
                <w:r w:rsidR="00A07B2B" w:rsidRPr="00BE47BF">
                  <w:rPr>
                    <w:rFonts w:ascii="Arial" w:hAnsi="Arial" w:cs="Arial"/>
                    <w:noProof/>
                    <w:webHidden/>
                    <w:sz w:val="28"/>
                    <w:szCs w:val="28"/>
                  </w:rPr>
                </w:r>
                <w:r w:rsidR="00A07B2B" w:rsidRPr="00BE47BF">
                  <w:rPr>
                    <w:rFonts w:ascii="Arial" w:hAnsi="Arial" w:cs="Arial"/>
                    <w:noProof/>
                    <w:webHidden/>
                    <w:sz w:val="28"/>
                    <w:szCs w:val="28"/>
                  </w:rPr>
                  <w:fldChar w:fldCharType="separate"/>
                </w:r>
                <w:r w:rsidR="001A499C">
                  <w:rPr>
                    <w:rFonts w:ascii="Arial" w:hAnsi="Arial" w:cs="Arial"/>
                    <w:noProof/>
                    <w:webHidden/>
                    <w:sz w:val="28"/>
                    <w:szCs w:val="28"/>
                  </w:rPr>
                  <w:t>9</w:t>
                </w:r>
                <w:r w:rsidR="00A07B2B" w:rsidRPr="00BE47BF">
                  <w:rPr>
                    <w:rFonts w:ascii="Arial" w:hAnsi="Arial" w:cs="Arial"/>
                    <w:noProof/>
                    <w:webHidden/>
                    <w:sz w:val="28"/>
                    <w:szCs w:val="28"/>
                  </w:rPr>
                  <w:fldChar w:fldCharType="end"/>
                </w:r>
              </w:hyperlink>
            </w:p>
            <w:p w14:paraId="6F8F6CE3" w14:textId="0C4F27D7" w:rsidR="00A07B2B" w:rsidRPr="00BE47BF" w:rsidRDefault="00FB3165" w:rsidP="00A07B2B">
              <w:pPr>
                <w:pStyle w:val="TOC3"/>
                <w:tabs>
                  <w:tab w:val="right" w:leader="dot" w:pos="9054"/>
                </w:tabs>
                <w:spacing w:line="600" w:lineRule="auto"/>
                <w:rPr>
                  <w:rFonts w:ascii="Arial" w:eastAsiaTheme="minorEastAsia" w:hAnsi="Arial" w:cs="Arial"/>
                  <w:noProof/>
                  <w:kern w:val="2"/>
                  <w:sz w:val="28"/>
                  <w:szCs w:val="28"/>
                  <w:lang w:val="en-IN" w:eastAsia="en-GB"/>
                  <w14:ligatures w14:val="standardContextual"/>
                </w:rPr>
              </w:pPr>
              <w:hyperlink w:anchor="_Toc170080175" w:history="1">
                <w:r w:rsidR="00A07B2B" w:rsidRPr="00BE47BF">
                  <w:rPr>
                    <w:rStyle w:val="Hyperlink"/>
                    <w:rFonts w:ascii="Arial" w:hAnsi="Arial" w:cs="Arial"/>
                    <w:noProof/>
                    <w:sz w:val="28"/>
                    <w:szCs w:val="28"/>
                  </w:rPr>
                  <w:t>Ethical Violations by Auditors</w:t>
                </w:r>
                <w:r w:rsidR="00A07B2B" w:rsidRPr="00BE47BF">
                  <w:rPr>
                    <w:rFonts w:ascii="Arial" w:hAnsi="Arial" w:cs="Arial"/>
                    <w:noProof/>
                    <w:webHidden/>
                    <w:sz w:val="28"/>
                    <w:szCs w:val="28"/>
                  </w:rPr>
                  <w:tab/>
                </w:r>
                <w:r w:rsidR="00A07B2B" w:rsidRPr="00BE47BF">
                  <w:rPr>
                    <w:rFonts w:ascii="Arial" w:hAnsi="Arial" w:cs="Arial"/>
                    <w:noProof/>
                    <w:webHidden/>
                    <w:sz w:val="28"/>
                    <w:szCs w:val="28"/>
                  </w:rPr>
                  <w:fldChar w:fldCharType="begin"/>
                </w:r>
                <w:r w:rsidR="00A07B2B" w:rsidRPr="00BE47BF">
                  <w:rPr>
                    <w:rFonts w:ascii="Arial" w:hAnsi="Arial" w:cs="Arial"/>
                    <w:noProof/>
                    <w:webHidden/>
                    <w:sz w:val="28"/>
                    <w:szCs w:val="28"/>
                  </w:rPr>
                  <w:instrText xml:space="preserve"> PAGEREF _Toc170080175 \h </w:instrText>
                </w:r>
                <w:r w:rsidR="00A07B2B" w:rsidRPr="00BE47BF">
                  <w:rPr>
                    <w:rFonts w:ascii="Arial" w:hAnsi="Arial" w:cs="Arial"/>
                    <w:noProof/>
                    <w:webHidden/>
                    <w:sz w:val="28"/>
                    <w:szCs w:val="28"/>
                  </w:rPr>
                </w:r>
                <w:r w:rsidR="00A07B2B" w:rsidRPr="00BE47BF">
                  <w:rPr>
                    <w:rFonts w:ascii="Arial" w:hAnsi="Arial" w:cs="Arial"/>
                    <w:noProof/>
                    <w:webHidden/>
                    <w:sz w:val="28"/>
                    <w:szCs w:val="28"/>
                  </w:rPr>
                  <w:fldChar w:fldCharType="separate"/>
                </w:r>
                <w:r w:rsidR="001A499C">
                  <w:rPr>
                    <w:rFonts w:ascii="Arial" w:hAnsi="Arial" w:cs="Arial"/>
                    <w:noProof/>
                    <w:webHidden/>
                    <w:sz w:val="28"/>
                    <w:szCs w:val="28"/>
                  </w:rPr>
                  <w:t>10</w:t>
                </w:r>
                <w:r w:rsidR="00A07B2B" w:rsidRPr="00BE47BF">
                  <w:rPr>
                    <w:rFonts w:ascii="Arial" w:hAnsi="Arial" w:cs="Arial"/>
                    <w:noProof/>
                    <w:webHidden/>
                    <w:sz w:val="28"/>
                    <w:szCs w:val="28"/>
                  </w:rPr>
                  <w:fldChar w:fldCharType="end"/>
                </w:r>
              </w:hyperlink>
            </w:p>
            <w:p w14:paraId="6C512983" w14:textId="57DFA875" w:rsidR="00A07B2B" w:rsidRPr="00BE47BF" w:rsidRDefault="00FB3165" w:rsidP="00A07B2B">
              <w:pPr>
                <w:pStyle w:val="TOC2"/>
                <w:tabs>
                  <w:tab w:val="right" w:leader="dot" w:pos="9054"/>
                </w:tabs>
                <w:spacing w:line="600" w:lineRule="auto"/>
                <w:rPr>
                  <w:rFonts w:ascii="Arial" w:eastAsiaTheme="minorEastAsia" w:hAnsi="Arial" w:cs="Arial"/>
                  <w:b w:val="0"/>
                  <w:bCs w:val="0"/>
                  <w:noProof/>
                  <w:kern w:val="2"/>
                  <w:sz w:val="28"/>
                  <w:szCs w:val="28"/>
                  <w:lang w:val="en-IN" w:eastAsia="en-GB"/>
                  <w14:ligatures w14:val="standardContextual"/>
                </w:rPr>
              </w:pPr>
              <w:hyperlink w:anchor="_Toc170080176" w:history="1">
                <w:r w:rsidR="00A07B2B" w:rsidRPr="00BE47BF">
                  <w:rPr>
                    <w:rStyle w:val="Hyperlink"/>
                    <w:rFonts w:ascii="Arial" w:hAnsi="Arial" w:cs="Arial"/>
                    <w:b w:val="0"/>
                    <w:bCs w:val="0"/>
                    <w:noProof/>
                    <w:sz w:val="28"/>
                    <w:szCs w:val="28"/>
                  </w:rPr>
                  <w:t>Conclusions</w:t>
                </w:r>
                <w:r w:rsidR="00A07B2B" w:rsidRPr="00BE47BF">
                  <w:rPr>
                    <w:rFonts w:ascii="Arial" w:hAnsi="Arial" w:cs="Arial"/>
                    <w:b w:val="0"/>
                    <w:bCs w:val="0"/>
                    <w:noProof/>
                    <w:webHidden/>
                    <w:sz w:val="28"/>
                    <w:szCs w:val="28"/>
                  </w:rPr>
                  <w:tab/>
                </w:r>
                <w:r w:rsidR="00A07B2B" w:rsidRPr="00BE47BF">
                  <w:rPr>
                    <w:rFonts w:ascii="Arial" w:hAnsi="Arial" w:cs="Arial"/>
                    <w:b w:val="0"/>
                    <w:bCs w:val="0"/>
                    <w:noProof/>
                    <w:webHidden/>
                    <w:sz w:val="28"/>
                    <w:szCs w:val="28"/>
                  </w:rPr>
                  <w:fldChar w:fldCharType="begin"/>
                </w:r>
                <w:r w:rsidR="00A07B2B" w:rsidRPr="00BE47BF">
                  <w:rPr>
                    <w:rFonts w:ascii="Arial" w:hAnsi="Arial" w:cs="Arial"/>
                    <w:b w:val="0"/>
                    <w:bCs w:val="0"/>
                    <w:noProof/>
                    <w:webHidden/>
                    <w:sz w:val="28"/>
                    <w:szCs w:val="28"/>
                  </w:rPr>
                  <w:instrText xml:space="preserve"> PAGEREF _Toc170080176 \h </w:instrText>
                </w:r>
                <w:r w:rsidR="00A07B2B" w:rsidRPr="00BE47BF">
                  <w:rPr>
                    <w:rFonts w:ascii="Arial" w:hAnsi="Arial" w:cs="Arial"/>
                    <w:b w:val="0"/>
                    <w:bCs w:val="0"/>
                    <w:noProof/>
                    <w:webHidden/>
                    <w:sz w:val="28"/>
                    <w:szCs w:val="28"/>
                  </w:rPr>
                </w:r>
                <w:r w:rsidR="00A07B2B" w:rsidRPr="00BE47BF">
                  <w:rPr>
                    <w:rFonts w:ascii="Arial" w:hAnsi="Arial" w:cs="Arial"/>
                    <w:b w:val="0"/>
                    <w:bCs w:val="0"/>
                    <w:noProof/>
                    <w:webHidden/>
                    <w:sz w:val="28"/>
                    <w:szCs w:val="28"/>
                  </w:rPr>
                  <w:fldChar w:fldCharType="separate"/>
                </w:r>
                <w:r w:rsidR="001A499C">
                  <w:rPr>
                    <w:rFonts w:ascii="Arial" w:hAnsi="Arial" w:cs="Arial"/>
                    <w:b w:val="0"/>
                    <w:bCs w:val="0"/>
                    <w:noProof/>
                    <w:webHidden/>
                    <w:sz w:val="28"/>
                    <w:szCs w:val="28"/>
                  </w:rPr>
                  <w:t>11</w:t>
                </w:r>
                <w:r w:rsidR="00A07B2B" w:rsidRPr="00BE47BF">
                  <w:rPr>
                    <w:rFonts w:ascii="Arial" w:hAnsi="Arial" w:cs="Arial"/>
                    <w:b w:val="0"/>
                    <w:bCs w:val="0"/>
                    <w:noProof/>
                    <w:webHidden/>
                    <w:sz w:val="28"/>
                    <w:szCs w:val="28"/>
                  </w:rPr>
                  <w:fldChar w:fldCharType="end"/>
                </w:r>
              </w:hyperlink>
            </w:p>
            <w:p w14:paraId="00B279C2" w14:textId="6C7DCD35" w:rsidR="00A07B2B" w:rsidRPr="00BE47BF" w:rsidRDefault="00FB3165" w:rsidP="00A07B2B">
              <w:pPr>
                <w:pStyle w:val="TOC2"/>
                <w:tabs>
                  <w:tab w:val="right" w:leader="dot" w:pos="9054"/>
                </w:tabs>
                <w:spacing w:line="600" w:lineRule="auto"/>
                <w:rPr>
                  <w:rFonts w:ascii="Arial" w:eastAsiaTheme="minorEastAsia" w:hAnsi="Arial" w:cs="Arial"/>
                  <w:b w:val="0"/>
                  <w:bCs w:val="0"/>
                  <w:noProof/>
                  <w:kern w:val="2"/>
                  <w:sz w:val="28"/>
                  <w:szCs w:val="28"/>
                  <w:lang w:val="en-IN" w:eastAsia="en-GB"/>
                  <w14:ligatures w14:val="standardContextual"/>
                </w:rPr>
              </w:pPr>
              <w:hyperlink w:anchor="_Toc170080177" w:history="1">
                <w:r w:rsidR="00A07B2B" w:rsidRPr="00BE47BF">
                  <w:rPr>
                    <w:rStyle w:val="Hyperlink"/>
                    <w:rFonts w:ascii="Arial" w:hAnsi="Arial" w:cs="Arial"/>
                    <w:b w:val="0"/>
                    <w:bCs w:val="0"/>
                    <w:noProof/>
                    <w:sz w:val="28"/>
                    <w:szCs w:val="28"/>
                  </w:rPr>
                  <w:t>Recommendations</w:t>
                </w:r>
                <w:r w:rsidR="00A07B2B" w:rsidRPr="00BE47BF">
                  <w:rPr>
                    <w:rFonts w:ascii="Arial" w:hAnsi="Arial" w:cs="Arial"/>
                    <w:b w:val="0"/>
                    <w:bCs w:val="0"/>
                    <w:noProof/>
                    <w:webHidden/>
                    <w:sz w:val="28"/>
                    <w:szCs w:val="28"/>
                  </w:rPr>
                  <w:tab/>
                </w:r>
                <w:r w:rsidR="00A07B2B" w:rsidRPr="00BE47BF">
                  <w:rPr>
                    <w:rFonts w:ascii="Arial" w:hAnsi="Arial" w:cs="Arial"/>
                    <w:b w:val="0"/>
                    <w:bCs w:val="0"/>
                    <w:noProof/>
                    <w:webHidden/>
                    <w:sz w:val="28"/>
                    <w:szCs w:val="28"/>
                  </w:rPr>
                  <w:fldChar w:fldCharType="begin"/>
                </w:r>
                <w:r w:rsidR="00A07B2B" w:rsidRPr="00BE47BF">
                  <w:rPr>
                    <w:rFonts w:ascii="Arial" w:hAnsi="Arial" w:cs="Arial"/>
                    <w:b w:val="0"/>
                    <w:bCs w:val="0"/>
                    <w:noProof/>
                    <w:webHidden/>
                    <w:sz w:val="28"/>
                    <w:szCs w:val="28"/>
                  </w:rPr>
                  <w:instrText xml:space="preserve"> PAGEREF _Toc170080177 \h </w:instrText>
                </w:r>
                <w:r w:rsidR="00A07B2B" w:rsidRPr="00BE47BF">
                  <w:rPr>
                    <w:rFonts w:ascii="Arial" w:hAnsi="Arial" w:cs="Arial"/>
                    <w:b w:val="0"/>
                    <w:bCs w:val="0"/>
                    <w:noProof/>
                    <w:webHidden/>
                    <w:sz w:val="28"/>
                    <w:szCs w:val="28"/>
                  </w:rPr>
                </w:r>
                <w:r w:rsidR="00A07B2B" w:rsidRPr="00BE47BF">
                  <w:rPr>
                    <w:rFonts w:ascii="Arial" w:hAnsi="Arial" w:cs="Arial"/>
                    <w:b w:val="0"/>
                    <w:bCs w:val="0"/>
                    <w:noProof/>
                    <w:webHidden/>
                    <w:sz w:val="28"/>
                    <w:szCs w:val="28"/>
                  </w:rPr>
                  <w:fldChar w:fldCharType="separate"/>
                </w:r>
                <w:r w:rsidR="001A499C">
                  <w:rPr>
                    <w:rFonts w:ascii="Arial" w:hAnsi="Arial" w:cs="Arial"/>
                    <w:b w:val="0"/>
                    <w:bCs w:val="0"/>
                    <w:noProof/>
                    <w:webHidden/>
                    <w:sz w:val="28"/>
                    <w:szCs w:val="28"/>
                  </w:rPr>
                  <w:t>12</w:t>
                </w:r>
                <w:r w:rsidR="00A07B2B" w:rsidRPr="00BE47BF">
                  <w:rPr>
                    <w:rFonts w:ascii="Arial" w:hAnsi="Arial" w:cs="Arial"/>
                    <w:b w:val="0"/>
                    <w:bCs w:val="0"/>
                    <w:noProof/>
                    <w:webHidden/>
                    <w:sz w:val="28"/>
                    <w:szCs w:val="28"/>
                  </w:rPr>
                  <w:fldChar w:fldCharType="end"/>
                </w:r>
              </w:hyperlink>
            </w:p>
            <w:p w14:paraId="59F5C1FF" w14:textId="0F42E064" w:rsidR="00A07B2B" w:rsidRPr="00BE47BF" w:rsidRDefault="00FB3165" w:rsidP="00A07B2B">
              <w:pPr>
                <w:pStyle w:val="TOC2"/>
                <w:tabs>
                  <w:tab w:val="right" w:leader="dot" w:pos="9054"/>
                </w:tabs>
                <w:spacing w:line="600" w:lineRule="auto"/>
                <w:rPr>
                  <w:rFonts w:ascii="Arial" w:eastAsiaTheme="minorEastAsia" w:hAnsi="Arial" w:cs="Arial"/>
                  <w:b w:val="0"/>
                  <w:bCs w:val="0"/>
                  <w:noProof/>
                  <w:kern w:val="2"/>
                  <w:sz w:val="28"/>
                  <w:szCs w:val="28"/>
                  <w:lang w:val="en-IN" w:eastAsia="en-GB"/>
                  <w14:ligatures w14:val="standardContextual"/>
                </w:rPr>
              </w:pPr>
              <w:hyperlink w:anchor="_Toc170080178" w:history="1">
                <w:r w:rsidR="00A07B2B" w:rsidRPr="00BE47BF">
                  <w:rPr>
                    <w:rStyle w:val="Hyperlink"/>
                    <w:rFonts w:ascii="Arial" w:hAnsi="Arial" w:cs="Arial"/>
                    <w:b w:val="0"/>
                    <w:bCs w:val="0"/>
                    <w:noProof/>
                    <w:sz w:val="28"/>
                    <w:szCs w:val="28"/>
                  </w:rPr>
                  <w:t>References</w:t>
                </w:r>
                <w:r w:rsidR="00A07B2B" w:rsidRPr="00BE47BF">
                  <w:rPr>
                    <w:rFonts w:ascii="Arial" w:hAnsi="Arial" w:cs="Arial"/>
                    <w:b w:val="0"/>
                    <w:bCs w:val="0"/>
                    <w:noProof/>
                    <w:webHidden/>
                    <w:sz w:val="28"/>
                    <w:szCs w:val="28"/>
                  </w:rPr>
                  <w:tab/>
                </w:r>
                <w:r w:rsidR="00A07B2B" w:rsidRPr="00BE47BF">
                  <w:rPr>
                    <w:rFonts w:ascii="Arial" w:hAnsi="Arial" w:cs="Arial"/>
                    <w:b w:val="0"/>
                    <w:bCs w:val="0"/>
                    <w:noProof/>
                    <w:webHidden/>
                    <w:sz w:val="28"/>
                    <w:szCs w:val="28"/>
                  </w:rPr>
                  <w:fldChar w:fldCharType="begin"/>
                </w:r>
                <w:r w:rsidR="00A07B2B" w:rsidRPr="00BE47BF">
                  <w:rPr>
                    <w:rFonts w:ascii="Arial" w:hAnsi="Arial" w:cs="Arial"/>
                    <w:b w:val="0"/>
                    <w:bCs w:val="0"/>
                    <w:noProof/>
                    <w:webHidden/>
                    <w:sz w:val="28"/>
                    <w:szCs w:val="28"/>
                  </w:rPr>
                  <w:instrText xml:space="preserve"> PAGEREF _Toc170080178 \h </w:instrText>
                </w:r>
                <w:r w:rsidR="00A07B2B" w:rsidRPr="00BE47BF">
                  <w:rPr>
                    <w:rFonts w:ascii="Arial" w:hAnsi="Arial" w:cs="Arial"/>
                    <w:b w:val="0"/>
                    <w:bCs w:val="0"/>
                    <w:noProof/>
                    <w:webHidden/>
                    <w:sz w:val="28"/>
                    <w:szCs w:val="28"/>
                  </w:rPr>
                </w:r>
                <w:r w:rsidR="00A07B2B" w:rsidRPr="00BE47BF">
                  <w:rPr>
                    <w:rFonts w:ascii="Arial" w:hAnsi="Arial" w:cs="Arial"/>
                    <w:b w:val="0"/>
                    <w:bCs w:val="0"/>
                    <w:noProof/>
                    <w:webHidden/>
                    <w:sz w:val="28"/>
                    <w:szCs w:val="28"/>
                  </w:rPr>
                  <w:fldChar w:fldCharType="separate"/>
                </w:r>
                <w:r w:rsidR="001A499C">
                  <w:rPr>
                    <w:rFonts w:ascii="Arial" w:hAnsi="Arial" w:cs="Arial"/>
                    <w:b w:val="0"/>
                    <w:bCs w:val="0"/>
                    <w:noProof/>
                    <w:webHidden/>
                    <w:sz w:val="28"/>
                    <w:szCs w:val="28"/>
                  </w:rPr>
                  <w:t>14</w:t>
                </w:r>
                <w:r w:rsidR="00A07B2B" w:rsidRPr="00BE47BF">
                  <w:rPr>
                    <w:rFonts w:ascii="Arial" w:hAnsi="Arial" w:cs="Arial"/>
                    <w:b w:val="0"/>
                    <w:bCs w:val="0"/>
                    <w:noProof/>
                    <w:webHidden/>
                    <w:sz w:val="28"/>
                    <w:szCs w:val="28"/>
                  </w:rPr>
                  <w:fldChar w:fldCharType="end"/>
                </w:r>
              </w:hyperlink>
            </w:p>
            <w:p w14:paraId="44202828" w14:textId="0E941B4A" w:rsidR="00A07B2B" w:rsidRPr="00BE47BF" w:rsidRDefault="00FB3165" w:rsidP="00A07B2B">
              <w:pPr>
                <w:pStyle w:val="TOC2"/>
                <w:tabs>
                  <w:tab w:val="right" w:leader="dot" w:pos="9054"/>
                </w:tabs>
                <w:spacing w:line="600" w:lineRule="auto"/>
                <w:rPr>
                  <w:rFonts w:ascii="Arial" w:eastAsiaTheme="minorEastAsia" w:hAnsi="Arial" w:cs="Arial"/>
                  <w:b w:val="0"/>
                  <w:bCs w:val="0"/>
                  <w:noProof/>
                  <w:kern w:val="2"/>
                  <w:sz w:val="28"/>
                  <w:szCs w:val="28"/>
                  <w:lang w:val="en-IN" w:eastAsia="en-GB"/>
                  <w14:ligatures w14:val="standardContextual"/>
                </w:rPr>
              </w:pPr>
              <w:hyperlink w:anchor="_Toc170080179" w:history="1">
                <w:r w:rsidR="00A07B2B" w:rsidRPr="00BE47BF">
                  <w:rPr>
                    <w:rStyle w:val="Hyperlink"/>
                    <w:rFonts w:ascii="Arial" w:hAnsi="Arial" w:cs="Arial"/>
                    <w:b w:val="0"/>
                    <w:bCs w:val="0"/>
                    <w:noProof/>
                    <w:sz w:val="28"/>
                    <w:szCs w:val="28"/>
                  </w:rPr>
                  <w:t>Appendices</w:t>
                </w:r>
                <w:r w:rsidR="00A07B2B" w:rsidRPr="00BE47BF">
                  <w:rPr>
                    <w:rFonts w:ascii="Arial" w:hAnsi="Arial" w:cs="Arial"/>
                    <w:b w:val="0"/>
                    <w:bCs w:val="0"/>
                    <w:noProof/>
                    <w:webHidden/>
                    <w:sz w:val="28"/>
                    <w:szCs w:val="28"/>
                  </w:rPr>
                  <w:tab/>
                </w:r>
                <w:r w:rsidR="00A07B2B" w:rsidRPr="00BE47BF">
                  <w:rPr>
                    <w:rFonts w:ascii="Arial" w:hAnsi="Arial" w:cs="Arial"/>
                    <w:b w:val="0"/>
                    <w:bCs w:val="0"/>
                    <w:noProof/>
                    <w:webHidden/>
                    <w:sz w:val="28"/>
                    <w:szCs w:val="28"/>
                  </w:rPr>
                  <w:fldChar w:fldCharType="begin"/>
                </w:r>
                <w:r w:rsidR="00A07B2B" w:rsidRPr="00BE47BF">
                  <w:rPr>
                    <w:rFonts w:ascii="Arial" w:hAnsi="Arial" w:cs="Arial"/>
                    <w:b w:val="0"/>
                    <w:bCs w:val="0"/>
                    <w:noProof/>
                    <w:webHidden/>
                    <w:sz w:val="28"/>
                    <w:szCs w:val="28"/>
                  </w:rPr>
                  <w:instrText xml:space="preserve"> PAGEREF _Toc170080179 \h </w:instrText>
                </w:r>
                <w:r w:rsidR="00A07B2B" w:rsidRPr="00BE47BF">
                  <w:rPr>
                    <w:rFonts w:ascii="Arial" w:hAnsi="Arial" w:cs="Arial"/>
                    <w:b w:val="0"/>
                    <w:bCs w:val="0"/>
                    <w:noProof/>
                    <w:webHidden/>
                    <w:sz w:val="28"/>
                    <w:szCs w:val="28"/>
                  </w:rPr>
                </w:r>
                <w:r w:rsidR="00A07B2B" w:rsidRPr="00BE47BF">
                  <w:rPr>
                    <w:rFonts w:ascii="Arial" w:hAnsi="Arial" w:cs="Arial"/>
                    <w:b w:val="0"/>
                    <w:bCs w:val="0"/>
                    <w:noProof/>
                    <w:webHidden/>
                    <w:sz w:val="28"/>
                    <w:szCs w:val="28"/>
                  </w:rPr>
                  <w:fldChar w:fldCharType="separate"/>
                </w:r>
                <w:r w:rsidR="001A499C">
                  <w:rPr>
                    <w:rFonts w:ascii="Arial" w:hAnsi="Arial" w:cs="Arial"/>
                    <w:b w:val="0"/>
                    <w:bCs w:val="0"/>
                    <w:noProof/>
                    <w:webHidden/>
                    <w:sz w:val="28"/>
                    <w:szCs w:val="28"/>
                  </w:rPr>
                  <w:t>14</w:t>
                </w:r>
                <w:r w:rsidR="00A07B2B" w:rsidRPr="00BE47BF">
                  <w:rPr>
                    <w:rFonts w:ascii="Arial" w:hAnsi="Arial" w:cs="Arial"/>
                    <w:b w:val="0"/>
                    <w:bCs w:val="0"/>
                    <w:noProof/>
                    <w:webHidden/>
                    <w:sz w:val="28"/>
                    <w:szCs w:val="28"/>
                  </w:rPr>
                  <w:fldChar w:fldCharType="end"/>
                </w:r>
              </w:hyperlink>
            </w:p>
            <w:p w14:paraId="2B92AEC5" w14:textId="1E200D5E" w:rsidR="001A716F" w:rsidRPr="00747592" w:rsidRDefault="00FE2723" w:rsidP="00747592">
              <w:pPr>
                <w:spacing w:line="600" w:lineRule="auto"/>
              </w:pPr>
              <w:r w:rsidRPr="00BE47BF">
                <w:rPr>
                  <w:rFonts w:cs="Arial"/>
                  <w:noProof/>
                  <w:sz w:val="28"/>
                  <w:szCs w:val="28"/>
                </w:rPr>
                <w:fldChar w:fldCharType="end"/>
              </w:r>
            </w:p>
          </w:sdtContent>
        </w:sdt>
        <w:p w14:paraId="4228265C" w14:textId="5AD26ECA" w:rsidR="00FE2723" w:rsidRPr="00552DE0" w:rsidRDefault="00FF68AF" w:rsidP="00736105">
          <w:pPr>
            <w:pStyle w:val="Heading2"/>
            <w:rPr>
              <w:rFonts w:ascii="Arial" w:hAnsi="Arial" w:cs="Arial"/>
              <w:b/>
              <w:bCs/>
            </w:rPr>
          </w:pPr>
          <w:bookmarkStart w:id="0" w:name="_Toc170080166"/>
          <w:r w:rsidRPr="00552DE0">
            <w:rPr>
              <w:rFonts w:ascii="Arial" w:hAnsi="Arial" w:cs="Arial"/>
              <w:b/>
              <w:bCs/>
            </w:rPr>
            <w:t>Introduction</w:t>
          </w:r>
          <w:r w:rsidR="005B2054" w:rsidRPr="00552DE0">
            <w:rPr>
              <w:rFonts w:ascii="Arial" w:hAnsi="Arial" w:cs="Arial"/>
              <w:b/>
              <w:bCs/>
            </w:rPr>
            <w:t xml:space="preserve"> </w:t>
          </w:r>
        </w:p>
      </w:sdtContent>
    </w:sdt>
    <w:bookmarkEnd w:id="0" w:displacedByCustomXml="prev"/>
    <w:p w14:paraId="502CF2CB" w14:textId="77777777" w:rsidR="008F0CBE" w:rsidRPr="00461B17" w:rsidRDefault="008F0CBE" w:rsidP="00F40263">
      <w:pPr>
        <w:spacing w:line="360" w:lineRule="auto"/>
      </w:pPr>
    </w:p>
    <w:p w14:paraId="282588BA" w14:textId="77BDFD7B" w:rsidR="00092363" w:rsidRPr="00261DE0" w:rsidRDefault="00092363" w:rsidP="00B52FD0">
      <w:pPr>
        <w:spacing w:line="360" w:lineRule="auto"/>
        <w:rPr>
          <w:rFonts w:cs="Arial"/>
        </w:rPr>
      </w:pPr>
      <w:r w:rsidRPr="00261DE0">
        <w:rPr>
          <w:rFonts w:cs="Arial"/>
        </w:rPr>
        <w:t>Wirecard AG</w:t>
      </w:r>
      <w:r w:rsidR="002A637D">
        <w:rPr>
          <w:rStyle w:val="FootnoteReference"/>
          <w:rFonts w:cs="Arial"/>
        </w:rPr>
        <w:footnoteReference w:id="1"/>
      </w:r>
      <w:r w:rsidR="00ED4277" w:rsidRPr="00261DE0">
        <w:rPr>
          <w:rFonts w:cs="Arial"/>
        </w:rPr>
        <w:t xml:space="preserve">, </w:t>
      </w:r>
      <w:r w:rsidRPr="00261DE0">
        <w:rPr>
          <w:rFonts w:cs="Arial"/>
        </w:rPr>
        <w:t xml:space="preserve">a </w:t>
      </w:r>
      <w:r w:rsidR="00EB2893">
        <w:rPr>
          <w:rFonts w:cs="Arial"/>
        </w:rPr>
        <w:t xml:space="preserve">Munich based </w:t>
      </w:r>
      <w:r w:rsidRPr="00261DE0">
        <w:rPr>
          <w:rFonts w:cs="Arial"/>
        </w:rPr>
        <w:t>payment processor</w:t>
      </w:r>
      <w:r w:rsidR="00816205">
        <w:rPr>
          <w:rFonts w:cs="Arial"/>
        </w:rPr>
        <w:t xml:space="preserve"> was founded in </w:t>
      </w:r>
      <w:r w:rsidR="00816205" w:rsidRPr="00261DE0">
        <w:rPr>
          <w:rFonts w:cs="Arial"/>
        </w:rPr>
        <w:t>1999</w:t>
      </w:r>
      <w:r w:rsidR="00A541D6" w:rsidRPr="00261DE0">
        <w:rPr>
          <w:rFonts w:cs="Arial"/>
        </w:rPr>
        <w:t xml:space="preserve">, </w:t>
      </w:r>
      <w:r w:rsidR="00EB2893">
        <w:rPr>
          <w:rFonts w:cs="Arial"/>
        </w:rPr>
        <w:t>it</w:t>
      </w:r>
      <w:r w:rsidR="0025708B">
        <w:rPr>
          <w:rFonts w:cs="Arial"/>
        </w:rPr>
        <w:t xml:space="preserve"> </w:t>
      </w:r>
      <w:r w:rsidR="00A541D6" w:rsidRPr="00261DE0">
        <w:rPr>
          <w:rFonts w:cs="Arial"/>
        </w:rPr>
        <w:t xml:space="preserve">rapidly </w:t>
      </w:r>
      <w:r w:rsidRPr="00261DE0">
        <w:rPr>
          <w:rFonts w:cs="Arial"/>
        </w:rPr>
        <w:t xml:space="preserve">gained </w:t>
      </w:r>
      <w:r w:rsidR="00493E67" w:rsidRPr="00261DE0">
        <w:rPr>
          <w:rFonts w:cs="Arial"/>
        </w:rPr>
        <w:t>fame</w:t>
      </w:r>
      <w:r w:rsidR="00747592">
        <w:rPr>
          <w:rFonts w:cs="Arial"/>
        </w:rPr>
        <w:t xml:space="preserve"> in Germany’s </w:t>
      </w:r>
      <w:r w:rsidR="007E20FB">
        <w:rPr>
          <w:rFonts w:cs="Arial"/>
        </w:rPr>
        <w:t>financial market.</w:t>
      </w:r>
      <w:r w:rsidR="00246263" w:rsidRPr="00261DE0">
        <w:rPr>
          <w:rFonts w:cs="Arial"/>
        </w:rPr>
        <w:t xml:space="preserve"> </w:t>
      </w:r>
      <w:r w:rsidR="00EB2893">
        <w:rPr>
          <w:rFonts w:cs="Arial"/>
        </w:rPr>
        <w:t>It offered a</w:t>
      </w:r>
      <w:r w:rsidR="00055670" w:rsidRPr="00261DE0">
        <w:rPr>
          <w:rFonts w:cs="Arial"/>
        </w:rPr>
        <w:t xml:space="preserve"> </w:t>
      </w:r>
      <w:r w:rsidR="006B1DEF" w:rsidRPr="00261DE0">
        <w:rPr>
          <w:rFonts w:cs="Arial"/>
        </w:rPr>
        <w:t xml:space="preserve">diverse range </w:t>
      </w:r>
      <w:r w:rsidR="001252F6" w:rsidRPr="00261DE0">
        <w:rPr>
          <w:rFonts w:cs="Arial"/>
        </w:rPr>
        <w:t>of</w:t>
      </w:r>
      <w:r w:rsidR="006B1DEF" w:rsidRPr="00261DE0">
        <w:rPr>
          <w:rFonts w:cs="Arial"/>
        </w:rPr>
        <w:t xml:space="preserve"> services, </w:t>
      </w:r>
      <w:r w:rsidR="00816205">
        <w:rPr>
          <w:rFonts w:cs="Arial"/>
        </w:rPr>
        <w:t xml:space="preserve">from </w:t>
      </w:r>
      <w:r w:rsidR="001252F6" w:rsidRPr="00261DE0">
        <w:rPr>
          <w:rFonts w:cs="Arial"/>
        </w:rPr>
        <w:t>mobile</w:t>
      </w:r>
      <w:r w:rsidR="006B1DEF" w:rsidRPr="00261DE0">
        <w:rPr>
          <w:rFonts w:cs="Arial"/>
        </w:rPr>
        <w:t xml:space="preserve"> paymen</w:t>
      </w:r>
      <w:r w:rsidR="001252F6" w:rsidRPr="00261DE0">
        <w:rPr>
          <w:rFonts w:cs="Arial"/>
        </w:rPr>
        <w:t xml:space="preserve">ts </w:t>
      </w:r>
      <w:r w:rsidR="00816205">
        <w:rPr>
          <w:rFonts w:cs="Arial"/>
        </w:rPr>
        <w:t>to credit</w:t>
      </w:r>
      <w:r w:rsidR="001252F6" w:rsidRPr="00261DE0">
        <w:rPr>
          <w:rFonts w:cs="Arial"/>
        </w:rPr>
        <w:t xml:space="preserve"> cards, </w:t>
      </w:r>
      <w:r w:rsidR="00EB2893">
        <w:rPr>
          <w:rFonts w:cs="Arial"/>
        </w:rPr>
        <w:t xml:space="preserve">which </w:t>
      </w:r>
      <w:r w:rsidR="005505FA" w:rsidRPr="00261DE0">
        <w:rPr>
          <w:rFonts w:cs="Arial"/>
        </w:rPr>
        <w:t xml:space="preserve">made </w:t>
      </w:r>
      <w:r w:rsidR="00055670" w:rsidRPr="00261DE0">
        <w:rPr>
          <w:rFonts w:cs="Arial"/>
        </w:rPr>
        <w:t xml:space="preserve">it </w:t>
      </w:r>
      <w:r w:rsidR="001252F6" w:rsidRPr="00261DE0">
        <w:rPr>
          <w:rFonts w:cs="Arial"/>
        </w:rPr>
        <w:t>an appealing option</w:t>
      </w:r>
      <w:r w:rsidR="00983366" w:rsidRPr="00261DE0">
        <w:rPr>
          <w:rFonts w:cs="Arial"/>
        </w:rPr>
        <w:t xml:space="preserve"> </w:t>
      </w:r>
      <w:r w:rsidR="00EB2893">
        <w:rPr>
          <w:rFonts w:cs="Arial"/>
        </w:rPr>
        <w:t xml:space="preserve">for investors </w:t>
      </w:r>
      <w:r w:rsidR="00983366" w:rsidRPr="00261DE0">
        <w:rPr>
          <w:rFonts w:cs="Arial"/>
        </w:rPr>
        <w:t xml:space="preserve">and </w:t>
      </w:r>
      <w:r w:rsidR="00B9710A">
        <w:rPr>
          <w:rFonts w:cs="Arial"/>
        </w:rPr>
        <w:t>led to its inclusion</w:t>
      </w:r>
      <w:r w:rsidR="00007765" w:rsidRPr="00261DE0">
        <w:rPr>
          <w:rFonts w:cs="Arial"/>
        </w:rPr>
        <w:t xml:space="preserve"> </w:t>
      </w:r>
      <w:r w:rsidR="0042180A" w:rsidRPr="00261DE0">
        <w:rPr>
          <w:rFonts w:cs="Arial"/>
        </w:rPr>
        <w:t xml:space="preserve">in the </w:t>
      </w:r>
      <w:r w:rsidR="00B9710A">
        <w:rPr>
          <w:rFonts w:cs="Arial"/>
        </w:rPr>
        <w:t xml:space="preserve">prestigious </w:t>
      </w:r>
      <w:r w:rsidR="0042180A" w:rsidRPr="00261DE0">
        <w:rPr>
          <w:rFonts w:cs="Arial"/>
        </w:rPr>
        <w:t>DAX 30 index.</w:t>
      </w:r>
      <w:r w:rsidR="00946EB2" w:rsidRPr="00261DE0">
        <w:rPr>
          <w:rStyle w:val="FootnoteReference"/>
          <w:rFonts w:cs="Arial"/>
        </w:rPr>
        <w:footnoteReference w:id="2"/>
      </w:r>
    </w:p>
    <w:p w14:paraId="43408345" w14:textId="77777777" w:rsidR="00261DE0" w:rsidRPr="00261DE0" w:rsidRDefault="00261DE0" w:rsidP="00B52FD0">
      <w:pPr>
        <w:spacing w:line="360" w:lineRule="auto"/>
        <w:rPr>
          <w:rFonts w:cs="Arial"/>
        </w:rPr>
      </w:pPr>
    </w:p>
    <w:p w14:paraId="44F0CCCB" w14:textId="728430CA" w:rsidR="00FF112D" w:rsidRDefault="00FF112D" w:rsidP="00B52FD0">
      <w:pPr>
        <w:spacing w:line="360" w:lineRule="auto"/>
        <w:rPr>
          <w:rFonts w:cs="Arial"/>
        </w:rPr>
      </w:pPr>
      <w:r w:rsidRPr="00261DE0">
        <w:rPr>
          <w:rFonts w:cs="Arial"/>
        </w:rPr>
        <w:t>However, this success</w:t>
      </w:r>
      <w:r w:rsidR="00983366" w:rsidRPr="00261DE0">
        <w:rPr>
          <w:rFonts w:cs="Arial"/>
        </w:rPr>
        <w:t xml:space="preserve"> </w:t>
      </w:r>
      <w:r w:rsidR="00261DE0">
        <w:rPr>
          <w:rFonts w:cs="Arial"/>
        </w:rPr>
        <w:t>masked</w:t>
      </w:r>
      <w:r w:rsidRPr="00261DE0">
        <w:rPr>
          <w:rFonts w:cs="Arial"/>
        </w:rPr>
        <w:t xml:space="preserve"> massive financial fraud</w:t>
      </w:r>
      <w:r w:rsidR="00983366" w:rsidRPr="00261DE0">
        <w:rPr>
          <w:rFonts w:cs="Arial"/>
        </w:rPr>
        <w:t xml:space="preserve">, </w:t>
      </w:r>
      <w:r w:rsidR="00261DE0">
        <w:rPr>
          <w:rFonts w:cs="Arial"/>
        </w:rPr>
        <w:t xml:space="preserve">culminating </w:t>
      </w:r>
      <w:r w:rsidR="00C01A11">
        <w:rPr>
          <w:rFonts w:cs="Arial"/>
        </w:rPr>
        <w:t xml:space="preserve">in its </w:t>
      </w:r>
      <w:r w:rsidR="00237FAB" w:rsidRPr="00261DE0">
        <w:rPr>
          <w:rFonts w:cs="Arial"/>
        </w:rPr>
        <w:t>in</w:t>
      </w:r>
      <w:r w:rsidRPr="00261DE0">
        <w:rPr>
          <w:rFonts w:cs="Arial"/>
        </w:rPr>
        <w:t xml:space="preserve">solvency in 2020. </w:t>
      </w:r>
      <w:r w:rsidR="00327693" w:rsidRPr="00261DE0">
        <w:rPr>
          <w:rFonts w:cs="Arial"/>
        </w:rPr>
        <w:t xml:space="preserve">Wirecard’s </w:t>
      </w:r>
      <w:r w:rsidR="00EC5C73" w:rsidRPr="00261DE0">
        <w:rPr>
          <w:rFonts w:cs="Arial"/>
        </w:rPr>
        <w:t>rapid ascent</w:t>
      </w:r>
      <w:r w:rsidR="00327693" w:rsidRPr="00261DE0">
        <w:rPr>
          <w:rFonts w:cs="Arial"/>
        </w:rPr>
        <w:t xml:space="preserve"> and </w:t>
      </w:r>
      <w:r w:rsidR="00EC5C73" w:rsidRPr="00261DE0">
        <w:rPr>
          <w:rFonts w:cs="Arial"/>
        </w:rPr>
        <w:t>subsequent</w:t>
      </w:r>
      <w:r w:rsidR="00327693" w:rsidRPr="00261DE0">
        <w:rPr>
          <w:rFonts w:cs="Arial"/>
        </w:rPr>
        <w:t xml:space="preserve"> fall caused serious </w:t>
      </w:r>
      <w:r w:rsidR="00A922E6" w:rsidRPr="00261DE0">
        <w:rPr>
          <w:rFonts w:cs="Arial"/>
        </w:rPr>
        <w:t xml:space="preserve">implications in the financial </w:t>
      </w:r>
      <w:r w:rsidR="00EC5C73" w:rsidRPr="00261DE0">
        <w:rPr>
          <w:rFonts w:cs="Arial"/>
        </w:rPr>
        <w:t>sector, exposing deficiencies</w:t>
      </w:r>
      <w:r w:rsidR="00A922E6" w:rsidRPr="00261DE0">
        <w:rPr>
          <w:rFonts w:cs="Arial"/>
        </w:rPr>
        <w:t xml:space="preserve"> in the regulatory </w:t>
      </w:r>
      <w:r w:rsidR="00EC5C73" w:rsidRPr="00261DE0">
        <w:rPr>
          <w:rFonts w:cs="Arial"/>
        </w:rPr>
        <w:t>structure and audit practices.</w:t>
      </w:r>
    </w:p>
    <w:p w14:paraId="0D849331" w14:textId="77777777" w:rsidR="00261DE0" w:rsidRPr="00261DE0" w:rsidRDefault="00261DE0" w:rsidP="00B52FD0">
      <w:pPr>
        <w:spacing w:line="360" w:lineRule="auto"/>
        <w:rPr>
          <w:rFonts w:cs="Arial"/>
        </w:rPr>
      </w:pPr>
    </w:p>
    <w:p w14:paraId="067ABB48" w14:textId="66EF92D0" w:rsidR="00EF0664" w:rsidRDefault="003D4D85" w:rsidP="00A451C5">
      <w:pPr>
        <w:spacing w:line="360" w:lineRule="auto"/>
        <w:rPr>
          <w:rFonts w:cs="Arial"/>
        </w:rPr>
      </w:pPr>
      <w:r w:rsidRPr="00261DE0">
        <w:rPr>
          <w:rFonts w:cs="Arial"/>
        </w:rPr>
        <w:t>Th</w:t>
      </w:r>
      <w:r w:rsidR="00A4254B" w:rsidRPr="00261DE0">
        <w:rPr>
          <w:rFonts w:cs="Arial"/>
        </w:rPr>
        <w:t xml:space="preserve">is report </w:t>
      </w:r>
      <w:r w:rsidR="00CA763E">
        <w:rPr>
          <w:rFonts w:cs="Arial"/>
        </w:rPr>
        <w:t xml:space="preserve">delves into analysis of </w:t>
      </w:r>
      <w:r w:rsidR="00F76891">
        <w:rPr>
          <w:rFonts w:cs="Arial"/>
        </w:rPr>
        <w:t xml:space="preserve">factors that led to Wirecard’s insolvency </w:t>
      </w:r>
      <w:r w:rsidR="00324D49">
        <w:rPr>
          <w:rFonts w:cs="Arial"/>
        </w:rPr>
        <w:t xml:space="preserve">and audit failures, Internal factors such as </w:t>
      </w:r>
      <w:r w:rsidR="00FC0402">
        <w:rPr>
          <w:rFonts w:cs="Arial"/>
        </w:rPr>
        <w:t xml:space="preserve">Wirecard’s </w:t>
      </w:r>
      <w:r w:rsidR="00324D49">
        <w:rPr>
          <w:rFonts w:cs="Arial"/>
        </w:rPr>
        <w:t>weak internal control</w:t>
      </w:r>
      <w:r w:rsidR="005A6F4C">
        <w:rPr>
          <w:rFonts w:cs="Arial"/>
        </w:rPr>
        <w:t>s, worsened by external factors</w:t>
      </w:r>
      <w:r w:rsidR="00FC0402">
        <w:rPr>
          <w:rFonts w:cs="Arial"/>
        </w:rPr>
        <w:t xml:space="preserve"> like German regulatory oversight</w:t>
      </w:r>
      <w:r w:rsidR="00641ED8">
        <w:rPr>
          <w:rFonts w:cs="Arial"/>
        </w:rPr>
        <w:t xml:space="preserve">. </w:t>
      </w:r>
      <w:r w:rsidR="0061522F">
        <w:rPr>
          <w:rFonts w:cs="Arial"/>
        </w:rPr>
        <w:t xml:space="preserve">Furthermore, the report lays down the ethical issues within the company, from fabricated statements to wrongful accounting practices. </w:t>
      </w:r>
      <w:r w:rsidR="005A12AF">
        <w:rPr>
          <w:rFonts w:cs="Arial"/>
        </w:rPr>
        <w:t>Then after, the omissions and ethics viol</w:t>
      </w:r>
      <w:r w:rsidR="00E727C9">
        <w:rPr>
          <w:rFonts w:cs="Arial"/>
        </w:rPr>
        <w:t>ated by EY</w:t>
      </w:r>
      <w:r w:rsidR="00564D33">
        <w:rPr>
          <w:rStyle w:val="FootnoteReference"/>
          <w:rFonts w:cs="Arial"/>
        </w:rPr>
        <w:footnoteReference w:id="3"/>
      </w:r>
      <w:r w:rsidR="00E727C9">
        <w:rPr>
          <w:rFonts w:cs="Arial"/>
        </w:rPr>
        <w:t xml:space="preserve"> are thoroughly scrutinized along with EY’s gross ne</w:t>
      </w:r>
      <w:r w:rsidR="00814693">
        <w:rPr>
          <w:rFonts w:cs="Arial"/>
        </w:rPr>
        <w:t>gligence in their audit work.</w:t>
      </w:r>
    </w:p>
    <w:p w14:paraId="72E38357" w14:textId="77777777" w:rsidR="00564D33" w:rsidRDefault="00564D33" w:rsidP="00A451C5">
      <w:pPr>
        <w:spacing w:line="360" w:lineRule="auto"/>
        <w:rPr>
          <w:rFonts w:cs="Arial"/>
        </w:rPr>
      </w:pPr>
    </w:p>
    <w:p w14:paraId="3A61362C" w14:textId="5325E0D5" w:rsidR="00564D33" w:rsidRPr="0056705D" w:rsidRDefault="00564D33" w:rsidP="00A451C5">
      <w:pPr>
        <w:spacing w:line="360" w:lineRule="auto"/>
        <w:rPr>
          <w:rFonts w:cs="Arial"/>
        </w:rPr>
      </w:pPr>
      <w:r>
        <w:rPr>
          <w:rFonts w:cs="Arial"/>
        </w:rPr>
        <w:t xml:space="preserve">The conclusion </w:t>
      </w:r>
      <w:r w:rsidR="00880496">
        <w:rPr>
          <w:rFonts w:cs="Arial"/>
        </w:rPr>
        <w:t xml:space="preserve">of the report highlights the need of rigorous </w:t>
      </w:r>
      <w:r w:rsidR="001E0C78">
        <w:rPr>
          <w:rFonts w:cs="Arial"/>
        </w:rPr>
        <w:t>corporate governance structure and stricter review of auditor’s ethical conduct.</w:t>
      </w:r>
    </w:p>
    <w:p w14:paraId="73246273" w14:textId="77777777" w:rsidR="00424B8D" w:rsidRDefault="00424B8D" w:rsidP="00285CCC">
      <w:pPr>
        <w:spacing w:line="360" w:lineRule="auto"/>
        <w:rPr>
          <w:rFonts w:cs="Arial"/>
        </w:rPr>
      </w:pPr>
    </w:p>
    <w:p w14:paraId="35DAAA62" w14:textId="14B026A4" w:rsidR="00D9584C" w:rsidRPr="0034397A" w:rsidRDefault="00D9584C" w:rsidP="0034397A">
      <w:pPr>
        <w:spacing w:line="360" w:lineRule="auto"/>
      </w:pPr>
    </w:p>
    <w:p w14:paraId="5B5A9B0C" w14:textId="77777777" w:rsidR="00245CCB" w:rsidRPr="00461B17" w:rsidRDefault="00245CCB" w:rsidP="00DF5C98">
      <w:pPr>
        <w:spacing w:line="360" w:lineRule="auto"/>
      </w:pPr>
    </w:p>
    <w:p w14:paraId="3A99716B" w14:textId="77777777" w:rsidR="004351C2" w:rsidRDefault="004351C2" w:rsidP="00461B17">
      <w:pPr>
        <w:pStyle w:val="Heading2"/>
        <w:spacing w:line="360" w:lineRule="auto"/>
        <w:rPr>
          <w:rFonts w:ascii="Arial" w:hAnsi="Arial" w:cs="Arial"/>
          <w:b/>
          <w:bCs/>
          <w:szCs w:val="32"/>
        </w:rPr>
      </w:pPr>
      <w:bookmarkStart w:id="1" w:name="_Toc170080167"/>
    </w:p>
    <w:p w14:paraId="3A1EAD96" w14:textId="77777777" w:rsidR="004351C2" w:rsidRPr="004351C2" w:rsidRDefault="004351C2" w:rsidP="004351C2">
      <w:pPr>
        <w:rPr>
          <w:lang w:val="en-GB" w:eastAsia="en-US"/>
        </w:rPr>
      </w:pPr>
    </w:p>
    <w:p w14:paraId="2A4FFE24" w14:textId="77777777" w:rsidR="001E0C78" w:rsidRDefault="001E0C78" w:rsidP="00461B17">
      <w:pPr>
        <w:pStyle w:val="Heading2"/>
        <w:spacing w:line="360" w:lineRule="auto"/>
        <w:rPr>
          <w:rFonts w:ascii="Arial" w:hAnsi="Arial" w:cs="Arial"/>
          <w:b/>
          <w:bCs/>
          <w:szCs w:val="32"/>
        </w:rPr>
      </w:pPr>
    </w:p>
    <w:p w14:paraId="0F0D9F20" w14:textId="77777777" w:rsidR="001E0C78" w:rsidRDefault="001E0C78" w:rsidP="001E0C78">
      <w:pPr>
        <w:rPr>
          <w:lang w:val="en-GB" w:eastAsia="en-US"/>
        </w:rPr>
      </w:pPr>
    </w:p>
    <w:p w14:paraId="0904A083" w14:textId="77777777" w:rsidR="001E0C78" w:rsidRPr="001E0C78" w:rsidRDefault="001E0C78" w:rsidP="001E0C78">
      <w:pPr>
        <w:rPr>
          <w:lang w:val="en-GB" w:eastAsia="en-US"/>
        </w:rPr>
      </w:pPr>
    </w:p>
    <w:p w14:paraId="5A53E631" w14:textId="5CEDCFF6" w:rsidR="00907960" w:rsidRPr="00552DE0" w:rsidRDefault="00FF68AF" w:rsidP="00461B17">
      <w:pPr>
        <w:pStyle w:val="Heading2"/>
        <w:spacing w:line="360" w:lineRule="auto"/>
        <w:rPr>
          <w:rFonts w:ascii="Arial" w:hAnsi="Arial" w:cs="Arial"/>
          <w:b/>
          <w:bCs/>
          <w:szCs w:val="32"/>
        </w:rPr>
      </w:pPr>
      <w:r w:rsidRPr="00552DE0">
        <w:rPr>
          <w:rFonts w:ascii="Arial" w:hAnsi="Arial" w:cs="Arial"/>
          <w:b/>
          <w:bCs/>
          <w:szCs w:val="32"/>
        </w:rPr>
        <w:t>Company Overview</w:t>
      </w:r>
      <w:bookmarkEnd w:id="1"/>
      <w:r w:rsidRPr="00552DE0">
        <w:rPr>
          <w:rFonts w:ascii="Arial" w:hAnsi="Arial" w:cs="Arial"/>
          <w:b/>
          <w:bCs/>
          <w:szCs w:val="32"/>
        </w:rPr>
        <w:t xml:space="preserve"> </w:t>
      </w:r>
    </w:p>
    <w:p w14:paraId="27EE4BF3" w14:textId="77777777" w:rsidR="00461B17" w:rsidRPr="00461B17" w:rsidRDefault="00461B17" w:rsidP="00461B17"/>
    <w:p w14:paraId="77FC62C3" w14:textId="26FA80AE" w:rsidR="00264E70" w:rsidRDefault="00264E70" w:rsidP="00193D9A">
      <w:pPr>
        <w:spacing w:line="360" w:lineRule="auto"/>
        <w:rPr>
          <w:rFonts w:cs="Arial"/>
        </w:rPr>
      </w:pPr>
      <w:r w:rsidRPr="00261DE0">
        <w:rPr>
          <w:rFonts w:cs="Arial"/>
        </w:rPr>
        <w:t>Wirecard</w:t>
      </w:r>
      <w:r w:rsidR="00033D58">
        <w:rPr>
          <w:rFonts w:cs="Arial"/>
        </w:rPr>
        <w:t xml:space="preserve"> AG, </w:t>
      </w:r>
      <w:r w:rsidR="00F038E1" w:rsidRPr="00261DE0">
        <w:rPr>
          <w:rFonts w:cs="Arial"/>
        </w:rPr>
        <w:t>established in Munich back in 1999</w:t>
      </w:r>
      <w:r w:rsidR="00527202" w:rsidRPr="00261DE0">
        <w:rPr>
          <w:rFonts w:cs="Arial"/>
        </w:rPr>
        <w:t xml:space="preserve">, initially </w:t>
      </w:r>
      <w:r w:rsidR="0072705F" w:rsidRPr="00261DE0">
        <w:rPr>
          <w:rFonts w:cs="Arial"/>
        </w:rPr>
        <w:t xml:space="preserve">functioned </w:t>
      </w:r>
      <w:r w:rsidR="00527202" w:rsidRPr="00261DE0">
        <w:rPr>
          <w:rFonts w:cs="Arial"/>
        </w:rPr>
        <w:t xml:space="preserve">as a </w:t>
      </w:r>
      <w:r w:rsidR="00F038E1" w:rsidRPr="00261DE0">
        <w:rPr>
          <w:rFonts w:cs="Arial"/>
        </w:rPr>
        <w:t>payment processor</w:t>
      </w:r>
      <w:r w:rsidR="00527202" w:rsidRPr="00261DE0">
        <w:rPr>
          <w:rFonts w:cs="Arial"/>
        </w:rPr>
        <w:t xml:space="preserve">, </w:t>
      </w:r>
      <w:r w:rsidR="00E106DC" w:rsidRPr="00261DE0">
        <w:rPr>
          <w:rFonts w:cs="Arial"/>
        </w:rPr>
        <w:t>support</w:t>
      </w:r>
      <w:r w:rsidR="00527202" w:rsidRPr="00261DE0">
        <w:rPr>
          <w:rFonts w:cs="Arial"/>
        </w:rPr>
        <w:t>ing</w:t>
      </w:r>
      <w:r w:rsidR="001062BC" w:rsidRPr="00261DE0">
        <w:rPr>
          <w:rFonts w:cs="Arial"/>
        </w:rPr>
        <w:t xml:space="preserve"> credit </w:t>
      </w:r>
      <w:r w:rsidR="00233819" w:rsidRPr="00261DE0">
        <w:rPr>
          <w:rFonts w:cs="Arial"/>
        </w:rPr>
        <w:t xml:space="preserve">card payments for gambling </w:t>
      </w:r>
      <w:r w:rsidR="00F846A0" w:rsidRPr="00261DE0">
        <w:rPr>
          <w:rFonts w:cs="Arial"/>
        </w:rPr>
        <w:t xml:space="preserve">websites </w:t>
      </w:r>
      <w:r w:rsidR="00233819" w:rsidRPr="00261DE0">
        <w:rPr>
          <w:rFonts w:cs="Arial"/>
        </w:rPr>
        <w:t xml:space="preserve">and </w:t>
      </w:r>
      <w:r w:rsidR="00E062E5" w:rsidRPr="00261DE0">
        <w:rPr>
          <w:rFonts w:cs="Arial"/>
        </w:rPr>
        <w:t>pornographic</w:t>
      </w:r>
      <w:r w:rsidR="00D15782" w:rsidRPr="00261DE0">
        <w:rPr>
          <w:rFonts w:cs="Arial"/>
        </w:rPr>
        <w:t xml:space="preserve"> </w:t>
      </w:r>
      <w:r w:rsidR="00233819" w:rsidRPr="00261DE0">
        <w:rPr>
          <w:rFonts w:cs="Arial"/>
        </w:rPr>
        <w:t>sites</w:t>
      </w:r>
      <w:r w:rsidR="00F846A0" w:rsidRPr="00261DE0">
        <w:rPr>
          <w:rFonts w:cs="Arial"/>
        </w:rPr>
        <w:t xml:space="preserve"> </w:t>
      </w:r>
      <w:hyperlink r:id="rId14" w:history="1">
        <w:r w:rsidR="00F846A0" w:rsidRPr="00261DE0">
          <w:rPr>
            <w:rStyle w:val="Hyperlink"/>
            <w:rFonts w:cs="Arial"/>
          </w:rPr>
          <w:t>(Chen, 2022).</w:t>
        </w:r>
      </w:hyperlink>
      <w:r w:rsidR="00F846A0" w:rsidRPr="00261DE0">
        <w:rPr>
          <w:rFonts w:cs="Arial"/>
        </w:rPr>
        <w:t xml:space="preserve"> </w:t>
      </w:r>
    </w:p>
    <w:p w14:paraId="04D3500F" w14:textId="77777777" w:rsidR="00C01A11" w:rsidRPr="00261DE0" w:rsidRDefault="00C01A11" w:rsidP="00193D9A">
      <w:pPr>
        <w:spacing w:line="360" w:lineRule="auto"/>
        <w:rPr>
          <w:rFonts w:cs="Arial"/>
        </w:rPr>
      </w:pPr>
    </w:p>
    <w:p w14:paraId="65E11A27" w14:textId="2123274C" w:rsidR="00275DB8" w:rsidRDefault="00C04BDE" w:rsidP="00193D9A">
      <w:pPr>
        <w:spacing w:line="360" w:lineRule="auto"/>
        <w:rPr>
          <w:rFonts w:cs="Arial"/>
        </w:rPr>
      </w:pPr>
      <w:r w:rsidRPr="00261DE0">
        <w:rPr>
          <w:rFonts w:cs="Arial"/>
        </w:rPr>
        <w:t>A</w:t>
      </w:r>
      <w:r w:rsidR="003B75A6">
        <w:rPr>
          <w:rFonts w:cs="Arial"/>
        </w:rPr>
        <w:t>ccording to</w:t>
      </w:r>
      <w:r w:rsidRPr="00261DE0">
        <w:rPr>
          <w:rFonts w:cs="Arial"/>
        </w:rPr>
        <w:t xml:space="preserve"> </w:t>
      </w:r>
      <w:hyperlink r:id="rId15" w:history="1">
        <w:r w:rsidRPr="00261DE0">
          <w:rPr>
            <w:rStyle w:val="Hyperlink"/>
            <w:rFonts w:cs="Arial"/>
          </w:rPr>
          <w:t>McCrum (2020)</w:t>
        </w:r>
      </w:hyperlink>
      <w:r w:rsidR="00A643AC">
        <w:rPr>
          <w:rFonts w:cs="Arial"/>
        </w:rPr>
        <w:t xml:space="preserve">, </w:t>
      </w:r>
      <w:r w:rsidR="00F46D39" w:rsidRPr="00261DE0">
        <w:rPr>
          <w:rFonts w:cs="Arial"/>
        </w:rPr>
        <w:t xml:space="preserve">the company </w:t>
      </w:r>
      <w:r w:rsidR="005667BF" w:rsidRPr="00261DE0">
        <w:rPr>
          <w:rFonts w:cs="Arial"/>
        </w:rPr>
        <w:t xml:space="preserve">nearly went </w:t>
      </w:r>
      <w:r w:rsidR="00F46D39" w:rsidRPr="00261DE0">
        <w:rPr>
          <w:rFonts w:cs="Arial"/>
        </w:rPr>
        <w:t>bankrupt</w:t>
      </w:r>
      <w:r w:rsidR="009C6E56" w:rsidRPr="00261DE0">
        <w:rPr>
          <w:rFonts w:cs="Arial"/>
        </w:rPr>
        <w:t xml:space="preserve"> but merged with </w:t>
      </w:r>
      <w:r w:rsidR="003B75A6">
        <w:rPr>
          <w:rFonts w:cs="Arial"/>
        </w:rPr>
        <w:t xml:space="preserve">its </w:t>
      </w:r>
      <w:r w:rsidR="009C6E56" w:rsidRPr="00261DE0">
        <w:rPr>
          <w:rFonts w:cs="Arial"/>
        </w:rPr>
        <w:t xml:space="preserve">then-rival Electronic Business Systems under </w:t>
      </w:r>
      <w:r w:rsidR="00F46D39" w:rsidRPr="00261DE0">
        <w:rPr>
          <w:rFonts w:cs="Arial"/>
        </w:rPr>
        <w:t>newly appoint</w:t>
      </w:r>
      <w:r w:rsidR="00D15782" w:rsidRPr="00261DE0">
        <w:rPr>
          <w:rFonts w:cs="Arial"/>
        </w:rPr>
        <w:t>ed</w:t>
      </w:r>
      <w:r w:rsidR="00F46D39" w:rsidRPr="00261DE0">
        <w:rPr>
          <w:rFonts w:cs="Arial"/>
        </w:rPr>
        <w:t xml:space="preserve"> CEO </w:t>
      </w:r>
      <w:r w:rsidR="00895839">
        <w:rPr>
          <w:rStyle w:val="FootnoteReference"/>
          <w:rFonts w:cs="Arial"/>
        </w:rPr>
        <w:footnoteReference w:id="4"/>
      </w:r>
      <w:r w:rsidR="00D15782" w:rsidRPr="00261DE0">
        <w:rPr>
          <w:rFonts w:cs="Arial"/>
        </w:rPr>
        <w:t xml:space="preserve">and </w:t>
      </w:r>
      <w:r w:rsidR="00F46D39" w:rsidRPr="00261DE0">
        <w:rPr>
          <w:rFonts w:cs="Arial"/>
        </w:rPr>
        <w:t xml:space="preserve">former </w:t>
      </w:r>
      <w:r w:rsidR="003B3B5C" w:rsidRPr="00261DE0">
        <w:rPr>
          <w:rFonts w:cs="Arial"/>
        </w:rPr>
        <w:t xml:space="preserve">KPMG consultant </w:t>
      </w:r>
      <w:hyperlink r:id="rId16" w:history="1">
        <w:r w:rsidR="003B3B5C" w:rsidRPr="00261DE0">
          <w:rPr>
            <w:rStyle w:val="Hyperlink"/>
            <w:rFonts w:cs="Arial"/>
          </w:rPr>
          <w:t>Markus Braun</w:t>
        </w:r>
      </w:hyperlink>
      <w:r w:rsidR="00275DB8" w:rsidRPr="00261DE0">
        <w:rPr>
          <w:rFonts w:cs="Arial"/>
        </w:rPr>
        <w:t>.</w:t>
      </w:r>
    </w:p>
    <w:p w14:paraId="23C06D0E" w14:textId="77777777" w:rsidR="00C01A11" w:rsidRPr="00261DE0" w:rsidRDefault="00C01A11" w:rsidP="00193D9A">
      <w:pPr>
        <w:spacing w:line="360" w:lineRule="auto"/>
        <w:rPr>
          <w:rFonts w:cs="Arial"/>
        </w:rPr>
      </w:pPr>
    </w:p>
    <w:p w14:paraId="1B8F067D" w14:textId="3957E991" w:rsidR="00C01A11" w:rsidRDefault="00664195" w:rsidP="00193D9A">
      <w:pPr>
        <w:spacing w:line="360" w:lineRule="auto"/>
        <w:rPr>
          <w:rFonts w:cs="Arial"/>
        </w:rPr>
      </w:pPr>
      <w:r w:rsidRPr="00261DE0">
        <w:rPr>
          <w:rFonts w:cs="Arial"/>
        </w:rPr>
        <w:t xml:space="preserve">As explained </w:t>
      </w:r>
      <w:r w:rsidR="003B365F" w:rsidRPr="00261DE0">
        <w:rPr>
          <w:rFonts w:cs="Arial"/>
        </w:rPr>
        <w:t>by</w:t>
      </w:r>
      <w:r w:rsidRPr="00261DE0">
        <w:rPr>
          <w:rFonts w:cs="Arial"/>
        </w:rPr>
        <w:t xml:space="preserve"> </w:t>
      </w:r>
      <w:hyperlink r:id="rId17" w:history="1">
        <w:r w:rsidRPr="00261DE0">
          <w:rPr>
            <w:rStyle w:val="Hyperlink"/>
            <w:rFonts w:cs="Arial"/>
          </w:rPr>
          <w:t>Eckler (2020)</w:t>
        </w:r>
      </w:hyperlink>
      <w:r w:rsidR="003B365F" w:rsidRPr="00261DE0">
        <w:rPr>
          <w:rFonts w:cs="Arial"/>
          <w:color w:val="000000"/>
        </w:rPr>
        <w:t xml:space="preserve">, </w:t>
      </w:r>
      <w:r w:rsidRPr="00261DE0">
        <w:rPr>
          <w:rFonts w:cs="Arial"/>
        </w:rPr>
        <w:t>a</w:t>
      </w:r>
      <w:r w:rsidR="00785A92" w:rsidRPr="00261DE0">
        <w:rPr>
          <w:rFonts w:cs="Arial"/>
        </w:rPr>
        <w:t xml:space="preserve">fter acquiring German bank XCOM AG, Wirecard obtained </w:t>
      </w:r>
      <w:r w:rsidR="004B107D" w:rsidRPr="00261DE0">
        <w:rPr>
          <w:rFonts w:cs="Arial"/>
        </w:rPr>
        <w:t>licenses from Visa and Mastercard to issue debit and credit card</w:t>
      </w:r>
      <w:r w:rsidR="003B365F" w:rsidRPr="00261DE0">
        <w:rPr>
          <w:rFonts w:cs="Arial"/>
        </w:rPr>
        <w:t xml:space="preserve">s, allowing it </w:t>
      </w:r>
      <w:r w:rsidR="004B107D" w:rsidRPr="00261DE0">
        <w:rPr>
          <w:rFonts w:cs="Arial"/>
        </w:rPr>
        <w:t xml:space="preserve">to expand its operations </w:t>
      </w:r>
      <w:r w:rsidR="00CE746E" w:rsidRPr="00261DE0">
        <w:rPr>
          <w:rFonts w:cs="Arial"/>
        </w:rPr>
        <w:t xml:space="preserve">across </w:t>
      </w:r>
      <w:r w:rsidR="003B365F" w:rsidRPr="00261DE0">
        <w:rPr>
          <w:rFonts w:cs="Arial"/>
        </w:rPr>
        <w:t xml:space="preserve">various </w:t>
      </w:r>
      <w:r w:rsidR="00CE746E" w:rsidRPr="00261DE0">
        <w:rPr>
          <w:rFonts w:cs="Arial"/>
        </w:rPr>
        <w:t xml:space="preserve">sectors, making it a complex </w:t>
      </w:r>
      <w:r w:rsidR="00E55973" w:rsidRPr="00261DE0">
        <w:rPr>
          <w:rFonts w:cs="Arial"/>
        </w:rPr>
        <w:t>business structure</w:t>
      </w:r>
      <w:r w:rsidR="00CA1385" w:rsidRPr="00261DE0">
        <w:rPr>
          <w:rFonts w:cs="Arial"/>
        </w:rPr>
        <w:t xml:space="preserve"> (</w:t>
      </w:r>
      <w:r w:rsidR="00DE41BC" w:rsidRPr="00261DE0">
        <w:rPr>
          <w:rFonts w:cs="Arial"/>
        </w:rPr>
        <w:t xml:space="preserve">Appendix </w:t>
      </w:r>
      <w:r w:rsidR="00CD4A62">
        <w:rPr>
          <w:rFonts w:cs="Arial"/>
        </w:rPr>
        <w:t>1</w:t>
      </w:r>
      <w:r w:rsidR="00CA1385" w:rsidRPr="00261DE0">
        <w:rPr>
          <w:rFonts w:cs="Arial"/>
        </w:rPr>
        <w:t>)</w:t>
      </w:r>
      <w:r w:rsidR="00E55973" w:rsidRPr="00261DE0">
        <w:rPr>
          <w:rFonts w:cs="Arial"/>
        </w:rPr>
        <w:t xml:space="preserve">. </w:t>
      </w:r>
      <w:r w:rsidR="005605B6" w:rsidRPr="00261DE0">
        <w:rPr>
          <w:rFonts w:cs="Arial"/>
        </w:rPr>
        <w:t>However</w:t>
      </w:r>
      <w:r w:rsidR="00E55973" w:rsidRPr="00261DE0">
        <w:rPr>
          <w:rFonts w:cs="Arial"/>
        </w:rPr>
        <w:t xml:space="preserve">, </w:t>
      </w:r>
      <w:r w:rsidR="00C53808">
        <w:rPr>
          <w:rFonts w:cs="Arial"/>
        </w:rPr>
        <w:t>such</w:t>
      </w:r>
      <w:r w:rsidR="00E55973" w:rsidRPr="00261DE0">
        <w:rPr>
          <w:rFonts w:cs="Arial"/>
        </w:rPr>
        <w:t xml:space="preserve"> </w:t>
      </w:r>
      <w:r w:rsidR="000C4A2C" w:rsidRPr="00261DE0">
        <w:rPr>
          <w:rFonts w:cs="Arial"/>
        </w:rPr>
        <w:t>complexity</w:t>
      </w:r>
      <w:r w:rsidR="00E55973" w:rsidRPr="00261DE0">
        <w:rPr>
          <w:rFonts w:cs="Arial"/>
        </w:rPr>
        <w:t xml:space="preserve"> </w:t>
      </w:r>
      <w:r w:rsidR="000C4A2C" w:rsidRPr="00261DE0">
        <w:rPr>
          <w:rFonts w:cs="Arial"/>
        </w:rPr>
        <w:t xml:space="preserve">made it easier </w:t>
      </w:r>
      <w:r w:rsidR="00C53808">
        <w:rPr>
          <w:rFonts w:cs="Arial"/>
        </w:rPr>
        <w:t xml:space="preserve">for the management </w:t>
      </w:r>
      <w:r w:rsidR="00186872" w:rsidRPr="00261DE0">
        <w:rPr>
          <w:rFonts w:cs="Arial"/>
        </w:rPr>
        <w:t xml:space="preserve">to </w:t>
      </w:r>
      <w:r w:rsidR="00271866" w:rsidRPr="00261DE0">
        <w:rPr>
          <w:rFonts w:cs="Arial"/>
        </w:rPr>
        <w:t>make</w:t>
      </w:r>
      <w:r w:rsidR="00186872" w:rsidRPr="00261DE0">
        <w:rPr>
          <w:rFonts w:cs="Arial"/>
        </w:rPr>
        <w:t xml:space="preserve"> financial </w:t>
      </w:r>
      <w:r w:rsidR="00271866" w:rsidRPr="00261DE0">
        <w:rPr>
          <w:rFonts w:cs="Arial"/>
        </w:rPr>
        <w:t>mis</w:t>
      </w:r>
      <w:r w:rsidR="00186872" w:rsidRPr="00261DE0">
        <w:rPr>
          <w:rFonts w:cs="Arial"/>
        </w:rPr>
        <w:t>statements and deceive its stakeholders</w:t>
      </w:r>
      <w:r w:rsidR="00E17AB5" w:rsidRPr="00261DE0">
        <w:rPr>
          <w:rFonts w:cs="Arial"/>
        </w:rPr>
        <w:t xml:space="preserve">. </w:t>
      </w:r>
    </w:p>
    <w:p w14:paraId="58B53373" w14:textId="77777777" w:rsidR="00C01A11" w:rsidRDefault="00C01A11" w:rsidP="00193D9A">
      <w:pPr>
        <w:spacing w:line="360" w:lineRule="auto"/>
        <w:rPr>
          <w:rFonts w:cs="Arial"/>
        </w:rPr>
      </w:pPr>
    </w:p>
    <w:p w14:paraId="1D024363" w14:textId="4CA64147" w:rsidR="00F2050E" w:rsidRDefault="00F2050E" w:rsidP="00193D9A">
      <w:pPr>
        <w:spacing w:line="360" w:lineRule="auto"/>
        <w:rPr>
          <w:rFonts w:cs="Arial"/>
        </w:rPr>
      </w:pPr>
      <w:r w:rsidRPr="00261DE0">
        <w:rPr>
          <w:rFonts w:cs="Arial"/>
        </w:rPr>
        <w:t>Wirecard</w:t>
      </w:r>
      <w:r w:rsidR="00DB66C1">
        <w:rPr>
          <w:rFonts w:cs="Arial"/>
        </w:rPr>
        <w:t>’s</w:t>
      </w:r>
      <w:r w:rsidRPr="00261DE0">
        <w:rPr>
          <w:rFonts w:cs="Arial"/>
        </w:rPr>
        <w:t xml:space="preserve"> </w:t>
      </w:r>
      <w:r w:rsidR="00DB66C1">
        <w:rPr>
          <w:rFonts w:cs="Arial"/>
        </w:rPr>
        <w:t>initial links</w:t>
      </w:r>
      <w:r w:rsidR="00DB5D7B" w:rsidRPr="00261DE0">
        <w:rPr>
          <w:rFonts w:cs="Arial"/>
        </w:rPr>
        <w:t xml:space="preserve"> </w:t>
      </w:r>
      <w:r w:rsidRPr="00261DE0">
        <w:rPr>
          <w:rFonts w:cs="Arial"/>
        </w:rPr>
        <w:t>to gambling and pornographic websites should have raised concerns about the company's ethical standards</w:t>
      </w:r>
      <w:r w:rsidR="00E3278F" w:rsidRPr="00261DE0">
        <w:rPr>
          <w:rFonts w:cs="Arial"/>
        </w:rPr>
        <w:t xml:space="preserve"> for </w:t>
      </w:r>
      <w:r w:rsidR="00F674B9">
        <w:rPr>
          <w:rFonts w:cs="Arial"/>
        </w:rPr>
        <w:t>EY</w:t>
      </w:r>
      <w:r w:rsidR="00895839">
        <w:rPr>
          <w:rFonts w:cs="Arial"/>
        </w:rPr>
        <w:t xml:space="preserve"> which unfortunately did not</w:t>
      </w:r>
      <w:r w:rsidR="00350C22" w:rsidRPr="00261DE0">
        <w:rPr>
          <w:rFonts w:cs="Arial"/>
        </w:rPr>
        <w:t xml:space="preserve"> </w:t>
      </w:r>
      <w:hyperlink r:id="rId18" w:anchor=":~:text=The%20fraud%20came%20to%20light" w:history="1">
        <w:r w:rsidR="00350C22" w:rsidRPr="00261DE0">
          <w:rPr>
            <w:rStyle w:val="Hyperlink"/>
            <w:rFonts w:cs="Arial"/>
          </w:rPr>
          <w:t>(Kara, 2020)</w:t>
        </w:r>
        <w:r w:rsidR="00603E2F" w:rsidRPr="00261DE0">
          <w:rPr>
            <w:rStyle w:val="Hyperlink"/>
            <w:rFonts w:cs="Arial"/>
          </w:rPr>
          <w:t>.</w:t>
        </w:r>
      </w:hyperlink>
    </w:p>
    <w:p w14:paraId="674FBD3B" w14:textId="77777777" w:rsidR="00C01A11" w:rsidRPr="00261DE0" w:rsidRDefault="00C01A11" w:rsidP="00193D9A">
      <w:pPr>
        <w:spacing w:line="360" w:lineRule="auto"/>
        <w:rPr>
          <w:rFonts w:cs="Arial"/>
        </w:rPr>
      </w:pPr>
    </w:p>
    <w:p w14:paraId="0BE921B8" w14:textId="7BB94549" w:rsidR="00E17AB5" w:rsidRPr="00261DE0" w:rsidRDefault="00E17AB5" w:rsidP="00193D9A">
      <w:pPr>
        <w:spacing w:line="360" w:lineRule="auto"/>
        <w:rPr>
          <w:rFonts w:cs="Arial"/>
        </w:rPr>
      </w:pPr>
      <w:r w:rsidRPr="00261DE0">
        <w:rPr>
          <w:rFonts w:cs="Arial"/>
        </w:rPr>
        <w:t>The CEO designates Jan Mar</w:t>
      </w:r>
      <w:r w:rsidR="00E858DA" w:rsidRPr="00261DE0">
        <w:rPr>
          <w:rFonts w:cs="Arial"/>
        </w:rPr>
        <w:t>salek</w:t>
      </w:r>
      <w:r w:rsidR="00255085" w:rsidRPr="00261DE0">
        <w:rPr>
          <w:rFonts w:cs="Arial"/>
        </w:rPr>
        <w:t xml:space="preserve"> as </w:t>
      </w:r>
      <w:r w:rsidR="00E858DA" w:rsidRPr="00261DE0">
        <w:rPr>
          <w:rFonts w:cs="Arial"/>
        </w:rPr>
        <w:t>COO</w:t>
      </w:r>
      <w:r w:rsidR="00895839">
        <w:rPr>
          <w:rStyle w:val="FootnoteReference"/>
          <w:rFonts w:cs="Arial"/>
        </w:rPr>
        <w:footnoteReference w:id="5"/>
      </w:r>
      <w:r w:rsidR="00255085" w:rsidRPr="00261DE0">
        <w:rPr>
          <w:rFonts w:cs="Arial"/>
        </w:rPr>
        <w:t xml:space="preserve">, who initiated </w:t>
      </w:r>
      <w:r w:rsidR="00A92977">
        <w:rPr>
          <w:rFonts w:cs="Arial"/>
        </w:rPr>
        <w:t>aggressive</w:t>
      </w:r>
      <w:r w:rsidR="00E858DA" w:rsidRPr="00261DE0">
        <w:rPr>
          <w:rFonts w:cs="Arial"/>
        </w:rPr>
        <w:t xml:space="preserve"> global growth</w:t>
      </w:r>
      <w:r w:rsidR="0049012F" w:rsidRPr="00261DE0">
        <w:rPr>
          <w:rFonts w:cs="Arial"/>
        </w:rPr>
        <w:t xml:space="preserve"> through unconventi</w:t>
      </w:r>
      <w:r w:rsidR="004F64E4" w:rsidRPr="00261DE0">
        <w:rPr>
          <w:rFonts w:cs="Arial"/>
        </w:rPr>
        <w:t>on</w:t>
      </w:r>
      <w:r w:rsidR="0049012F" w:rsidRPr="00261DE0">
        <w:rPr>
          <w:rFonts w:cs="Arial"/>
        </w:rPr>
        <w:t>al third-party acquisitions</w:t>
      </w:r>
      <w:r w:rsidR="00F230B9" w:rsidRPr="00261DE0">
        <w:rPr>
          <w:rFonts w:cs="Arial"/>
        </w:rPr>
        <w:t xml:space="preserve">, </w:t>
      </w:r>
      <w:r w:rsidR="00F11372" w:rsidRPr="00261DE0">
        <w:rPr>
          <w:rFonts w:cs="Arial"/>
        </w:rPr>
        <w:t xml:space="preserve">which </w:t>
      </w:r>
      <w:r w:rsidR="00CD4A62">
        <w:rPr>
          <w:rFonts w:cs="Arial"/>
        </w:rPr>
        <w:t>ultimately</w:t>
      </w:r>
      <w:r w:rsidR="00F230B9" w:rsidRPr="00261DE0">
        <w:rPr>
          <w:rFonts w:cs="Arial"/>
        </w:rPr>
        <w:t xml:space="preserve"> disguise</w:t>
      </w:r>
      <w:r w:rsidR="00CD4A62">
        <w:rPr>
          <w:rFonts w:cs="Arial"/>
        </w:rPr>
        <w:t>d</w:t>
      </w:r>
      <w:r w:rsidR="00CC46CF">
        <w:rPr>
          <w:rFonts w:cs="Arial"/>
        </w:rPr>
        <w:t xml:space="preserve"> </w:t>
      </w:r>
      <w:r w:rsidR="00F230B9" w:rsidRPr="00261DE0">
        <w:rPr>
          <w:rFonts w:cs="Arial"/>
        </w:rPr>
        <w:t xml:space="preserve">Wirecard’s long-term financial </w:t>
      </w:r>
      <w:r w:rsidR="004F64E4" w:rsidRPr="00261DE0">
        <w:rPr>
          <w:rFonts w:cs="Arial"/>
        </w:rPr>
        <w:t>deception.</w:t>
      </w:r>
    </w:p>
    <w:p w14:paraId="081C02DD" w14:textId="77777777" w:rsidR="007618B0" w:rsidRDefault="007618B0" w:rsidP="00193D9A">
      <w:pPr>
        <w:spacing w:line="360" w:lineRule="auto"/>
      </w:pPr>
    </w:p>
    <w:p w14:paraId="696153DB" w14:textId="77777777" w:rsidR="00AD5412" w:rsidRDefault="00AD5412" w:rsidP="00BC7DA5">
      <w:pPr>
        <w:spacing w:line="360" w:lineRule="auto"/>
      </w:pPr>
    </w:p>
    <w:p w14:paraId="1A3ECBEC" w14:textId="77777777" w:rsidR="00FA7FE7" w:rsidRDefault="00FA7FE7" w:rsidP="00736105">
      <w:pPr>
        <w:pStyle w:val="Heading2"/>
        <w:rPr>
          <w:b/>
          <w:bCs/>
        </w:rPr>
      </w:pPr>
    </w:p>
    <w:p w14:paraId="214DD298" w14:textId="77777777" w:rsidR="00FA7FE7" w:rsidRPr="00FA7FE7" w:rsidRDefault="00FA7FE7" w:rsidP="00FA7FE7"/>
    <w:p w14:paraId="5BAA1A6C" w14:textId="77777777" w:rsidR="00C01F00" w:rsidRDefault="00C01F00" w:rsidP="00736105">
      <w:pPr>
        <w:pStyle w:val="Heading2"/>
        <w:rPr>
          <w:b/>
          <w:bCs/>
        </w:rPr>
      </w:pPr>
    </w:p>
    <w:p w14:paraId="0C0AC3EF" w14:textId="77777777" w:rsidR="00C01F00" w:rsidRPr="00C01F00" w:rsidRDefault="00C01F00" w:rsidP="00C01F00"/>
    <w:p w14:paraId="7AD978ED" w14:textId="77777777" w:rsidR="00F11372" w:rsidRPr="00F11372" w:rsidRDefault="00F11372" w:rsidP="00F11372"/>
    <w:p w14:paraId="0B7E386A" w14:textId="15F3C9F7" w:rsidR="00552DE0" w:rsidRPr="00552DE0" w:rsidRDefault="00FF68AF" w:rsidP="00552DE0">
      <w:pPr>
        <w:pStyle w:val="Heading2"/>
        <w:rPr>
          <w:rFonts w:ascii="Arial" w:hAnsi="Arial" w:cs="Arial"/>
          <w:b/>
          <w:bCs/>
        </w:rPr>
      </w:pPr>
      <w:bookmarkStart w:id="2" w:name="_Toc170080168"/>
      <w:r w:rsidRPr="00552DE0">
        <w:rPr>
          <w:rFonts w:ascii="Arial" w:hAnsi="Arial" w:cs="Arial"/>
          <w:b/>
          <w:bCs/>
        </w:rPr>
        <w:t>Event Overview</w:t>
      </w:r>
      <w:bookmarkEnd w:id="2"/>
      <w:r w:rsidRPr="00552DE0">
        <w:rPr>
          <w:rFonts w:ascii="Arial" w:hAnsi="Arial" w:cs="Arial"/>
          <w:b/>
          <w:bCs/>
        </w:rPr>
        <w:t xml:space="preserve"> </w:t>
      </w:r>
    </w:p>
    <w:p w14:paraId="0C6096A8" w14:textId="77777777" w:rsidR="00F573F6" w:rsidRDefault="00441406" w:rsidP="00C01F00">
      <w:pPr>
        <w:spacing w:line="360" w:lineRule="auto"/>
        <w:jc w:val="right"/>
        <w:rPr>
          <w:rFonts w:cs="Arial"/>
        </w:rPr>
      </w:pPr>
      <w:r>
        <w:rPr>
          <w:noProof/>
        </w:rPr>
        <w:drawing>
          <wp:inline distT="0" distB="0" distL="0" distR="0" wp14:anchorId="28CDBCA9" wp14:editId="3AC3AED3">
            <wp:extent cx="6068060" cy="2540000"/>
            <wp:effectExtent l="0" t="0" r="0" b="0"/>
            <wp:docPr id="770144269" name="Diagram 2" descr="Downfall of Wirecard AG"/>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491E21E" w14:textId="56BC86B1" w:rsidR="00C01F00" w:rsidRDefault="00C01F00" w:rsidP="00207813">
      <w:pPr>
        <w:spacing w:line="360" w:lineRule="auto"/>
        <w:rPr>
          <w:rStyle w:val="Hyperlink"/>
        </w:rPr>
      </w:pPr>
      <w:r w:rsidRPr="00B511C2">
        <w:rPr>
          <w:rFonts w:cs="Arial"/>
        </w:rPr>
        <w:t>Timeline</w:t>
      </w:r>
      <w:r w:rsidR="00F573F6">
        <w:rPr>
          <w:rFonts w:cs="Arial"/>
        </w:rPr>
        <w:t xml:space="preserve"> (Appendix </w:t>
      </w:r>
      <w:r w:rsidR="00CD4A62">
        <w:rPr>
          <w:rFonts w:cs="Arial"/>
        </w:rPr>
        <w:t>2</w:t>
      </w:r>
      <w:r w:rsidR="00462C56">
        <w:rPr>
          <w:rFonts w:cs="Arial"/>
        </w:rPr>
        <w:t>)</w:t>
      </w:r>
      <w:r w:rsidRPr="00B511C2">
        <w:rPr>
          <w:rFonts w:cs="Arial"/>
        </w:rPr>
        <w:t xml:space="preserve"> as reported by </w:t>
      </w:r>
      <w:hyperlink r:id="rId24" w:history="1">
        <w:r w:rsidRPr="00F573F6">
          <w:rPr>
            <w:rStyle w:val="Hyperlink"/>
            <w:rFonts w:cs="Arial"/>
          </w:rPr>
          <w:t>McCrum (2020)</w:t>
        </w:r>
      </w:hyperlink>
      <w:r>
        <w:rPr>
          <w:rStyle w:val="Hyperlink"/>
        </w:rPr>
        <w:t xml:space="preserve"> </w:t>
      </w:r>
    </w:p>
    <w:p w14:paraId="470E7DC4" w14:textId="77777777" w:rsidR="00B511C2" w:rsidRDefault="00B511C2" w:rsidP="00207813">
      <w:pPr>
        <w:spacing w:line="360" w:lineRule="auto"/>
      </w:pPr>
    </w:p>
    <w:p w14:paraId="34455E92" w14:textId="39C9B32C" w:rsidR="002A1CC5" w:rsidRPr="00B511C2" w:rsidRDefault="00D020F8" w:rsidP="00207813">
      <w:pPr>
        <w:spacing w:line="360" w:lineRule="auto"/>
        <w:rPr>
          <w:rFonts w:cs="Arial"/>
        </w:rPr>
      </w:pPr>
      <w:r w:rsidRPr="00B511C2">
        <w:rPr>
          <w:rFonts w:cs="Arial"/>
          <w:b/>
          <w:bCs/>
        </w:rPr>
        <w:t>2017</w:t>
      </w:r>
      <w:r w:rsidR="00CD1D67" w:rsidRPr="00B511C2">
        <w:rPr>
          <w:rFonts w:cs="Arial"/>
          <w:b/>
          <w:bCs/>
        </w:rPr>
        <w:t>:</w:t>
      </w:r>
      <w:r w:rsidR="00D65C95" w:rsidRPr="00B511C2">
        <w:rPr>
          <w:rFonts w:cs="Arial"/>
        </w:rPr>
        <w:t xml:space="preserve"> FT</w:t>
      </w:r>
      <w:r w:rsidR="00F3749D" w:rsidRPr="00B511C2">
        <w:rPr>
          <w:rStyle w:val="FootnoteReference"/>
          <w:rFonts w:cs="Arial"/>
        </w:rPr>
        <w:footnoteReference w:id="6"/>
      </w:r>
      <w:r w:rsidR="00D65C95" w:rsidRPr="00B511C2">
        <w:rPr>
          <w:rFonts w:cs="Arial"/>
        </w:rPr>
        <w:t xml:space="preserve"> journalist </w:t>
      </w:r>
      <w:hyperlink r:id="rId25" w:history="1">
        <w:r w:rsidR="00D65C95" w:rsidRPr="00B511C2">
          <w:rPr>
            <w:rStyle w:val="Hyperlink"/>
            <w:rFonts w:cs="Arial"/>
          </w:rPr>
          <w:t>Dan McCrum</w:t>
        </w:r>
      </w:hyperlink>
      <w:r w:rsidR="00D65C95" w:rsidRPr="00B511C2">
        <w:rPr>
          <w:rFonts w:cs="Arial"/>
        </w:rPr>
        <w:t xml:space="preserve"> </w:t>
      </w:r>
      <w:r w:rsidR="00B420DD" w:rsidRPr="00B511C2">
        <w:rPr>
          <w:rFonts w:cs="Arial"/>
        </w:rPr>
        <w:t>discover</w:t>
      </w:r>
      <w:r w:rsidR="00CD1D67" w:rsidRPr="00B511C2">
        <w:rPr>
          <w:rFonts w:cs="Arial"/>
        </w:rPr>
        <w:t>ed</w:t>
      </w:r>
      <w:r w:rsidR="00D65C95" w:rsidRPr="00B511C2">
        <w:rPr>
          <w:rFonts w:cs="Arial"/>
        </w:rPr>
        <w:t xml:space="preserve"> a </w:t>
      </w:r>
      <w:r w:rsidR="00893E5E" w:rsidRPr="00B511C2">
        <w:rPr>
          <w:rFonts w:cs="Arial"/>
        </w:rPr>
        <w:t>€250</w:t>
      </w:r>
      <w:r w:rsidR="00545AE7">
        <w:rPr>
          <w:rFonts w:cs="Arial"/>
        </w:rPr>
        <w:t xml:space="preserve"> million </w:t>
      </w:r>
      <w:r w:rsidR="00893E5E" w:rsidRPr="00B511C2">
        <w:rPr>
          <w:rFonts w:cs="Arial"/>
        </w:rPr>
        <w:t>hol</w:t>
      </w:r>
      <w:r w:rsidR="0044293D" w:rsidRPr="00B511C2">
        <w:rPr>
          <w:rFonts w:cs="Arial"/>
        </w:rPr>
        <w:t>e in the company’s accounts</w:t>
      </w:r>
      <w:r w:rsidR="00AB7399" w:rsidRPr="00B511C2">
        <w:rPr>
          <w:rFonts w:cs="Arial"/>
        </w:rPr>
        <w:t xml:space="preserve"> </w:t>
      </w:r>
      <w:r w:rsidR="00A45F7D" w:rsidRPr="00B511C2">
        <w:rPr>
          <w:rFonts w:cs="Arial"/>
        </w:rPr>
        <w:t>related to</w:t>
      </w:r>
      <w:r w:rsidR="00AB7399" w:rsidRPr="00B511C2">
        <w:rPr>
          <w:rFonts w:cs="Arial"/>
        </w:rPr>
        <w:t xml:space="preserve"> an Indian acquisition</w:t>
      </w:r>
    </w:p>
    <w:p w14:paraId="2635D818" w14:textId="3A434903" w:rsidR="003439FB" w:rsidRPr="00B511C2" w:rsidRDefault="003439FB" w:rsidP="00207813">
      <w:pPr>
        <w:spacing w:line="360" w:lineRule="auto"/>
        <w:rPr>
          <w:rFonts w:cs="Arial"/>
          <w:b/>
          <w:bCs/>
        </w:rPr>
      </w:pPr>
      <w:r w:rsidRPr="00B511C2">
        <w:rPr>
          <w:rFonts w:cs="Arial"/>
          <w:b/>
          <w:bCs/>
        </w:rPr>
        <w:t>October 2018:</w:t>
      </w:r>
      <w:r w:rsidR="006F287B" w:rsidRPr="00B511C2">
        <w:rPr>
          <w:rFonts w:cs="Arial"/>
          <w:b/>
          <w:bCs/>
        </w:rPr>
        <w:t xml:space="preserve"> </w:t>
      </w:r>
      <w:r w:rsidR="00A45F7D" w:rsidRPr="00B511C2">
        <w:rPr>
          <w:rFonts w:cs="Arial"/>
        </w:rPr>
        <w:t xml:space="preserve">An </w:t>
      </w:r>
      <w:r w:rsidR="00BC2365" w:rsidRPr="00B511C2">
        <w:rPr>
          <w:rFonts w:cs="Arial"/>
        </w:rPr>
        <w:t xml:space="preserve">inquiry commenced in response to </w:t>
      </w:r>
      <w:r w:rsidR="00177EDA" w:rsidRPr="00B511C2">
        <w:rPr>
          <w:rFonts w:cs="Arial"/>
        </w:rPr>
        <w:t xml:space="preserve">whistleblower </w:t>
      </w:r>
      <w:r w:rsidR="00BC2365" w:rsidRPr="00B511C2">
        <w:rPr>
          <w:rFonts w:cs="Arial"/>
        </w:rPr>
        <w:t>charges</w:t>
      </w:r>
      <w:r w:rsidR="008351E2">
        <w:rPr>
          <w:rFonts w:cs="Arial"/>
        </w:rPr>
        <w:t xml:space="preserve">; </w:t>
      </w:r>
      <w:r w:rsidR="00BC2365" w:rsidRPr="00B511C2">
        <w:rPr>
          <w:rFonts w:cs="Arial"/>
        </w:rPr>
        <w:t xml:space="preserve"> however, it was subsequently terminated</w:t>
      </w:r>
      <w:r w:rsidR="002963D9" w:rsidRPr="00B511C2">
        <w:rPr>
          <w:rFonts w:cs="Arial"/>
        </w:rPr>
        <w:t xml:space="preserve"> by</w:t>
      </w:r>
      <w:r w:rsidR="00A45F7D" w:rsidRPr="00B511C2">
        <w:rPr>
          <w:rFonts w:cs="Arial"/>
        </w:rPr>
        <w:t xml:space="preserve"> the</w:t>
      </w:r>
      <w:r w:rsidR="002963D9" w:rsidRPr="00B511C2">
        <w:rPr>
          <w:rFonts w:cs="Arial"/>
        </w:rPr>
        <w:t xml:space="preserve"> COO himself</w:t>
      </w:r>
      <w:r w:rsidR="00177EDA" w:rsidRPr="00B511C2">
        <w:rPr>
          <w:rFonts w:cs="Arial"/>
        </w:rPr>
        <w:t>.</w:t>
      </w:r>
    </w:p>
    <w:p w14:paraId="1E4ABF20" w14:textId="7FB4BA2E" w:rsidR="003439FB" w:rsidRPr="00B511C2" w:rsidRDefault="003439FB" w:rsidP="00207813">
      <w:pPr>
        <w:spacing w:line="360" w:lineRule="auto"/>
        <w:rPr>
          <w:rFonts w:cs="Arial"/>
          <w:b/>
          <w:bCs/>
        </w:rPr>
      </w:pPr>
      <w:r w:rsidRPr="00B511C2">
        <w:rPr>
          <w:rFonts w:cs="Arial"/>
          <w:b/>
          <w:bCs/>
        </w:rPr>
        <w:t>October 2019:</w:t>
      </w:r>
      <w:r w:rsidR="00781A9A" w:rsidRPr="00B511C2">
        <w:rPr>
          <w:rFonts w:cs="Arial"/>
          <w:b/>
          <w:bCs/>
        </w:rPr>
        <w:t xml:space="preserve"> </w:t>
      </w:r>
      <w:r w:rsidR="00070C79" w:rsidRPr="00B511C2">
        <w:rPr>
          <w:rFonts w:cs="Arial"/>
        </w:rPr>
        <w:t xml:space="preserve">FT published a </w:t>
      </w:r>
      <w:r w:rsidR="00A45F7D" w:rsidRPr="00B511C2">
        <w:rPr>
          <w:rFonts w:cs="Arial"/>
        </w:rPr>
        <w:t>series</w:t>
      </w:r>
      <w:r w:rsidR="00070C79" w:rsidRPr="00B511C2">
        <w:rPr>
          <w:rFonts w:cs="Arial"/>
        </w:rPr>
        <w:t xml:space="preserve"> titled </w:t>
      </w:r>
      <w:r w:rsidR="00177EDA" w:rsidRPr="00B511C2">
        <w:rPr>
          <w:rFonts w:cs="Arial"/>
        </w:rPr>
        <w:t>“</w:t>
      </w:r>
      <w:r w:rsidR="00070C79" w:rsidRPr="00B511C2">
        <w:rPr>
          <w:rFonts w:cs="Arial"/>
        </w:rPr>
        <w:t>House of Wirecard</w:t>
      </w:r>
      <w:r w:rsidR="0039434C">
        <w:rPr>
          <w:rFonts w:cs="Arial"/>
        </w:rPr>
        <w:t>,</w:t>
      </w:r>
      <w:r w:rsidR="00177EDA" w:rsidRPr="00B511C2">
        <w:rPr>
          <w:rFonts w:cs="Arial"/>
        </w:rPr>
        <w:t>”</w:t>
      </w:r>
      <w:r w:rsidR="001D0631">
        <w:rPr>
          <w:rFonts w:cs="Arial"/>
        </w:rPr>
        <w:t xml:space="preserve"> </w:t>
      </w:r>
      <w:r w:rsidR="009F2F9F">
        <w:rPr>
          <w:rFonts w:cs="Arial"/>
        </w:rPr>
        <w:t xml:space="preserve">exposing </w:t>
      </w:r>
      <w:r w:rsidR="00070C79" w:rsidRPr="00B511C2">
        <w:rPr>
          <w:rFonts w:cs="Arial"/>
        </w:rPr>
        <w:t>the corporation's fraudulent activities over many years</w:t>
      </w:r>
      <w:r w:rsidR="00177EDA" w:rsidRPr="00B511C2">
        <w:rPr>
          <w:rFonts w:cs="Arial"/>
        </w:rPr>
        <w:t xml:space="preserve">. </w:t>
      </w:r>
      <w:r w:rsidR="009F2F9F">
        <w:rPr>
          <w:rFonts w:cs="Arial"/>
        </w:rPr>
        <w:t>Subsequently</w:t>
      </w:r>
      <w:r w:rsidR="00A63CCD" w:rsidRPr="00B511C2">
        <w:rPr>
          <w:rFonts w:cs="Arial"/>
        </w:rPr>
        <w:t>, KPMG has been contacted to conduct a special audit.</w:t>
      </w:r>
    </w:p>
    <w:p w14:paraId="44896ED1" w14:textId="38F6FBE0" w:rsidR="003439FB" w:rsidRPr="00B511C2" w:rsidRDefault="00E67EC0" w:rsidP="00207813">
      <w:pPr>
        <w:spacing w:line="360" w:lineRule="auto"/>
        <w:rPr>
          <w:rFonts w:cs="Arial"/>
        </w:rPr>
      </w:pPr>
      <w:r w:rsidRPr="00B511C2">
        <w:rPr>
          <w:rFonts w:cs="Arial"/>
          <w:b/>
          <w:bCs/>
        </w:rPr>
        <w:t>April 28, 2020:</w:t>
      </w:r>
      <w:r w:rsidR="00A63CCD" w:rsidRPr="00B511C2">
        <w:rPr>
          <w:rFonts w:cs="Arial"/>
          <w:b/>
          <w:bCs/>
        </w:rPr>
        <w:t xml:space="preserve"> </w:t>
      </w:r>
      <w:r w:rsidR="00960D59" w:rsidRPr="00B511C2">
        <w:rPr>
          <w:rFonts w:cs="Arial"/>
        </w:rPr>
        <w:t xml:space="preserve">Further investigation revealed that the prior claims were only the initial indication of a far larger accounting crime. </w:t>
      </w:r>
      <w:r w:rsidR="00482EAA" w:rsidRPr="00B511C2">
        <w:rPr>
          <w:rFonts w:cs="Arial"/>
        </w:rPr>
        <w:t>Yet</w:t>
      </w:r>
      <w:r w:rsidR="003373A4" w:rsidRPr="00B511C2">
        <w:rPr>
          <w:rFonts w:cs="Arial"/>
        </w:rPr>
        <w:t xml:space="preserve">, the CEO asserted that EY </w:t>
      </w:r>
      <w:r w:rsidR="00295EC3" w:rsidRPr="00B511C2">
        <w:rPr>
          <w:rFonts w:cs="Arial"/>
        </w:rPr>
        <w:t>would</w:t>
      </w:r>
      <w:r w:rsidR="003373A4" w:rsidRPr="00B511C2">
        <w:rPr>
          <w:rFonts w:cs="Arial"/>
        </w:rPr>
        <w:t xml:space="preserve"> approve the audit report for 2019 after the delay created by COVID-19 ha</w:t>
      </w:r>
      <w:r w:rsidR="001246E1" w:rsidRPr="00B511C2">
        <w:rPr>
          <w:rFonts w:cs="Arial"/>
        </w:rPr>
        <w:t>d</w:t>
      </w:r>
      <w:r w:rsidR="003373A4" w:rsidRPr="00B511C2">
        <w:rPr>
          <w:rFonts w:cs="Arial"/>
        </w:rPr>
        <w:t xml:space="preserve"> been resolved.</w:t>
      </w:r>
    </w:p>
    <w:p w14:paraId="19F2CD2D" w14:textId="5512856D" w:rsidR="003D0AE3" w:rsidRPr="00B511C2" w:rsidRDefault="007E2817" w:rsidP="00207813">
      <w:pPr>
        <w:spacing w:line="360" w:lineRule="auto"/>
        <w:rPr>
          <w:rFonts w:cs="Arial"/>
        </w:rPr>
      </w:pPr>
      <w:r w:rsidRPr="00B511C2">
        <w:rPr>
          <w:rFonts w:cs="Arial"/>
          <w:b/>
          <w:bCs/>
        </w:rPr>
        <w:t>June</w:t>
      </w:r>
      <w:r w:rsidR="00995130" w:rsidRPr="00B511C2">
        <w:rPr>
          <w:rFonts w:cs="Arial"/>
          <w:b/>
          <w:bCs/>
        </w:rPr>
        <w:t xml:space="preserve"> 18, 2020</w:t>
      </w:r>
      <w:r w:rsidR="00995130" w:rsidRPr="00B511C2">
        <w:rPr>
          <w:rFonts w:cs="Arial"/>
        </w:rPr>
        <w:t xml:space="preserve">: </w:t>
      </w:r>
      <w:r w:rsidR="001246E1" w:rsidRPr="00B511C2">
        <w:rPr>
          <w:rFonts w:cs="Arial"/>
        </w:rPr>
        <w:t>A</w:t>
      </w:r>
      <w:r w:rsidR="00A249C0" w:rsidRPr="00B511C2">
        <w:rPr>
          <w:rFonts w:cs="Arial"/>
        </w:rPr>
        <w:t xml:space="preserve"> sum of </w:t>
      </w:r>
      <w:r w:rsidR="004A4087" w:rsidRPr="00B511C2">
        <w:rPr>
          <w:rFonts w:cs="Arial"/>
        </w:rPr>
        <w:t xml:space="preserve">€1.9 billion was discovered missing from the company's financial accounts. The corporation admits to falsely informing the auditor </w:t>
      </w:r>
      <w:r w:rsidR="00F674B9">
        <w:rPr>
          <w:rFonts w:cs="Arial"/>
        </w:rPr>
        <w:t>EY</w:t>
      </w:r>
      <w:r w:rsidR="004A4087" w:rsidRPr="00B511C2">
        <w:rPr>
          <w:rFonts w:cs="Arial"/>
        </w:rPr>
        <w:t xml:space="preserve"> about money kept in Philippine banks BPI and BDO.</w:t>
      </w:r>
    </w:p>
    <w:p w14:paraId="641DE904" w14:textId="7D27F1F3" w:rsidR="003D0AE3" w:rsidRPr="00B511C2" w:rsidRDefault="00557122" w:rsidP="00207813">
      <w:pPr>
        <w:spacing w:line="360" w:lineRule="auto"/>
        <w:rPr>
          <w:rFonts w:cs="Arial"/>
        </w:rPr>
      </w:pPr>
      <w:r w:rsidRPr="00B511C2">
        <w:rPr>
          <w:rFonts w:cs="Arial"/>
          <w:b/>
          <w:bCs/>
        </w:rPr>
        <w:t>June 25, 2020</w:t>
      </w:r>
      <w:r w:rsidRPr="00B511C2">
        <w:rPr>
          <w:rFonts w:cs="Arial"/>
        </w:rPr>
        <w:t xml:space="preserve">: </w:t>
      </w:r>
      <w:r w:rsidR="003D0AE3" w:rsidRPr="00B511C2">
        <w:rPr>
          <w:rFonts w:cs="Arial"/>
        </w:rPr>
        <w:t xml:space="preserve">Wirecard files for insolvency, as </w:t>
      </w:r>
      <w:r w:rsidR="00F674B9">
        <w:rPr>
          <w:rFonts w:cs="Arial"/>
        </w:rPr>
        <w:t>EY</w:t>
      </w:r>
      <w:r w:rsidR="003D0AE3" w:rsidRPr="00B511C2">
        <w:rPr>
          <w:rFonts w:cs="Arial"/>
        </w:rPr>
        <w:t xml:space="preserve"> refuse</w:t>
      </w:r>
      <w:r w:rsidR="000A6E95" w:rsidRPr="00B511C2">
        <w:rPr>
          <w:rFonts w:cs="Arial"/>
        </w:rPr>
        <w:t>d</w:t>
      </w:r>
      <w:r w:rsidR="003D0AE3" w:rsidRPr="00B511C2">
        <w:rPr>
          <w:rFonts w:cs="Arial"/>
        </w:rPr>
        <w:t xml:space="preserve"> to give out an unqualified audit opinion, as promised by the CEO to the stakeholders </w:t>
      </w:r>
      <w:hyperlink r:id="rId26" w:history="1">
        <w:r w:rsidR="003D0AE3" w:rsidRPr="00B511C2">
          <w:rPr>
            <w:rStyle w:val="Hyperlink"/>
            <w:rFonts w:cs="Arial"/>
          </w:rPr>
          <w:t>(McCrum, 2020a).</w:t>
        </w:r>
      </w:hyperlink>
    </w:p>
    <w:p w14:paraId="5E17BAB0" w14:textId="77777777" w:rsidR="00552DE0" w:rsidRPr="00552DE0" w:rsidRDefault="00552DE0" w:rsidP="00207813">
      <w:pPr>
        <w:rPr>
          <w:lang w:val="en-GB" w:eastAsia="en-US"/>
        </w:rPr>
      </w:pPr>
      <w:bookmarkStart w:id="3" w:name="_Toc170080169"/>
    </w:p>
    <w:p w14:paraId="346A0F28" w14:textId="4BBE9C4D" w:rsidR="003D49B0" w:rsidRPr="00552DE0" w:rsidRDefault="00695D2F" w:rsidP="008F5A66">
      <w:pPr>
        <w:pStyle w:val="Heading2"/>
        <w:spacing w:line="360" w:lineRule="auto"/>
        <w:rPr>
          <w:rFonts w:ascii="Arial" w:hAnsi="Arial" w:cs="Arial"/>
          <w:b/>
          <w:bCs/>
        </w:rPr>
      </w:pPr>
      <w:r w:rsidRPr="00552DE0">
        <w:rPr>
          <w:rFonts w:ascii="Arial" w:hAnsi="Arial" w:cs="Arial"/>
          <w:b/>
          <w:bCs/>
        </w:rPr>
        <w:t xml:space="preserve">Reasons </w:t>
      </w:r>
      <w:r w:rsidR="003D49B0" w:rsidRPr="00552DE0">
        <w:rPr>
          <w:rFonts w:ascii="Arial" w:hAnsi="Arial" w:cs="Arial"/>
          <w:b/>
          <w:bCs/>
        </w:rPr>
        <w:t>Behind the Issue</w:t>
      </w:r>
      <w:bookmarkEnd w:id="3"/>
      <w:r w:rsidR="00B0526E" w:rsidRPr="00552DE0">
        <w:rPr>
          <w:rFonts w:ascii="Arial" w:hAnsi="Arial" w:cs="Arial"/>
          <w:b/>
          <w:bCs/>
        </w:rPr>
        <w:t xml:space="preserve"> </w:t>
      </w:r>
    </w:p>
    <w:p w14:paraId="309310CB" w14:textId="62209AF7" w:rsidR="001958A1" w:rsidRPr="00F573F6" w:rsidRDefault="005F619D" w:rsidP="00CD4A62">
      <w:pPr>
        <w:spacing w:line="360" w:lineRule="auto"/>
        <w:rPr>
          <w:rFonts w:cs="Arial"/>
        </w:rPr>
      </w:pPr>
      <w:r>
        <w:rPr>
          <w:rFonts w:cs="Arial"/>
        </w:rPr>
        <w:t xml:space="preserve">The primary issues in Wirecard’s </w:t>
      </w:r>
      <w:r w:rsidR="00C5079B" w:rsidRPr="00F573F6">
        <w:rPr>
          <w:rFonts w:cs="Arial"/>
        </w:rPr>
        <w:t xml:space="preserve">audit </w:t>
      </w:r>
      <w:r w:rsidR="004325BA" w:rsidRPr="00F573F6">
        <w:rPr>
          <w:rFonts w:cs="Arial"/>
        </w:rPr>
        <w:t xml:space="preserve">were </w:t>
      </w:r>
      <w:r>
        <w:rPr>
          <w:rFonts w:cs="Arial"/>
        </w:rPr>
        <w:t xml:space="preserve">the </w:t>
      </w:r>
      <w:r w:rsidR="00653B95" w:rsidRPr="00F573F6">
        <w:rPr>
          <w:rFonts w:cs="Arial"/>
        </w:rPr>
        <w:t xml:space="preserve">discrepancies in the company’s </w:t>
      </w:r>
      <w:r w:rsidR="00653B95" w:rsidRPr="00FF2810">
        <w:rPr>
          <w:rFonts w:cs="Arial"/>
        </w:rPr>
        <w:t>financial</w:t>
      </w:r>
      <w:r w:rsidR="00270A96" w:rsidRPr="00FF2810">
        <w:rPr>
          <w:rFonts w:cs="Arial"/>
        </w:rPr>
        <w:t xml:space="preserve"> </w:t>
      </w:r>
      <w:r w:rsidR="00653B95" w:rsidRPr="00FF2810">
        <w:rPr>
          <w:rFonts w:cs="Arial"/>
        </w:rPr>
        <w:t>statements</w:t>
      </w:r>
      <w:r w:rsidR="000A6E95" w:rsidRPr="00FF2810">
        <w:rPr>
          <w:rFonts w:cs="Arial"/>
        </w:rPr>
        <w:t>,</w:t>
      </w:r>
      <w:r w:rsidR="00653B95" w:rsidRPr="00FF2810">
        <w:rPr>
          <w:rFonts w:cs="Arial"/>
        </w:rPr>
        <w:t xml:space="preserve"> </w:t>
      </w:r>
      <w:r w:rsidR="004325BA" w:rsidRPr="00FF2810">
        <w:rPr>
          <w:rFonts w:cs="Arial"/>
        </w:rPr>
        <w:t xml:space="preserve">which </w:t>
      </w:r>
      <w:r w:rsidR="002F1445" w:rsidRPr="00FF2810">
        <w:rPr>
          <w:rFonts w:cs="Arial"/>
        </w:rPr>
        <w:t>persisted</w:t>
      </w:r>
      <w:r w:rsidR="004325BA" w:rsidRPr="00FF2810">
        <w:rPr>
          <w:rFonts w:cs="Arial"/>
        </w:rPr>
        <w:t xml:space="preserve"> for several years </w:t>
      </w:r>
      <w:r w:rsidR="00447556" w:rsidRPr="00FF2810">
        <w:rPr>
          <w:rFonts w:cs="Arial"/>
        </w:rPr>
        <w:t>and w</w:t>
      </w:r>
      <w:r w:rsidR="000A6E95" w:rsidRPr="00FF2810">
        <w:rPr>
          <w:rFonts w:cs="Arial"/>
        </w:rPr>
        <w:t>ent</w:t>
      </w:r>
      <w:r w:rsidR="00447556" w:rsidRPr="00FF2810">
        <w:rPr>
          <w:rFonts w:cs="Arial"/>
        </w:rPr>
        <w:t xml:space="preserve"> undetected by </w:t>
      </w:r>
      <w:r w:rsidR="00F674B9" w:rsidRPr="00FF2810">
        <w:rPr>
          <w:rFonts w:cs="Arial"/>
        </w:rPr>
        <w:t>EY</w:t>
      </w:r>
      <w:r w:rsidR="00447556" w:rsidRPr="00FF2810">
        <w:rPr>
          <w:rFonts w:cs="Arial"/>
        </w:rPr>
        <w:t xml:space="preserve">. The auditor </w:t>
      </w:r>
      <w:r w:rsidR="002F1445" w:rsidRPr="00FF2810">
        <w:rPr>
          <w:rFonts w:cs="Arial"/>
        </w:rPr>
        <w:t>was unable</w:t>
      </w:r>
      <w:r w:rsidR="00447556" w:rsidRPr="00FF2810">
        <w:rPr>
          <w:rFonts w:cs="Arial"/>
        </w:rPr>
        <w:t xml:space="preserve"> to gather </w:t>
      </w:r>
      <w:r w:rsidR="000A6E95" w:rsidRPr="00FF2810">
        <w:rPr>
          <w:rFonts w:cs="Arial"/>
        </w:rPr>
        <w:t xml:space="preserve">sufficient </w:t>
      </w:r>
      <w:r w:rsidR="00447556" w:rsidRPr="00FF2810">
        <w:rPr>
          <w:rFonts w:cs="Arial"/>
        </w:rPr>
        <w:t>audit evidence</w:t>
      </w:r>
      <w:r w:rsidR="006B227F" w:rsidRPr="00FF2810">
        <w:rPr>
          <w:rFonts w:cs="Arial"/>
        </w:rPr>
        <w:t xml:space="preserve"> to</w:t>
      </w:r>
      <w:r w:rsidR="006B227F" w:rsidRPr="00F573F6">
        <w:rPr>
          <w:rFonts w:cs="Arial"/>
        </w:rPr>
        <w:t xml:space="preserve"> </w:t>
      </w:r>
      <w:r w:rsidR="002F1445" w:rsidRPr="00F573F6">
        <w:rPr>
          <w:rFonts w:cs="Arial"/>
        </w:rPr>
        <w:t xml:space="preserve">authenticate </w:t>
      </w:r>
      <w:r w:rsidR="006B227F" w:rsidRPr="00F573F6">
        <w:rPr>
          <w:rFonts w:cs="Arial"/>
        </w:rPr>
        <w:t>the non-existent cash</w:t>
      </w:r>
      <w:r w:rsidR="000A6E95" w:rsidRPr="00F573F6">
        <w:rPr>
          <w:rFonts w:cs="Arial"/>
        </w:rPr>
        <w:t xml:space="preserve"> that</w:t>
      </w:r>
      <w:r w:rsidR="006B227F" w:rsidRPr="00F573F6">
        <w:rPr>
          <w:rFonts w:cs="Arial"/>
        </w:rPr>
        <w:t xml:space="preserve"> </w:t>
      </w:r>
      <w:r w:rsidR="002F1445" w:rsidRPr="00F573F6">
        <w:rPr>
          <w:rFonts w:cs="Arial"/>
        </w:rPr>
        <w:t xml:space="preserve">the company </w:t>
      </w:r>
      <w:r w:rsidR="006B227F" w:rsidRPr="00F573F6">
        <w:rPr>
          <w:rFonts w:cs="Arial"/>
        </w:rPr>
        <w:t xml:space="preserve">allegedly </w:t>
      </w:r>
      <w:r w:rsidR="002F1445" w:rsidRPr="00F573F6">
        <w:rPr>
          <w:rFonts w:cs="Arial"/>
        </w:rPr>
        <w:t>claim</w:t>
      </w:r>
      <w:r w:rsidR="000A6E95" w:rsidRPr="00F573F6">
        <w:rPr>
          <w:rFonts w:cs="Arial"/>
        </w:rPr>
        <w:t>ed</w:t>
      </w:r>
      <w:r w:rsidR="006B227F" w:rsidRPr="00F573F6">
        <w:rPr>
          <w:rFonts w:cs="Arial"/>
        </w:rPr>
        <w:t>.</w:t>
      </w:r>
      <w:r w:rsidR="00EC3182" w:rsidRPr="00F573F6">
        <w:rPr>
          <w:rFonts w:cs="Arial"/>
        </w:rPr>
        <w:t xml:space="preserve"> </w:t>
      </w:r>
      <w:r w:rsidR="00205567" w:rsidRPr="00F573F6">
        <w:rPr>
          <w:rFonts w:cs="Arial"/>
        </w:rPr>
        <w:t xml:space="preserve">These </w:t>
      </w:r>
      <w:r w:rsidR="00043354" w:rsidRPr="00F573F6">
        <w:rPr>
          <w:rFonts w:cs="Arial"/>
        </w:rPr>
        <w:t xml:space="preserve">inconsistencies </w:t>
      </w:r>
      <w:r w:rsidR="007912F4" w:rsidRPr="00F573F6">
        <w:rPr>
          <w:rFonts w:cs="Arial"/>
        </w:rPr>
        <w:t>highlight</w:t>
      </w:r>
      <w:r w:rsidR="00205567" w:rsidRPr="00F573F6">
        <w:rPr>
          <w:rFonts w:cs="Arial"/>
        </w:rPr>
        <w:t xml:space="preserve"> </w:t>
      </w:r>
      <w:r w:rsidR="00043354" w:rsidRPr="00F573F6">
        <w:rPr>
          <w:rFonts w:cs="Arial"/>
        </w:rPr>
        <w:t xml:space="preserve">deficiencies in </w:t>
      </w:r>
      <w:r w:rsidR="006D46F9" w:rsidRPr="00F573F6">
        <w:rPr>
          <w:rFonts w:cs="Arial"/>
        </w:rPr>
        <w:t xml:space="preserve">audit procedures and </w:t>
      </w:r>
      <w:r w:rsidR="00CC46CF">
        <w:rPr>
          <w:rFonts w:cs="Arial"/>
        </w:rPr>
        <w:t xml:space="preserve">the </w:t>
      </w:r>
      <w:r w:rsidR="00043354" w:rsidRPr="00F573F6">
        <w:rPr>
          <w:rFonts w:cs="Arial"/>
        </w:rPr>
        <w:t>absence</w:t>
      </w:r>
      <w:r w:rsidR="006D46F9" w:rsidRPr="00F573F6">
        <w:rPr>
          <w:rFonts w:cs="Arial"/>
        </w:rPr>
        <w:t xml:space="preserve"> of professional </w:t>
      </w:r>
      <w:r w:rsidR="00F40F20" w:rsidRPr="00F573F6">
        <w:rPr>
          <w:rFonts w:cs="Arial"/>
        </w:rPr>
        <w:t>skepticism</w:t>
      </w:r>
      <w:r w:rsidR="006D46F9" w:rsidRPr="00F573F6">
        <w:rPr>
          <w:rFonts w:cs="Arial"/>
        </w:rPr>
        <w:t xml:space="preserve">. </w:t>
      </w:r>
    </w:p>
    <w:p w14:paraId="310E6821" w14:textId="77777777" w:rsidR="004266DB" w:rsidRDefault="004266DB" w:rsidP="004266DB">
      <w:pPr>
        <w:pStyle w:val="Heading3"/>
      </w:pPr>
    </w:p>
    <w:p w14:paraId="6F92BA61" w14:textId="1BF56AC9" w:rsidR="00DC7BFB" w:rsidRPr="00552DE0" w:rsidRDefault="002A1C94" w:rsidP="004266DB">
      <w:pPr>
        <w:pStyle w:val="Heading3"/>
        <w:rPr>
          <w:rFonts w:ascii="Arial" w:hAnsi="Arial" w:cs="Arial"/>
        </w:rPr>
      </w:pPr>
      <w:bookmarkStart w:id="4" w:name="_Toc170080170"/>
      <w:r w:rsidRPr="00552DE0">
        <w:rPr>
          <w:rFonts w:ascii="Arial" w:hAnsi="Arial" w:cs="Arial"/>
        </w:rPr>
        <w:t>Internal Factors</w:t>
      </w:r>
      <w:bookmarkEnd w:id="4"/>
      <w:r w:rsidR="00D4526A" w:rsidRPr="00552DE0">
        <w:rPr>
          <w:rFonts w:ascii="Arial" w:hAnsi="Arial" w:cs="Arial"/>
        </w:rPr>
        <w:t xml:space="preserve"> </w:t>
      </w:r>
    </w:p>
    <w:p w14:paraId="504806F1" w14:textId="77777777" w:rsidR="004266DB" w:rsidRPr="004266DB" w:rsidRDefault="004266DB" w:rsidP="004266DB"/>
    <w:p w14:paraId="06DDD958" w14:textId="09698260" w:rsidR="00AB4E22" w:rsidRDefault="00766BB7" w:rsidP="000E1AD1">
      <w:pPr>
        <w:spacing w:line="360" w:lineRule="auto"/>
        <w:rPr>
          <w:rFonts w:cs="Arial"/>
        </w:rPr>
      </w:pPr>
      <w:r w:rsidRPr="00F573F6">
        <w:rPr>
          <w:rFonts w:cs="Arial"/>
        </w:rPr>
        <w:t xml:space="preserve">The key concern </w:t>
      </w:r>
      <w:r w:rsidR="001200A9" w:rsidRPr="00F573F6">
        <w:rPr>
          <w:rFonts w:cs="Arial"/>
        </w:rPr>
        <w:t>was</w:t>
      </w:r>
      <w:r w:rsidR="00194EDA" w:rsidRPr="00F573F6">
        <w:rPr>
          <w:rFonts w:cs="Arial"/>
        </w:rPr>
        <w:t xml:space="preserve"> the </w:t>
      </w:r>
      <w:r w:rsidR="00F95C39" w:rsidRPr="00AD2E34">
        <w:rPr>
          <w:rFonts w:cs="Arial"/>
          <w:b/>
          <w:bCs/>
        </w:rPr>
        <w:t>agency problem</w:t>
      </w:r>
      <w:r w:rsidR="00F95C39" w:rsidRPr="00F573F6">
        <w:rPr>
          <w:rFonts w:cs="Arial"/>
        </w:rPr>
        <w:t xml:space="preserve">, </w:t>
      </w:r>
      <w:r w:rsidR="00875F26">
        <w:rPr>
          <w:rFonts w:cs="Arial"/>
        </w:rPr>
        <w:t xml:space="preserve">where the </w:t>
      </w:r>
      <w:r w:rsidR="0083313A" w:rsidRPr="00F573F6">
        <w:rPr>
          <w:rFonts w:cs="Arial"/>
        </w:rPr>
        <w:t xml:space="preserve">board </w:t>
      </w:r>
      <w:r w:rsidR="001200A9" w:rsidRPr="00F573F6">
        <w:rPr>
          <w:rFonts w:cs="Arial"/>
        </w:rPr>
        <w:t>failed to identify</w:t>
      </w:r>
      <w:r w:rsidR="00445683" w:rsidRPr="00F573F6">
        <w:rPr>
          <w:rFonts w:cs="Arial"/>
        </w:rPr>
        <w:t xml:space="preserve"> the fraud and </w:t>
      </w:r>
      <w:r w:rsidR="00656BA7" w:rsidRPr="00F573F6">
        <w:rPr>
          <w:rFonts w:cs="Arial"/>
        </w:rPr>
        <w:t xml:space="preserve">safeguard </w:t>
      </w:r>
      <w:r w:rsidR="00E6668F" w:rsidRPr="00F573F6">
        <w:rPr>
          <w:rFonts w:cs="Arial"/>
        </w:rPr>
        <w:t>the shareholders’ interests</w:t>
      </w:r>
      <w:r w:rsidR="007724A6" w:rsidRPr="00F573F6">
        <w:rPr>
          <w:rFonts w:cs="Arial"/>
        </w:rPr>
        <w:t xml:space="preserve">. </w:t>
      </w:r>
      <w:r w:rsidR="002078C2" w:rsidRPr="00F573F6">
        <w:rPr>
          <w:rFonts w:cs="Arial"/>
        </w:rPr>
        <w:t xml:space="preserve">It was </w:t>
      </w:r>
      <w:r w:rsidR="00C754F0" w:rsidRPr="00F573F6">
        <w:rPr>
          <w:rFonts w:cs="Arial"/>
        </w:rPr>
        <w:t>further disclosed that Wirecard did not have an audit committee</w:t>
      </w:r>
      <w:r w:rsidR="00136D2E" w:rsidRPr="00F573F6">
        <w:rPr>
          <w:rFonts w:cs="Arial"/>
        </w:rPr>
        <w:t xml:space="preserve"> </w:t>
      </w:r>
      <w:r w:rsidR="005C48EC" w:rsidRPr="00F573F6">
        <w:rPr>
          <w:rFonts w:cs="Arial"/>
        </w:rPr>
        <w:t xml:space="preserve">until </w:t>
      </w:r>
      <w:r w:rsidR="00E10119" w:rsidRPr="00F573F6">
        <w:rPr>
          <w:rFonts w:cs="Arial"/>
        </w:rPr>
        <w:t xml:space="preserve">2019. </w:t>
      </w:r>
      <w:r w:rsidR="00B22529" w:rsidRPr="00F573F6">
        <w:rPr>
          <w:rFonts w:cs="Arial"/>
        </w:rPr>
        <w:t>Additionally</w:t>
      </w:r>
      <w:r w:rsidR="00E10119" w:rsidRPr="00F573F6">
        <w:rPr>
          <w:rFonts w:cs="Arial"/>
        </w:rPr>
        <w:t xml:space="preserve">, the chairman of </w:t>
      </w:r>
      <w:r w:rsidR="004A0745">
        <w:rPr>
          <w:rFonts w:cs="Arial"/>
        </w:rPr>
        <w:t xml:space="preserve">the </w:t>
      </w:r>
      <w:r w:rsidR="00E10119" w:rsidRPr="00F573F6">
        <w:rPr>
          <w:rFonts w:cs="Arial"/>
        </w:rPr>
        <w:t xml:space="preserve">supervisory board </w:t>
      </w:r>
      <w:r w:rsidR="00596541" w:rsidRPr="00F573F6">
        <w:rPr>
          <w:rFonts w:cs="Arial"/>
        </w:rPr>
        <w:t>also chaired the audit committee</w:t>
      </w:r>
      <w:r w:rsidR="004F74C0" w:rsidRPr="00F573F6">
        <w:rPr>
          <w:rFonts w:cs="Arial"/>
        </w:rPr>
        <w:t xml:space="preserve">, which was </w:t>
      </w:r>
      <w:r w:rsidR="005B71DF" w:rsidRPr="00F573F6">
        <w:rPr>
          <w:rFonts w:cs="Arial"/>
        </w:rPr>
        <w:t xml:space="preserve">a breach </w:t>
      </w:r>
      <w:r w:rsidR="00CC46CF">
        <w:rPr>
          <w:rFonts w:cs="Arial"/>
        </w:rPr>
        <w:t>of</w:t>
      </w:r>
      <w:r w:rsidR="005B71DF" w:rsidRPr="00F573F6">
        <w:rPr>
          <w:rFonts w:cs="Arial"/>
        </w:rPr>
        <w:t xml:space="preserve"> </w:t>
      </w:r>
      <w:r w:rsidR="00D35C49" w:rsidRPr="00F573F6">
        <w:rPr>
          <w:rFonts w:cs="Arial"/>
        </w:rPr>
        <w:t xml:space="preserve">the </w:t>
      </w:r>
      <w:r w:rsidR="003230DB" w:rsidRPr="00F573F6">
        <w:rPr>
          <w:rFonts w:cs="Arial"/>
        </w:rPr>
        <w:t>“Code</w:t>
      </w:r>
      <w:r w:rsidR="003230DB" w:rsidRPr="00F573F6">
        <w:rPr>
          <w:rStyle w:val="FootnoteReference"/>
          <w:rFonts w:cs="Arial"/>
        </w:rPr>
        <w:footnoteReference w:id="7"/>
      </w:r>
      <w:r w:rsidR="003230DB" w:rsidRPr="00F573F6">
        <w:rPr>
          <w:rFonts w:cs="Arial"/>
        </w:rPr>
        <w:t xml:space="preserve"> ”.</w:t>
      </w:r>
      <w:r w:rsidR="00DC000B" w:rsidRPr="00F573F6">
        <w:rPr>
          <w:rFonts w:cs="Arial"/>
        </w:rPr>
        <w:t xml:space="preserve"> Thus, </w:t>
      </w:r>
      <w:r w:rsidR="00C9423C">
        <w:rPr>
          <w:rFonts w:cs="Arial"/>
        </w:rPr>
        <w:t xml:space="preserve">raising </w:t>
      </w:r>
      <w:r w:rsidR="001317DC" w:rsidRPr="00F573F6">
        <w:rPr>
          <w:rFonts w:cs="Arial"/>
        </w:rPr>
        <w:t xml:space="preserve">more allegations </w:t>
      </w:r>
      <w:r w:rsidR="00DC000B" w:rsidRPr="00F573F6">
        <w:rPr>
          <w:rFonts w:cs="Arial"/>
        </w:rPr>
        <w:t>to the NOCLAR</w:t>
      </w:r>
      <w:r w:rsidR="004C1DFF">
        <w:rPr>
          <w:rFonts w:cs="Arial"/>
        </w:rPr>
        <w:t xml:space="preserve"> </w:t>
      </w:r>
      <w:r w:rsidR="001317DC" w:rsidRPr="00F573F6">
        <w:rPr>
          <w:rStyle w:val="FootnoteReference"/>
          <w:rFonts w:cs="Arial"/>
        </w:rPr>
        <w:footnoteReference w:id="8"/>
      </w:r>
      <w:r w:rsidR="005210E8" w:rsidRPr="00F573F6">
        <w:rPr>
          <w:rFonts w:cs="Arial"/>
        </w:rPr>
        <w:t xml:space="preserve"> </w:t>
      </w:r>
      <w:r w:rsidR="004B3D64" w:rsidRPr="00F573F6">
        <w:rPr>
          <w:rFonts w:cs="Arial"/>
        </w:rPr>
        <w:t xml:space="preserve">, </w:t>
      </w:r>
      <w:r w:rsidR="00C921EE">
        <w:rPr>
          <w:rFonts w:cs="Arial"/>
        </w:rPr>
        <w:t xml:space="preserve">including </w:t>
      </w:r>
      <w:r w:rsidR="00BD3BF5" w:rsidRPr="00F573F6">
        <w:rPr>
          <w:rFonts w:cs="Arial"/>
        </w:rPr>
        <w:t xml:space="preserve">earlier allegations of </w:t>
      </w:r>
      <w:r w:rsidR="00BF2E77" w:rsidRPr="00F573F6">
        <w:rPr>
          <w:rFonts w:cs="Arial"/>
        </w:rPr>
        <w:t>violation</w:t>
      </w:r>
      <w:r w:rsidR="004B3D64" w:rsidRPr="00F573F6">
        <w:rPr>
          <w:rFonts w:cs="Arial"/>
        </w:rPr>
        <w:t>s</w:t>
      </w:r>
      <w:r w:rsidR="00BF2E77" w:rsidRPr="00F573F6">
        <w:rPr>
          <w:rFonts w:cs="Arial"/>
        </w:rPr>
        <w:t xml:space="preserve"> of </w:t>
      </w:r>
      <w:r w:rsidR="009768CC">
        <w:rPr>
          <w:rFonts w:cs="Arial"/>
        </w:rPr>
        <w:t xml:space="preserve"> </w:t>
      </w:r>
      <w:r w:rsidR="00C921EE">
        <w:rPr>
          <w:rFonts w:cs="Arial"/>
        </w:rPr>
        <w:t xml:space="preserve"> </w:t>
      </w:r>
      <w:r w:rsidR="00FC029F" w:rsidRPr="00F573F6">
        <w:rPr>
          <w:rFonts w:cs="Arial"/>
        </w:rPr>
        <w:t xml:space="preserve">IAS 24 </w:t>
      </w:r>
      <w:r w:rsidR="007724A6" w:rsidRPr="00F573F6">
        <w:rPr>
          <w:rStyle w:val="FootnoteReference"/>
          <w:rFonts w:cs="Arial"/>
        </w:rPr>
        <w:footnoteReference w:id="9"/>
      </w:r>
      <w:r w:rsidR="004B3D64" w:rsidRPr="00F573F6">
        <w:rPr>
          <w:rFonts w:cs="Arial"/>
        </w:rPr>
        <w:t xml:space="preserve"> </w:t>
      </w:r>
      <w:r w:rsidR="00FC029F" w:rsidRPr="00F573F6">
        <w:rPr>
          <w:rFonts w:cs="Arial"/>
        </w:rPr>
        <w:t xml:space="preserve">and overstatement of </w:t>
      </w:r>
      <w:r w:rsidR="007724A6" w:rsidRPr="00F573F6">
        <w:rPr>
          <w:rFonts w:cs="Arial"/>
        </w:rPr>
        <w:t xml:space="preserve">revenues </w:t>
      </w:r>
      <w:hyperlink r:id="rId27" w:history="1">
        <w:r w:rsidR="007724A6" w:rsidRPr="00F573F6">
          <w:rPr>
            <w:rStyle w:val="Hyperlink"/>
            <w:rFonts w:cs="Arial"/>
          </w:rPr>
          <w:t>(Sancak &amp; Loew, 2022)</w:t>
        </w:r>
      </w:hyperlink>
      <w:r w:rsidR="007724A6" w:rsidRPr="00F573F6">
        <w:rPr>
          <w:rFonts w:cs="Arial"/>
        </w:rPr>
        <w:t>.</w:t>
      </w:r>
      <w:r w:rsidR="00A24664" w:rsidRPr="00F573F6">
        <w:rPr>
          <w:rFonts w:cs="Arial"/>
        </w:rPr>
        <w:t xml:space="preserve"> </w:t>
      </w:r>
      <w:r w:rsidR="00AD2E34">
        <w:rPr>
          <w:rFonts w:cs="Arial"/>
        </w:rPr>
        <w:t xml:space="preserve">This </w:t>
      </w:r>
      <w:r w:rsidR="00BC4605">
        <w:rPr>
          <w:rFonts w:cs="Arial"/>
        </w:rPr>
        <w:t>demonstrated a deficiency in board supervision, which enabled the fraud to persist without being d</w:t>
      </w:r>
      <w:r w:rsidR="00134FDD">
        <w:rPr>
          <w:rFonts w:cs="Arial"/>
        </w:rPr>
        <w:t>etected.</w:t>
      </w:r>
    </w:p>
    <w:p w14:paraId="40A7E816" w14:textId="77777777" w:rsidR="00875F26" w:rsidRPr="00F573F6" w:rsidRDefault="00875F26" w:rsidP="000E1AD1">
      <w:pPr>
        <w:spacing w:line="360" w:lineRule="auto"/>
        <w:rPr>
          <w:rFonts w:cs="Arial"/>
        </w:rPr>
      </w:pPr>
    </w:p>
    <w:p w14:paraId="5E47CEF7" w14:textId="29F9956E" w:rsidR="00346378" w:rsidRDefault="004B0095" w:rsidP="00611C93">
      <w:pPr>
        <w:spacing w:line="360" w:lineRule="auto"/>
        <w:rPr>
          <w:rFonts w:cs="Arial"/>
        </w:rPr>
      </w:pPr>
      <w:r w:rsidRPr="00F573F6">
        <w:rPr>
          <w:rFonts w:cs="Arial"/>
        </w:rPr>
        <w:t xml:space="preserve">According to </w:t>
      </w:r>
      <w:hyperlink r:id="rId28" w:history="1">
        <w:r w:rsidRPr="00F573F6">
          <w:rPr>
            <w:rStyle w:val="Hyperlink"/>
            <w:rFonts w:cs="Arial"/>
          </w:rPr>
          <w:t>Sancak and Loew (2022)</w:t>
        </w:r>
      </w:hyperlink>
      <w:r w:rsidR="004B3D64" w:rsidRPr="00F573F6">
        <w:rPr>
          <w:rFonts w:cs="Arial"/>
        </w:rPr>
        <w:t>, an</w:t>
      </w:r>
      <w:r w:rsidR="00DD4E50" w:rsidRPr="00F573F6">
        <w:rPr>
          <w:rFonts w:cs="Arial"/>
        </w:rPr>
        <w:t xml:space="preserve"> internal channel </w:t>
      </w:r>
      <w:r w:rsidR="00987FEE" w:rsidRPr="00F573F6">
        <w:rPr>
          <w:rFonts w:cs="Arial"/>
        </w:rPr>
        <w:t xml:space="preserve">was established </w:t>
      </w:r>
      <w:r w:rsidR="00DD4E50" w:rsidRPr="00F573F6">
        <w:rPr>
          <w:rFonts w:cs="Arial"/>
        </w:rPr>
        <w:t xml:space="preserve">between the </w:t>
      </w:r>
      <w:r w:rsidR="00447B15" w:rsidRPr="00F573F6">
        <w:rPr>
          <w:rFonts w:cs="Arial"/>
        </w:rPr>
        <w:t xml:space="preserve">company and the auditor </w:t>
      </w:r>
      <w:r w:rsidR="00987FEE" w:rsidRPr="00F573F6">
        <w:rPr>
          <w:rFonts w:cs="Arial"/>
        </w:rPr>
        <w:t>to convey</w:t>
      </w:r>
      <w:r w:rsidR="001062E8" w:rsidRPr="00F573F6">
        <w:rPr>
          <w:rFonts w:cs="Arial"/>
        </w:rPr>
        <w:t xml:space="preserve"> </w:t>
      </w:r>
      <w:r w:rsidR="00854962" w:rsidRPr="00F573F6">
        <w:rPr>
          <w:rFonts w:cs="Arial"/>
        </w:rPr>
        <w:t>material</w:t>
      </w:r>
      <w:r w:rsidR="005E3895" w:rsidRPr="00F573F6">
        <w:rPr>
          <w:rFonts w:cs="Arial"/>
        </w:rPr>
        <w:t xml:space="preserve"> </w:t>
      </w:r>
      <w:r w:rsidR="00EE0BB3" w:rsidRPr="00F573F6">
        <w:rPr>
          <w:rFonts w:cs="Arial"/>
        </w:rPr>
        <w:t>findings</w:t>
      </w:r>
      <w:r w:rsidR="000024C9" w:rsidRPr="00F573F6">
        <w:rPr>
          <w:rFonts w:cs="Arial"/>
        </w:rPr>
        <w:t xml:space="preserve"> to the supervisory board</w:t>
      </w:r>
      <w:r w:rsidR="00854962" w:rsidRPr="00F573F6">
        <w:rPr>
          <w:rFonts w:cs="Arial"/>
        </w:rPr>
        <w:t xml:space="preserve">. </w:t>
      </w:r>
      <w:r w:rsidR="003B4272" w:rsidRPr="00F573F6">
        <w:rPr>
          <w:rFonts w:cs="Arial"/>
        </w:rPr>
        <w:t>However,</w:t>
      </w:r>
      <w:r w:rsidR="00854962" w:rsidRPr="00F573F6">
        <w:rPr>
          <w:rFonts w:cs="Arial"/>
        </w:rPr>
        <w:t xml:space="preserve"> </w:t>
      </w:r>
      <w:r w:rsidR="00854962" w:rsidRPr="00FF2810">
        <w:rPr>
          <w:rFonts w:cs="Arial"/>
        </w:rPr>
        <w:t xml:space="preserve">there </w:t>
      </w:r>
      <w:r w:rsidR="0052589C" w:rsidRPr="00FF2810">
        <w:rPr>
          <w:rFonts w:cs="Arial"/>
        </w:rPr>
        <w:t xml:space="preserve">were </w:t>
      </w:r>
      <w:r w:rsidR="006868BA" w:rsidRPr="00FF2810">
        <w:rPr>
          <w:rFonts w:cs="Arial"/>
        </w:rPr>
        <w:t>no</w:t>
      </w:r>
      <w:r w:rsidR="0052589C" w:rsidRPr="00FF2810">
        <w:rPr>
          <w:rFonts w:cs="Arial"/>
        </w:rPr>
        <w:t xml:space="preserve"> c</w:t>
      </w:r>
      <w:r w:rsidR="007F71AE" w:rsidRPr="00FF2810">
        <w:rPr>
          <w:rFonts w:cs="Arial"/>
        </w:rPr>
        <w:t>oncerns</w:t>
      </w:r>
      <w:r w:rsidR="0052589C" w:rsidRPr="00FF2810">
        <w:rPr>
          <w:rFonts w:cs="Arial"/>
        </w:rPr>
        <w:t xml:space="preserve"> raised</w:t>
      </w:r>
      <w:r w:rsidR="005A74A9" w:rsidRPr="00FF2810">
        <w:rPr>
          <w:rFonts w:cs="Arial"/>
        </w:rPr>
        <w:t xml:space="preserve">, </w:t>
      </w:r>
      <w:r w:rsidR="00987FEE" w:rsidRPr="00FF2810">
        <w:rPr>
          <w:rFonts w:cs="Arial"/>
        </w:rPr>
        <w:t xml:space="preserve">as there is no evidence to </w:t>
      </w:r>
      <w:r w:rsidR="0052589C" w:rsidRPr="00FF2810">
        <w:rPr>
          <w:rFonts w:cs="Arial"/>
        </w:rPr>
        <w:t>support them</w:t>
      </w:r>
      <w:r w:rsidR="00987FEE" w:rsidRPr="00FF2810">
        <w:rPr>
          <w:rFonts w:cs="Arial"/>
        </w:rPr>
        <w:t>.</w:t>
      </w:r>
      <w:r w:rsidR="00056B0A" w:rsidRPr="00FF2810">
        <w:rPr>
          <w:rFonts w:cs="Arial"/>
        </w:rPr>
        <w:t xml:space="preserve"> This </w:t>
      </w:r>
      <w:r w:rsidR="00DB5774" w:rsidRPr="00FF2810">
        <w:rPr>
          <w:rFonts w:cs="Arial"/>
        </w:rPr>
        <w:t>demonstrates</w:t>
      </w:r>
      <w:r w:rsidR="00A31246" w:rsidRPr="00FF2810">
        <w:rPr>
          <w:rFonts w:cs="Arial"/>
        </w:rPr>
        <w:t xml:space="preserve"> control risk as well as</w:t>
      </w:r>
      <w:r w:rsidR="00056B0A" w:rsidRPr="00FF2810">
        <w:rPr>
          <w:rFonts w:cs="Arial"/>
        </w:rPr>
        <w:t xml:space="preserve"> EY’s </w:t>
      </w:r>
      <w:r w:rsidR="00DB5774" w:rsidRPr="00FF2810">
        <w:rPr>
          <w:rFonts w:cs="Arial"/>
        </w:rPr>
        <w:t>negligence</w:t>
      </w:r>
      <w:r w:rsidR="00056B0A" w:rsidRPr="00FF2810">
        <w:rPr>
          <w:rFonts w:cs="Arial"/>
        </w:rPr>
        <w:t xml:space="preserve"> </w:t>
      </w:r>
      <w:r w:rsidR="00C3481E" w:rsidRPr="00FF2810">
        <w:rPr>
          <w:rFonts w:cs="Arial"/>
        </w:rPr>
        <w:t xml:space="preserve">in </w:t>
      </w:r>
      <w:r w:rsidR="00DB5774" w:rsidRPr="00FF2810">
        <w:rPr>
          <w:rFonts w:cs="Arial"/>
        </w:rPr>
        <w:t>internal control testing</w:t>
      </w:r>
      <w:r w:rsidR="0049333F" w:rsidRPr="00FF2810">
        <w:rPr>
          <w:rFonts w:cs="Arial"/>
        </w:rPr>
        <w:t xml:space="preserve">, </w:t>
      </w:r>
      <w:r w:rsidR="00056B0A" w:rsidRPr="00FF2810">
        <w:rPr>
          <w:rFonts w:cs="Arial"/>
        </w:rPr>
        <w:t xml:space="preserve"> </w:t>
      </w:r>
      <w:r w:rsidR="009E3701" w:rsidRPr="00FF2810">
        <w:rPr>
          <w:rFonts w:cs="Arial"/>
        </w:rPr>
        <w:t xml:space="preserve">which prevented them </w:t>
      </w:r>
      <w:r w:rsidR="00237352" w:rsidRPr="00FF2810">
        <w:rPr>
          <w:rFonts w:cs="Arial"/>
        </w:rPr>
        <w:t xml:space="preserve">from satisfying </w:t>
      </w:r>
      <w:r w:rsidR="009E3701" w:rsidRPr="00FF2810">
        <w:rPr>
          <w:rFonts w:cs="Arial"/>
        </w:rPr>
        <w:t>their professional</w:t>
      </w:r>
      <w:r w:rsidR="009E3701" w:rsidRPr="00F573F6">
        <w:rPr>
          <w:rFonts w:cs="Arial"/>
        </w:rPr>
        <w:t xml:space="preserve"> responsibilities.</w:t>
      </w:r>
    </w:p>
    <w:p w14:paraId="27FE720B" w14:textId="77777777" w:rsidR="00875F26" w:rsidRPr="00F573F6" w:rsidRDefault="00875F26" w:rsidP="00611C93">
      <w:pPr>
        <w:spacing w:line="360" w:lineRule="auto"/>
        <w:rPr>
          <w:rFonts w:cs="Arial"/>
        </w:rPr>
      </w:pPr>
    </w:p>
    <w:p w14:paraId="092B6B45" w14:textId="1A27E16C" w:rsidR="006F6EA4" w:rsidRPr="00F573F6" w:rsidRDefault="00237352" w:rsidP="008F3075">
      <w:pPr>
        <w:spacing w:line="360" w:lineRule="auto"/>
        <w:rPr>
          <w:rFonts w:cs="Arial"/>
          <w:color w:val="000000" w:themeColor="text1"/>
        </w:rPr>
      </w:pPr>
      <w:r w:rsidRPr="00F573F6">
        <w:rPr>
          <w:rFonts w:cs="Arial"/>
          <w:color w:val="000000" w:themeColor="text1"/>
        </w:rPr>
        <w:t>T</w:t>
      </w:r>
      <w:r w:rsidR="00385095" w:rsidRPr="00F573F6">
        <w:rPr>
          <w:rFonts w:cs="Arial"/>
          <w:color w:val="000000" w:themeColor="text1"/>
        </w:rPr>
        <w:t>he governance structure of the company</w:t>
      </w:r>
      <w:r w:rsidR="003B4272" w:rsidRPr="00F573F6">
        <w:rPr>
          <w:rFonts w:cs="Arial"/>
          <w:color w:val="000000" w:themeColor="text1"/>
        </w:rPr>
        <w:t xml:space="preserve"> </w:t>
      </w:r>
      <w:r w:rsidR="003B4272" w:rsidRPr="00F573F6">
        <w:rPr>
          <w:rFonts w:cs="Arial"/>
        </w:rPr>
        <w:t xml:space="preserve">(Figure </w:t>
      </w:r>
      <w:r w:rsidR="00CD4A62">
        <w:rPr>
          <w:rFonts w:cs="Arial"/>
        </w:rPr>
        <w:t>3</w:t>
      </w:r>
      <w:r w:rsidR="003B4272" w:rsidRPr="00F573F6">
        <w:rPr>
          <w:rFonts w:cs="Arial"/>
        </w:rPr>
        <w:t>)</w:t>
      </w:r>
      <w:r w:rsidRPr="00F573F6">
        <w:rPr>
          <w:rFonts w:cs="Arial"/>
          <w:color w:val="000000" w:themeColor="text1"/>
        </w:rPr>
        <w:t xml:space="preserve"> shows that </w:t>
      </w:r>
      <w:r w:rsidR="008067BE" w:rsidRPr="00F573F6">
        <w:rPr>
          <w:rFonts w:cs="Arial"/>
          <w:color w:val="000000" w:themeColor="text1"/>
        </w:rPr>
        <w:t xml:space="preserve">the main duty of </w:t>
      </w:r>
      <w:r w:rsidR="00F9380C">
        <w:rPr>
          <w:rFonts w:cs="Arial"/>
          <w:color w:val="000000" w:themeColor="text1"/>
        </w:rPr>
        <w:t xml:space="preserve">the </w:t>
      </w:r>
      <w:r w:rsidR="008067BE" w:rsidRPr="00F573F6">
        <w:rPr>
          <w:rFonts w:cs="Arial"/>
          <w:color w:val="000000" w:themeColor="text1"/>
        </w:rPr>
        <w:t xml:space="preserve">Supervisory Board </w:t>
      </w:r>
      <w:r w:rsidR="00385095" w:rsidRPr="00F573F6">
        <w:rPr>
          <w:rFonts w:cs="Arial"/>
          <w:color w:val="000000" w:themeColor="text1"/>
        </w:rPr>
        <w:t xml:space="preserve">was to </w:t>
      </w:r>
      <w:r w:rsidR="000C0D46">
        <w:rPr>
          <w:rFonts w:cs="Arial"/>
          <w:color w:val="000000" w:themeColor="text1"/>
        </w:rPr>
        <w:t>guide</w:t>
      </w:r>
      <w:r w:rsidR="00F253C5" w:rsidRPr="00F573F6">
        <w:rPr>
          <w:rFonts w:cs="Arial"/>
          <w:color w:val="000000" w:themeColor="text1"/>
        </w:rPr>
        <w:t xml:space="preserve"> </w:t>
      </w:r>
      <w:r w:rsidR="008067BE" w:rsidRPr="00F573F6">
        <w:rPr>
          <w:rFonts w:cs="Arial"/>
          <w:color w:val="000000" w:themeColor="text1"/>
        </w:rPr>
        <w:t>to the</w:t>
      </w:r>
      <w:r w:rsidR="00F253C5" w:rsidRPr="00F573F6">
        <w:rPr>
          <w:rFonts w:cs="Arial"/>
          <w:color w:val="000000" w:themeColor="text1"/>
        </w:rPr>
        <w:t xml:space="preserve"> management</w:t>
      </w:r>
      <w:r w:rsidR="0096366D" w:rsidRPr="00F573F6">
        <w:rPr>
          <w:rFonts w:cs="Arial"/>
          <w:color w:val="000000" w:themeColor="text1"/>
        </w:rPr>
        <w:t xml:space="preserve">. Instead, they </w:t>
      </w:r>
      <w:r w:rsidR="0006599F" w:rsidRPr="00F573F6">
        <w:rPr>
          <w:rFonts w:cs="Arial"/>
          <w:color w:val="000000" w:themeColor="text1"/>
        </w:rPr>
        <w:t>engaged in governance washing</w:t>
      </w:r>
      <w:r w:rsidR="0096366D" w:rsidRPr="00F573F6">
        <w:rPr>
          <w:rFonts w:cs="Arial"/>
          <w:color w:val="000000" w:themeColor="text1"/>
        </w:rPr>
        <w:t xml:space="preserve"> by highlighting</w:t>
      </w:r>
      <w:r w:rsidR="00EE3850" w:rsidRPr="00F573F6">
        <w:rPr>
          <w:rFonts w:cs="Arial"/>
          <w:color w:val="000000" w:themeColor="text1"/>
        </w:rPr>
        <w:t xml:space="preserve"> success stories within the company </w:t>
      </w:r>
      <w:r w:rsidR="0096366D" w:rsidRPr="00F573F6">
        <w:rPr>
          <w:rFonts w:cs="Arial"/>
          <w:color w:val="000000" w:themeColor="text1"/>
        </w:rPr>
        <w:t>rather than</w:t>
      </w:r>
      <w:r w:rsidR="00EE3850" w:rsidRPr="00F573F6">
        <w:rPr>
          <w:rFonts w:cs="Arial"/>
          <w:color w:val="000000" w:themeColor="text1"/>
        </w:rPr>
        <w:t xml:space="preserve"> </w:t>
      </w:r>
      <w:r w:rsidR="0096366D" w:rsidRPr="00F573F6">
        <w:rPr>
          <w:rFonts w:cs="Arial"/>
          <w:color w:val="000000" w:themeColor="text1"/>
        </w:rPr>
        <w:t xml:space="preserve">protecting </w:t>
      </w:r>
      <w:r w:rsidR="008067BE" w:rsidRPr="00F573F6">
        <w:rPr>
          <w:rFonts w:cs="Arial"/>
          <w:color w:val="000000" w:themeColor="text1"/>
        </w:rPr>
        <w:t>stakeholder</w:t>
      </w:r>
      <w:r w:rsidR="0049333F">
        <w:rPr>
          <w:rFonts w:cs="Arial"/>
          <w:color w:val="000000" w:themeColor="text1"/>
        </w:rPr>
        <w:t>s’</w:t>
      </w:r>
      <w:r w:rsidR="008067BE" w:rsidRPr="00F573F6">
        <w:rPr>
          <w:rFonts w:cs="Arial"/>
          <w:color w:val="000000" w:themeColor="text1"/>
        </w:rPr>
        <w:t xml:space="preserve"> interests.</w:t>
      </w:r>
    </w:p>
    <w:p w14:paraId="655A1075" w14:textId="77777777" w:rsidR="00207E67" w:rsidRPr="00F573F6" w:rsidRDefault="00207E67" w:rsidP="008F3075">
      <w:pPr>
        <w:spacing w:line="360" w:lineRule="auto"/>
        <w:rPr>
          <w:rFonts w:cs="Arial"/>
          <w:color w:val="000000" w:themeColor="text1"/>
        </w:rPr>
      </w:pPr>
    </w:p>
    <w:p w14:paraId="30C837FB" w14:textId="77777777" w:rsidR="001B280F" w:rsidRPr="001B280F" w:rsidRDefault="001B280F" w:rsidP="001B280F">
      <w:pPr>
        <w:rPr>
          <w:lang w:val="en-GB" w:eastAsia="en-US"/>
        </w:rPr>
      </w:pPr>
      <w:bookmarkStart w:id="5" w:name="_Toc170080171"/>
    </w:p>
    <w:p w14:paraId="41FAECE5" w14:textId="7B4B6266" w:rsidR="00207E67" w:rsidRPr="00552DE0" w:rsidRDefault="00D4526A" w:rsidP="00207E67">
      <w:pPr>
        <w:pStyle w:val="Heading3"/>
        <w:rPr>
          <w:rFonts w:ascii="Arial" w:hAnsi="Arial" w:cs="Arial"/>
        </w:rPr>
      </w:pPr>
      <w:r w:rsidRPr="00552DE0">
        <w:rPr>
          <w:rFonts w:ascii="Arial" w:hAnsi="Arial" w:cs="Arial"/>
        </w:rPr>
        <w:t>External Factors</w:t>
      </w:r>
      <w:bookmarkEnd w:id="5"/>
      <w:r w:rsidR="00693F75" w:rsidRPr="00552DE0">
        <w:rPr>
          <w:rFonts w:ascii="Arial" w:hAnsi="Arial" w:cs="Arial"/>
        </w:rPr>
        <w:t xml:space="preserve"> </w:t>
      </w:r>
    </w:p>
    <w:p w14:paraId="7831E7D0" w14:textId="77777777" w:rsidR="00E50C0A" w:rsidRDefault="00E50C0A" w:rsidP="00F268C1">
      <w:pPr>
        <w:spacing w:line="360" w:lineRule="auto"/>
        <w:rPr>
          <w:rFonts w:eastAsia="Calibri" w:cs="Arial"/>
        </w:rPr>
      </w:pPr>
    </w:p>
    <w:p w14:paraId="1DB73AB1" w14:textId="455C122B" w:rsidR="00CD4A62" w:rsidRPr="00FF2810" w:rsidRDefault="00F92A68" w:rsidP="00F268C1">
      <w:pPr>
        <w:spacing w:line="360" w:lineRule="auto"/>
        <w:rPr>
          <w:rFonts w:cs="Arial"/>
          <w:bCs/>
          <w:color w:val="000000" w:themeColor="text1"/>
        </w:rPr>
      </w:pPr>
      <w:r w:rsidRPr="00FF2810">
        <w:rPr>
          <w:rFonts w:eastAsia="Calibri" w:cs="Arial"/>
        </w:rPr>
        <w:t>BaFin</w:t>
      </w:r>
      <w:r w:rsidR="00300ECE" w:rsidRPr="00FF2810">
        <w:rPr>
          <w:rStyle w:val="FootnoteReference"/>
          <w:rFonts w:cs="Arial"/>
        </w:rPr>
        <w:footnoteReference w:id="10"/>
      </w:r>
      <w:r w:rsidRPr="00FF2810">
        <w:rPr>
          <w:rFonts w:eastAsia="Calibri" w:cs="Arial"/>
        </w:rPr>
        <w:t xml:space="preserve">, </w:t>
      </w:r>
      <w:r w:rsidR="00F536E2" w:rsidRPr="00FF2810">
        <w:rPr>
          <w:rFonts w:eastAsia="Calibri" w:cs="Arial"/>
        </w:rPr>
        <w:t xml:space="preserve">Germany’s </w:t>
      </w:r>
      <w:r w:rsidRPr="00FF2810">
        <w:rPr>
          <w:rFonts w:eastAsia="Calibri" w:cs="Arial"/>
        </w:rPr>
        <w:t>financial market regulator</w:t>
      </w:r>
      <w:r w:rsidR="00F536E2" w:rsidRPr="00FF2810">
        <w:rPr>
          <w:rFonts w:eastAsia="Calibri" w:cs="Arial"/>
        </w:rPr>
        <w:t xml:space="preserve">, </w:t>
      </w:r>
      <w:r w:rsidRPr="00FF2810">
        <w:rPr>
          <w:rFonts w:eastAsia="Calibri" w:cs="Arial"/>
        </w:rPr>
        <w:t xml:space="preserve">was </w:t>
      </w:r>
      <w:r w:rsidR="00F536E2" w:rsidRPr="00FF2810">
        <w:rPr>
          <w:rFonts w:eastAsia="Calibri" w:cs="Arial"/>
        </w:rPr>
        <w:t xml:space="preserve">responsible </w:t>
      </w:r>
      <w:r w:rsidR="000B7142" w:rsidRPr="00FF2810">
        <w:rPr>
          <w:rFonts w:eastAsia="Calibri" w:cs="Arial"/>
        </w:rPr>
        <w:t xml:space="preserve">for </w:t>
      </w:r>
      <w:r w:rsidRPr="00FF2810">
        <w:rPr>
          <w:rFonts w:eastAsia="Calibri" w:cs="Arial"/>
        </w:rPr>
        <w:t xml:space="preserve">overseeing Wirecard's </w:t>
      </w:r>
      <w:r w:rsidR="006D55DF">
        <w:rPr>
          <w:rFonts w:eastAsia="Calibri" w:cs="Arial"/>
        </w:rPr>
        <w:t xml:space="preserve">corporate </w:t>
      </w:r>
      <w:r w:rsidRPr="00FF2810">
        <w:rPr>
          <w:rFonts w:eastAsia="Calibri" w:cs="Arial"/>
        </w:rPr>
        <w:t>activities.</w:t>
      </w:r>
      <w:r w:rsidR="00C42103">
        <w:rPr>
          <w:rFonts w:cs="Arial"/>
        </w:rPr>
        <w:t xml:space="preserve"> </w:t>
      </w:r>
      <w:r w:rsidR="00BE3A5D" w:rsidRPr="00FF2810">
        <w:rPr>
          <w:rFonts w:cs="Arial"/>
          <w:bCs/>
          <w:color w:val="000000" w:themeColor="text1"/>
        </w:rPr>
        <w:t>D</w:t>
      </w:r>
      <w:r w:rsidR="00BC7DA5" w:rsidRPr="00FF2810">
        <w:rPr>
          <w:rFonts w:cs="Arial"/>
          <w:bCs/>
          <w:color w:val="000000" w:themeColor="text1"/>
        </w:rPr>
        <w:t xml:space="preserve">espite </w:t>
      </w:r>
      <w:r w:rsidR="00BF026A">
        <w:rPr>
          <w:rFonts w:cs="Arial"/>
          <w:bCs/>
          <w:color w:val="000000" w:themeColor="text1"/>
        </w:rPr>
        <w:t>BaFin’s</w:t>
      </w:r>
      <w:r w:rsidR="00BE3A5D" w:rsidRPr="00FF2810">
        <w:rPr>
          <w:rFonts w:cs="Arial"/>
          <w:bCs/>
          <w:color w:val="000000" w:themeColor="text1"/>
        </w:rPr>
        <w:t xml:space="preserve"> </w:t>
      </w:r>
      <w:r w:rsidR="008B5329">
        <w:rPr>
          <w:rFonts w:cs="Arial"/>
          <w:bCs/>
          <w:color w:val="000000" w:themeColor="text1"/>
        </w:rPr>
        <w:t>regulations</w:t>
      </w:r>
      <w:r w:rsidR="00BC7DA5" w:rsidRPr="00FF2810">
        <w:rPr>
          <w:rFonts w:cs="Arial"/>
          <w:bCs/>
          <w:color w:val="000000" w:themeColor="text1"/>
        </w:rPr>
        <w:t>, Wirecard persistently reported falsified financial statements over several year</w:t>
      </w:r>
      <w:r w:rsidR="00795CA4" w:rsidRPr="00FF2810">
        <w:rPr>
          <w:rFonts w:cs="Arial"/>
          <w:bCs/>
          <w:color w:val="000000" w:themeColor="text1"/>
        </w:rPr>
        <w:t>s</w:t>
      </w:r>
      <w:r w:rsidR="000A72BC" w:rsidRPr="00FF2810">
        <w:rPr>
          <w:rFonts w:cs="Arial"/>
          <w:bCs/>
          <w:color w:val="000000" w:themeColor="text1"/>
        </w:rPr>
        <w:t xml:space="preserve"> </w:t>
      </w:r>
      <w:hyperlink r:id="rId29" w:history="1">
        <w:r w:rsidR="000A72BC" w:rsidRPr="00FF2810">
          <w:rPr>
            <w:rStyle w:val="Hyperlink"/>
            <w:rFonts w:cs="Arial"/>
            <w:bCs/>
          </w:rPr>
          <w:t>(Jakubeit, 2021)</w:t>
        </w:r>
      </w:hyperlink>
      <w:r w:rsidR="000A72BC" w:rsidRPr="00FF2810">
        <w:rPr>
          <w:rFonts w:cs="Arial"/>
          <w:bCs/>
          <w:color w:val="000000" w:themeColor="text1"/>
        </w:rPr>
        <w:t>.</w:t>
      </w:r>
      <w:r w:rsidR="0061056E" w:rsidRPr="00FF2810">
        <w:rPr>
          <w:rFonts w:cs="Arial"/>
          <w:bCs/>
          <w:color w:val="000000" w:themeColor="text1"/>
        </w:rPr>
        <w:t xml:space="preserve"> </w:t>
      </w:r>
      <w:r w:rsidR="00C42103" w:rsidRPr="00C42103">
        <w:rPr>
          <w:rFonts w:cs="Arial"/>
          <w:bCs/>
          <w:color w:val="000000" w:themeColor="text1"/>
        </w:rPr>
        <w:t>The authority failed to investigate </w:t>
      </w:r>
      <w:r w:rsidR="00C42103">
        <w:rPr>
          <w:rFonts w:cs="Arial"/>
          <w:bCs/>
          <w:color w:val="000000" w:themeColor="text1"/>
        </w:rPr>
        <w:t xml:space="preserve">such </w:t>
      </w:r>
      <w:r w:rsidR="00C42103" w:rsidRPr="00C42103">
        <w:rPr>
          <w:rFonts w:cs="Arial"/>
          <w:bCs/>
          <w:color w:val="000000" w:themeColor="text1"/>
        </w:rPr>
        <w:t>accusations against the corporation.</w:t>
      </w:r>
    </w:p>
    <w:p w14:paraId="15BEB77E" w14:textId="02FC2229" w:rsidR="00795CA4" w:rsidRPr="00FF2810" w:rsidRDefault="0061056E" w:rsidP="00F268C1">
      <w:pPr>
        <w:spacing w:line="360" w:lineRule="auto"/>
        <w:rPr>
          <w:rFonts w:cs="Arial"/>
        </w:rPr>
      </w:pPr>
      <w:r w:rsidRPr="00FF2810">
        <w:rPr>
          <w:rFonts w:cs="Arial"/>
          <w:bCs/>
          <w:color w:val="000000" w:themeColor="text1"/>
        </w:rPr>
        <w:t xml:space="preserve">                                                                                         </w:t>
      </w:r>
    </w:p>
    <w:p w14:paraId="0EA8B760" w14:textId="3F425AB1" w:rsidR="00795CA4" w:rsidRDefault="005C0474" w:rsidP="00F268C1">
      <w:pPr>
        <w:spacing w:line="360" w:lineRule="auto"/>
        <w:rPr>
          <w:rFonts w:cs="Arial"/>
        </w:rPr>
      </w:pPr>
      <w:r w:rsidRPr="00FF2810">
        <w:rPr>
          <w:rFonts w:cs="Arial"/>
        </w:rPr>
        <w:t>Wirecard saw quick growth and successfully gained a significant market</w:t>
      </w:r>
      <w:r w:rsidR="00BE3A5D" w:rsidRPr="00FF2810">
        <w:rPr>
          <w:rFonts w:cs="Arial"/>
        </w:rPr>
        <w:t xml:space="preserve"> share</w:t>
      </w:r>
      <w:r w:rsidRPr="00FF2810">
        <w:rPr>
          <w:rFonts w:cs="Arial"/>
        </w:rPr>
        <w:t xml:space="preserve"> in the financial technology industry. </w:t>
      </w:r>
      <w:r w:rsidR="00C1798A" w:rsidRPr="00FF2810">
        <w:rPr>
          <w:rFonts w:cs="Arial"/>
        </w:rPr>
        <w:t>Occasionally, the fast</w:t>
      </w:r>
      <w:r w:rsidR="00C1798A" w:rsidRPr="00F573F6">
        <w:rPr>
          <w:rFonts w:cs="Arial"/>
        </w:rPr>
        <w:t xml:space="preserve"> expansion of firms may prompt them to manipulate their financial statements to fulfil the constantly rising demands of stakeholders</w:t>
      </w:r>
      <w:r w:rsidR="00C577B5" w:rsidRPr="00F573F6">
        <w:rPr>
          <w:rFonts w:cs="Arial"/>
        </w:rPr>
        <w:t>.</w:t>
      </w:r>
      <w:r w:rsidR="00C1798A" w:rsidRPr="00F573F6">
        <w:rPr>
          <w:rFonts w:cs="Arial"/>
        </w:rPr>
        <w:t xml:space="preserve"> </w:t>
      </w:r>
      <w:r w:rsidR="003D7B78" w:rsidRPr="00F573F6">
        <w:rPr>
          <w:rFonts w:cs="Arial"/>
        </w:rPr>
        <w:t>This undoubtedly motivated Wirecard to embrace an aggressive expansion strategy to enhance its market value, regardless of any illegal practices involved</w:t>
      </w:r>
      <w:r w:rsidR="00BD41DA" w:rsidRPr="00F573F6">
        <w:rPr>
          <w:rFonts w:cs="Arial"/>
        </w:rPr>
        <w:t xml:space="preserve"> </w:t>
      </w:r>
      <w:hyperlink r:id="rId30" w:history="1">
        <w:r w:rsidR="00BD41DA" w:rsidRPr="00A37C95">
          <w:rPr>
            <w:rStyle w:val="Hyperlink"/>
            <w:rFonts w:cs="Arial"/>
          </w:rPr>
          <w:t>(Langenbucher et al., 2020)</w:t>
        </w:r>
        <w:r w:rsidR="00A37C95" w:rsidRPr="00A37C95">
          <w:rPr>
            <w:rStyle w:val="Hyperlink"/>
            <w:rFonts w:cs="Arial"/>
          </w:rPr>
          <w:t>.</w:t>
        </w:r>
        <w:r w:rsidR="004037E3" w:rsidRPr="00A37C95">
          <w:rPr>
            <w:rStyle w:val="Hyperlink"/>
            <w:rFonts w:cs="Arial"/>
          </w:rPr>
          <w:t xml:space="preserve">  </w:t>
        </w:r>
      </w:hyperlink>
      <w:r w:rsidR="004037E3" w:rsidRPr="00F573F6">
        <w:rPr>
          <w:rFonts w:cs="Arial"/>
        </w:rPr>
        <w:t xml:space="preserve"> </w:t>
      </w:r>
    </w:p>
    <w:p w14:paraId="2B443D55" w14:textId="77777777" w:rsidR="00CD4A62" w:rsidRPr="00F573F6" w:rsidRDefault="00CD4A62" w:rsidP="00F268C1">
      <w:pPr>
        <w:spacing w:line="360" w:lineRule="auto"/>
        <w:rPr>
          <w:rFonts w:cs="Arial"/>
        </w:rPr>
      </w:pPr>
    </w:p>
    <w:p w14:paraId="01C58630" w14:textId="076944D3" w:rsidR="00F92A68" w:rsidRPr="00F573F6" w:rsidRDefault="000738BC" w:rsidP="00F268C1">
      <w:pPr>
        <w:spacing w:line="360" w:lineRule="auto"/>
        <w:rPr>
          <w:rFonts w:eastAsia="Calibri" w:cs="Arial"/>
          <w:b/>
        </w:rPr>
      </w:pPr>
      <w:r w:rsidRPr="00F573F6">
        <w:rPr>
          <w:rFonts w:eastAsia="Calibri" w:cs="Arial"/>
        </w:rPr>
        <w:t xml:space="preserve">According to </w:t>
      </w:r>
      <w:hyperlink r:id="rId31" w:history="1">
        <w:r w:rsidRPr="00F573F6">
          <w:rPr>
            <w:rStyle w:val="Hyperlink"/>
            <w:rFonts w:eastAsia="Calibri" w:cs="Arial"/>
          </w:rPr>
          <w:t>Betz and Kim (2021),</w:t>
        </w:r>
      </w:hyperlink>
      <w:r w:rsidRPr="00F573F6">
        <w:rPr>
          <w:rFonts w:eastAsia="Calibri" w:cs="Arial"/>
        </w:rPr>
        <w:t xml:space="preserve"> t</w:t>
      </w:r>
      <w:r w:rsidR="008427B4" w:rsidRPr="00F573F6">
        <w:rPr>
          <w:rFonts w:eastAsia="Calibri" w:cs="Arial"/>
        </w:rPr>
        <w:t xml:space="preserve">he financial institutions </w:t>
      </w:r>
      <w:r w:rsidR="00B06B06" w:rsidRPr="00F573F6">
        <w:rPr>
          <w:rFonts w:cs="Arial"/>
        </w:rPr>
        <w:t>that</w:t>
      </w:r>
      <w:r w:rsidR="008427B4" w:rsidRPr="00F573F6">
        <w:rPr>
          <w:rFonts w:eastAsia="Calibri" w:cs="Arial"/>
        </w:rPr>
        <w:t xml:space="preserve"> lent money to Wirecard failed to perform proper due diligence and provided funds based on falsified financial statements from Wirecard and audit reports from </w:t>
      </w:r>
      <w:r w:rsidR="00F674B9">
        <w:rPr>
          <w:rFonts w:eastAsia="Calibri" w:cs="Arial"/>
        </w:rPr>
        <w:t>EY</w:t>
      </w:r>
      <w:r w:rsidR="008427B4" w:rsidRPr="00F573F6">
        <w:rPr>
          <w:rFonts w:eastAsia="Calibri" w:cs="Arial"/>
        </w:rPr>
        <w:t>.</w:t>
      </w:r>
      <w:r w:rsidR="001E34ED" w:rsidRPr="00F573F6">
        <w:rPr>
          <w:rFonts w:eastAsia="Calibri" w:cs="Arial"/>
        </w:rPr>
        <w:t xml:space="preserve"> This led to a false sense of security. This </w:t>
      </w:r>
      <w:r w:rsidR="00B22B00" w:rsidRPr="00F573F6">
        <w:rPr>
          <w:rFonts w:cs="Arial"/>
        </w:rPr>
        <w:t xml:space="preserve">calls </w:t>
      </w:r>
      <w:r w:rsidR="001E34ED" w:rsidRPr="00F573F6">
        <w:rPr>
          <w:rFonts w:eastAsia="Calibri" w:cs="Arial"/>
        </w:rPr>
        <w:t>on auditors to carefully adhere to professional ethics and maintain high-quality audit standards to defend shareholder interests</w:t>
      </w:r>
      <w:r w:rsidR="00A37C95">
        <w:rPr>
          <w:rFonts w:eastAsia="Calibri" w:cs="Arial"/>
        </w:rPr>
        <w:t>.</w:t>
      </w:r>
    </w:p>
    <w:p w14:paraId="26AC803A" w14:textId="7A0C7D2B" w:rsidR="0094066F" w:rsidRPr="0094066F" w:rsidRDefault="0094066F" w:rsidP="00611C93"/>
    <w:p w14:paraId="3E0896DA" w14:textId="77777777" w:rsidR="004266DB" w:rsidRDefault="004266DB" w:rsidP="0094066F">
      <w:pPr>
        <w:pStyle w:val="Heading3"/>
      </w:pPr>
      <w:bookmarkStart w:id="6" w:name="OLE_LINK1"/>
      <w:bookmarkStart w:id="7" w:name="OLE_LINK2"/>
    </w:p>
    <w:p w14:paraId="31754615" w14:textId="77777777" w:rsidR="004266DB" w:rsidRDefault="004266DB" w:rsidP="0094066F">
      <w:pPr>
        <w:pStyle w:val="Heading3"/>
      </w:pPr>
    </w:p>
    <w:p w14:paraId="703D4C49" w14:textId="77777777" w:rsidR="004266DB" w:rsidRDefault="004266DB" w:rsidP="0094066F">
      <w:pPr>
        <w:pStyle w:val="Heading3"/>
      </w:pPr>
    </w:p>
    <w:p w14:paraId="7BE2E15A" w14:textId="77777777" w:rsidR="00461B17" w:rsidRDefault="00461B17" w:rsidP="0094066F">
      <w:pPr>
        <w:pStyle w:val="Heading3"/>
      </w:pPr>
    </w:p>
    <w:p w14:paraId="5106C500" w14:textId="77777777" w:rsidR="00B22B00" w:rsidRDefault="00B22B00" w:rsidP="0094066F">
      <w:pPr>
        <w:pStyle w:val="Heading3"/>
      </w:pPr>
    </w:p>
    <w:p w14:paraId="37A9545D" w14:textId="77777777" w:rsidR="00B22B00" w:rsidRPr="00B22B00" w:rsidRDefault="00B22B00" w:rsidP="00B22B00"/>
    <w:p w14:paraId="3FDA12E0" w14:textId="77777777" w:rsidR="00F573F6" w:rsidRDefault="00F573F6" w:rsidP="0094066F">
      <w:pPr>
        <w:pStyle w:val="Heading3"/>
        <w:rPr>
          <w:rFonts w:ascii="Arial" w:hAnsi="Arial" w:cs="Arial"/>
        </w:rPr>
      </w:pPr>
      <w:bookmarkStart w:id="8" w:name="_Toc170080172"/>
    </w:p>
    <w:p w14:paraId="67D3CA89" w14:textId="77777777" w:rsidR="00F573F6" w:rsidRPr="00F573F6" w:rsidRDefault="00F573F6" w:rsidP="00F573F6">
      <w:pPr>
        <w:rPr>
          <w:lang w:val="en-GB" w:eastAsia="en-US"/>
        </w:rPr>
      </w:pPr>
    </w:p>
    <w:p w14:paraId="750ABABA" w14:textId="77777777" w:rsidR="006171F0" w:rsidRDefault="006171F0" w:rsidP="0094066F">
      <w:pPr>
        <w:pStyle w:val="Heading3"/>
        <w:rPr>
          <w:rFonts w:ascii="Arial" w:hAnsi="Arial" w:cs="Arial"/>
        </w:rPr>
      </w:pPr>
    </w:p>
    <w:p w14:paraId="30526609" w14:textId="77777777" w:rsidR="006171F0" w:rsidRDefault="006171F0" w:rsidP="006171F0">
      <w:pPr>
        <w:rPr>
          <w:lang w:val="en-GB" w:eastAsia="en-US"/>
        </w:rPr>
      </w:pPr>
    </w:p>
    <w:p w14:paraId="68D1B79A" w14:textId="77777777" w:rsidR="006171F0" w:rsidRPr="006171F0" w:rsidRDefault="006171F0" w:rsidP="006171F0">
      <w:pPr>
        <w:rPr>
          <w:lang w:val="en-GB" w:eastAsia="en-US"/>
        </w:rPr>
      </w:pPr>
    </w:p>
    <w:p w14:paraId="2E67ABBE" w14:textId="63D81E2E" w:rsidR="0094066F" w:rsidRPr="00552DE0" w:rsidRDefault="00D4526A" w:rsidP="0094066F">
      <w:pPr>
        <w:pStyle w:val="Heading3"/>
        <w:rPr>
          <w:rFonts w:ascii="Arial" w:hAnsi="Arial" w:cs="Arial"/>
        </w:rPr>
      </w:pPr>
      <w:r w:rsidRPr="00552DE0">
        <w:rPr>
          <w:rFonts w:ascii="Arial" w:hAnsi="Arial" w:cs="Arial"/>
        </w:rPr>
        <w:t>Ethical Issues</w:t>
      </w:r>
      <w:bookmarkEnd w:id="8"/>
      <w:r w:rsidR="0093681E" w:rsidRPr="00552DE0">
        <w:rPr>
          <w:rFonts w:ascii="Arial" w:hAnsi="Arial" w:cs="Arial"/>
        </w:rPr>
        <w:t xml:space="preserve"> </w:t>
      </w:r>
    </w:p>
    <w:p w14:paraId="09E440C7" w14:textId="77777777" w:rsidR="00207E67" w:rsidRPr="00207E67" w:rsidRDefault="00207E67" w:rsidP="00207E67"/>
    <w:p w14:paraId="79605C64" w14:textId="4BDFCF29" w:rsidR="000F2357" w:rsidRDefault="00D614CE" w:rsidP="00BA4890">
      <w:pPr>
        <w:spacing w:line="360" w:lineRule="auto"/>
        <w:rPr>
          <w:rFonts w:cs="Arial"/>
        </w:rPr>
      </w:pPr>
      <w:r w:rsidRPr="00F573F6">
        <w:rPr>
          <w:rFonts w:cs="Arial"/>
        </w:rPr>
        <w:t xml:space="preserve">Wirecard engaged </w:t>
      </w:r>
      <w:r w:rsidR="00D34D48" w:rsidRPr="00F573F6">
        <w:rPr>
          <w:rFonts w:cs="Arial"/>
        </w:rPr>
        <w:t xml:space="preserve">in </w:t>
      </w:r>
      <w:r w:rsidR="00D34D48" w:rsidRPr="007B44BB">
        <w:rPr>
          <w:rFonts w:cs="Arial"/>
        </w:rPr>
        <w:t xml:space="preserve">unethical practices, </w:t>
      </w:r>
      <w:r w:rsidR="008040AF" w:rsidRPr="007B44BB">
        <w:rPr>
          <w:rFonts w:cs="Arial"/>
        </w:rPr>
        <w:t xml:space="preserve">such as </w:t>
      </w:r>
      <w:r w:rsidR="00D34D48" w:rsidRPr="007B44BB">
        <w:rPr>
          <w:rFonts w:cs="Arial"/>
        </w:rPr>
        <w:t>intentional financial misstatements and accounting fraud</w:t>
      </w:r>
      <w:r w:rsidR="00BA4890" w:rsidRPr="007B44BB">
        <w:rPr>
          <w:rFonts w:cs="Arial"/>
        </w:rPr>
        <w:t xml:space="preserve">, </w:t>
      </w:r>
      <w:r w:rsidR="008040AF" w:rsidRPr="007B44BB">
        <w:rPr>
          <w:rFonts w:cs="Arial"/>
        </w:rPr>
        <w:t>through</w:t>
      </w:r>
      <w:r w:rsidR="004F2371" w:rsidRPr="007B44BB">
        <w:rPr>
          <w:rFonts w:cs="Arial"/>
        </w:rPr>
        <w:t xml:space="preserve"> the</w:t>
      </w:r>
      <w:r w:rsidR="008040AF" w:rsidRPr="007B44BB">
        <w:rPr>
          <w:rFonts w:cs="Arial"/>
        </w:rPr>
        <w:t xml:space="preserve"> </w:t>
      </w:r>
      <w:r w:rsidR="00652458" w:rsidRPr="007B44BB">
        <w:rPr>
          <w:rFonts w:cs="Arial"/>
        </w:rPr>
        <w:t>fabricati</w:t>
      </w:r>
      <w:r w:rsidR="00F268C1" w:rsidRPr="007B44BB">
        <w:rPr>
          <w:rFonts w:cs="Arial"/>
        </w:rPr>
        <w:t xml:space="preserve">on of </w:t>
      </w:r>
      <w:r w:rsidR="00522A9A" w:rsidRPr="007B44BB">
        <w:rPr>
          <w:rFonts w:cs="Arial"/>
        </w:rPr>
        <w:t>fi</w:t>
      </w:r>
      <w:r w:rsidR="00115EC2" w:rsidRPr="007B44BB">
        <w:rPr>
          <w:rFonts w:cs="Arial"/>
        </w:rPr>
        <w:t xml:space="preserve">ctitious </w:t>
      </w:r>
      <w:r w:rsidR="00522A9A" w:rsidRPr="00DF27F3">
        <w:rPr>
          <w:rFonts w:cs="Arial"/>
        </w:rPr>
        <w:t>accounts</w:t>
      </w:r>
      <w:r w:rsidR="00D34D48" w:rsidRPr="00DF27F3">
        <w:rPr>
          <w:rFonts w:cs="Arial"/>
        </w:rPr>
        <w:t>.</w:t>
      </w:r>
      <w:r w:rsidR="00D34D48" w:rsidRPr="00F573F6">
        <w:rPr>
          <w:rFonts w:cs="Arial"/>
        </w:rPr>
        <w:t xml:space="preserve"> </w:t>
      </w:r>
      <w:r w:rsidR="00F26D09" w:rsidRPr="00F573F6">
        <w:rPr>
          <w:rFonts w:cs="Arial"/>
        </w:rPr>
        <w:t xml:space="preserve">Such </w:t>
      </w:r>
      <w:r w:rsidR="00AA76B9" w:rsidRPr="00F573F6">
        <w:rPr>
          <w:rFonts w:cs="Arial"/>
        </w:rPr>
        <w:t xml:space="preserve">intentional </w:t>
      </w:r>
      <w:r w:rsidR="00F26D09" w:rsidRPr="00F573F6">
        <w:rPr>
          <w:rFonts w:cs="Arial"/>
        </w:rPr>
        <w:t>lapses violated</w:t>
      </w:r>
      <w:r w:rsidR="008034B2">
        <w:rPr>
          <w:rFonts w:cs="Arial"/>
        </w:rPr>
        <w:t xml:space="preserve"> the</w:t>
      </w:r>
      <w:r w:rsidR="00F26D09" w:rsidRPr="00F573F6">
        <w:rPr>
          <w:rFonts w:cs="Arial"/>
        </w:rPr>
        <w:t xml:space="preserve"> </w:t>
      </w:r>
      <w:r w:rsidR="00706265" w:rsidRPr="00F573F6">
        <w:rPr>
          <w:rFonts w:cs="Arial"/>
        </w:rPr>
        <w:t>IFAC Code of Ethics for Professional Accountants</w:t>
      </w:r>
      <w:r w:rsidR="006B7C04">
        <w:rPr>
          <w:rFonts w:cs="Arial"/>
        </w:rPr>
        <w:t>.</w:t>
      </w:r>
    </w:p>
    <w:p w14:paraId="35EE82DD" w14:textId="77777777" w:rsidR="006B7C04" w:rsidRPr="00F573F6" w:rsidRDefault="006B7C04" w:rsidP="00F268C1">
      <w:pPr>
        <w:spacing w:line="360" w:lineRule="auto"/>
        <w:rPr>
          <w:rFonts w:cs="Arial"/>
        </w:rPr>
      </w:pPr>
    </w:p>
    <w:p w14:paraId="411686F2" w14:textId="3693D739" w:rsidR="00D570C3" w:rsidRDefault="006B4218" w:rsidP="00F268C1">
      <w:pPr>
        <w:spacing w:line="360" w:lineRule="auto"/>
        <w:rPr>
          <w:rFonts w:cs="Arial"/>
        </w:rPr>
      </w:pPr>
      <w:r w:rsidRPr="00F573F6">
        <w:rPr>
          <w:rFonts w:cs="Arial"/>
        </w:rPr>
        <w:t xml:space="preserve">The main event </w:t>
      </w:r>
      <w:r w:rsidR="005F1F39" w:rsidRPr="00F573F6">
        <w:rPr>
          <w:rFonts w:cs="Arial"/>
        </w:rPr>
        <w:t xml:space="preserve">that </w:t>
      </w:r>
      <w:r w:rsidRPr="00F573F6">
        <w:rPr>
          <w:rFonts w:cs="Arial"/>
        </w:rPr>
        <w:t>started Wirecard’s collapse</w:t>
      </w:r>
      <w:r w:rsidR="005F1F39" w:rsidRPr="00F573F6">
        <w:rPr>
          <w:rFonts w:cs="Arial"/>
        </w:rPr>
        <w:t xml:space="preserve"> </w:t>
      </w:r>
      <w:r w:rsidR="00A878BF" w:rsidRPr="00F573F6">
        <w:rPr>
          <w:rFonts w:cs="Arial"/>
        </w:rPr>
        <w:t>was the allegations made by the whistleblower</w:t>
      </w:r>
      <w:r w:rsidR="001C03D4" w:rsidRPr="00F573F6">
        <w:rPr>
          <w:rFonts w:cs="Arial"/>
        </w:rPr>
        <w:t xml:space="preserve"> </w:t>
      </w:r>
      <w:hyperlink r:id="rId32" w:history="1">
        <w:r w:rsidR="001C03D4" w:rsidRPr="00F573F6">
          <w:rPr>
            <w:rStyle w:val="Hyperlink"/>
            <w:rFonts w:cs="Arial"/>
          </w:rPr>
          <w:t>Pav Gill</w:t>
        </w:r>
      </w:hyperlink>
      <w:r w:rsidR="008D4572" w:rsidRPr="00F573F6">
        <w:rPr>
          <w:rStyle w:val="FootnoteReference"/>
          <w:rFonts w:cs="Arial"/>
        </w:rPr>
        <w:footnoteReference w:id="11"/>
      </w:r>
      <w:r w:rsidR="00A878BF" w:rsidRPr="00F573F6">
        <w:rPr>
          <w:rFonts w:cs="Arial"/>
        </w:rPr>
        <w:t>about “round-trippin</w:t>
      </w:r>
      <w:r w:rsidR="00BA4890">
        <w:rPr>
          <w:rFonts w:cs="Arial"/>
        </w:rPr>
        <w:t>g</w:t>
      </w:r>
      <w:r w:rsidR="00E862A7" w:rsidRPr="00F573F6">
        <w:rPr>
          <w:rStyle w:val="FootnoteReference"/>
          <w:rFonts w:cs="Arial"/>
        </w:rPr>
        <w:footnoteReference w:id="12"/>
      </w:r>
      <w:r w:rsidR="00A878BF" w:rsidRPr="00F573F6">
        <w:rPr>
          <w:rFonts w:cs="Arial"/>
        </w:rPr>
        <w:t xml:space="preserve">” in the company’s </w:t>
      </w:r>
      <w:r w:rsidR="00B07C8B" w:rsidRPr="00F573F6">
        <w:rPr>
          <w:rFonts w:cs="Arial"/>
        </w:rPr>
        <w:t xml:space="preserve">Singapore headquarters. As reported </w:t>
      </w:r>
      <w:r w:rsidR="00E05373" w:rsidRPr="00F573F6">
        <w:rPr>
          <w:rFonts w:cs="Arial"/>
        </w:rPr>
        <w:t xml:space="preserve">by </w:t>
      </w:r>
      <w:hyperlink r:id="rId33" w:history="1">
        <w:r w:rsidR="00941C95" w:rsidRPr="00F573F6">
          <w:rPr>
            <w:rStyle w:val="Hyperlink"/>
            <w:rFonts w:cs="Arial"/>
          </w:rPr>
          <w:t>McCrum et al. (2021)</w:t>
        </w:r>
      </w:hyperlink>
      <w:r w:rsidR="001C03D4" w:rsidRPr="00F573F6">
        <w:rPr>
          <w:rFonts w:cs="Arial"/>
        </w:rPr>
        <w:t xml:space="preserve">, </w:t>
      </w:r>
      <w:r w:rsidR="0059632E" w:rsidRPr="00F573F6">
        <w:rPr>
          <w:rFonts w:cs="Arial"/>
        </w:rPr>
        <w:t xml:space="preserve">Gill was approached by two Wirecard employees </w:t>
      </w:r>
      <w:r w:rsidR="003564ED">
        <w:rPr>
          <w:rFonts w:cs="Arial"/>
        </w:rPr>
        <w:t>concerning</w:t>
      </w:r>
      <w:r w:rsidR="00E70618" w:rsidRPr="00F573F6">
        <w:rPr>
          <w:rFonts w:cs="Arial"/>
        </w:rPr>
        <w:t xml:space="preserve"> </w:t>
      </w:r>
      <w:r w:rsidR="00F11551">
        <w:rPr>
          <w:rFonts w:cs="Arial"/>
        </w:rPr>
        <w:t>to</w:t>
      </w:r>
      <w:r w:rsidR="00E70618" w:rsidRPr="00F573F6">
        <w:rPr>
          <w:rFonts w:cs="Arial"/>
        </w:rPr>
        <w:t xml:space="preserve"> the</w:t>
      </w:r>
      <w:r w:rsidR="00D17D56" w:rsidRPr="00F573F6">
        <w:rPr>
          <w:rFonts w:cs="Arial"/>
        </w:rPr>
        <w:t xml:space="preserve"> above</w:t>
      </w:r>
      <w:r w:rsidR="00E70618" w:rsidRPr="00F573F6">
        <w:rPr>
          <w:rFonts w:cs="Arial"/>
        </w:rPr>
        <w:t xml:space="preserve"> allegations</w:t>
      </w:r>
      <w:r w:rsidR="00D17D56" w:rsidRPr="00F573F6">
        <w:rPr>
          <w:rFonts w:cs="Arial"/>
        </w:rPr>
        <w:t>. Despite uncovering alle</w:t>
      </w:r>
      <w:r w:rsidR="0033602E" w:rsidRPr="00F573F6">
        <w:rPr>
          <w:rFonts w:cs="Arial"/>
        </w:rPr>
        <w:t xml:space="preserve">ged </w:t>
      </w:r>
      <w:r w:rsidR="00D17D56" w:rsidRPr="00F573F6">
        <w:rPr>
          <w:rFonts w:cs="Arial"/>
        </w:rPr>
        <w:t>misconduct</w:t>
      </w:r>
      <w:r w:rsidR="0033602E" w:rsidRPr="00F573F6">
        <w:rPr>
          <w:rFonts w:cs="Arial"/>
        </w:rPr>
        <w:t xml:space="preserve">, the internal </w:t>
      </w:r>
      <w:r w:rsidR="006F68B9" w:rsidRPr="00F573F6">
        <w:rPr>
          <w:rFonts w:cs="Arial"/>
        </w:rPr>
        <w:t xml:space="preserve">investigation was intentionally undermined and discontinued by the </w:t>
      </w:r>
      <w:r w:rsidR="004122B5" w:rsidRPr="00F573F6">
        <w:rPr>
          <w:rFonts w:cs="Arial"/>
        </w:rPr>
        <w:t>COO himself.</w:t>
      </w:r>
      <w:r w:rsidR="00D17D56" w:rsidRPr="00F573F6">
        <w:rPr>
          <w:rFonts w:cs="Arial"/>
        </w:rPr>
        <w:t xml:space="preserve"> </w:t>
      </w:r>
      <w:r w:rsidR="004122B5" w:rsidRPr="00F573F6">
        <w:rPr>
          <w:rFonts w:cs="Arial"/>
        </w:rPr>
        <w:t>Shortly after,</w:t>
      </w:r>
      <w:r w:rsidR="001E3EE0" w:rsidRPr="00F573F6">
        <w:rPr>
          <w:rFonts w:cs="Arial"/>
        </w:rPr>
        <w:t xml:space="preserve"> Gill was forced out of the company</w:t>
      </w:r>
      <w:r w:rsidR="005C0B13" w:rsidRPr="00F573F6">
        <w:rPr>
          <w:rFonts w:cs="Arial"/>
        </w:rPr>
        <w:t xml:space="preserve">. </w:t>
      </w:r>
    </w:p>
    <w:p w14:paraId="6790EA72" w14:textId="77777777" w:rsidR="00AF67F1" w:rsidRDefault="00AF67F1" w:rsidP="00F268C1">
      <w:pPr>
        <w:spacing w:line="360" w:lineRule="auto"/>
        <w:rPr>
          <w:rFonts w:cs="Arial"/>
        </w:rPr>
      </w:pPr>
    </w:p>
    <w:p w14:paraId="50317F3F" w14:textId="77777777" w:rsidR="00E40943" w:rsidRPr="00F573F6" w:rsidRDefault="00E40943" w:rsidP="00F268C1">
      <w:pPr>
        <w:spacing w:line="360" w:lineRule="auto"/>
        <w:rPr>
          <w:rFonts w:cs="Arial"/>
        </w:rPr>
      </w:pPr>
    </w:p>
    <w:bookmarkEnd w:id="6"/>
    <w:bookmarkEnd w:id="7"/>
    <w:p w14:paraId="2474773A" w14:textId="77777777" w:rsidR="00B44D08" w:rsidRDefault="00B44D08" w:rsidP="00611C93">
      <w:pPr>
        <w:pStyle w:val="Heading2"/>
        <w:spacing w:line="360" w:lineRule="auto"/>
        <w:rPr>
          <w:b/>
          <w:bCs/>
        </w:rPr>
      </w:pPr>
    </w:p>
    <w:p w14:paraId="058C92B2" w14:textId="77777777" w:rsidR="00B44D08" w:rsidRDefault="00B44D08" w:rsidP="008F5A66">
      <w:pPr>
        <w:pStyle w:val="Heading2"/>
        <w:spacing w:line="360" w:lineRule="auto"/>
        <w:rPr>
          <w:b/>
          <w:bCs/>
        </w:rPr>
      </w:pPr>
    </w:p>
    <w:p w14:paraId="61F9968D" w14:textId="77777777" w:rsidR="00B44D08" w:rsidRDefault="00B44D08" w:rsidP="008F5A66">
      <w:pPr>
        <w:pStyle w:val="Heading2"/>
        <w:spacing w:line="360" w:lineRule="auto"/>
        <w:rPr>
          <w:b/>
          <w:bCs/>
        </w:rPr>
      </w:pPr>
    </w:p>
    <w:p w14:paraId="1D4FA1A0" w14:textId="77777777" w:rsidR="00B44D08" w:rsidRDefault="00B44D08" w:rsidP="008F5A66">
      <w:pPr>
        <w:pStyle w:val="Heading2"/>
        <w:spacing w:line="360" w:lineRule="auto"/>
        <w:rPr>
          <w:b/>
          <w:bCs/>
        </w:rPr>
      </w:pPr>
    </w:p>
    <w:p w14:paraId="555369F2" w14:textId="77777777" w:rsidR="00B44D08" w:rsidRDefault="00B44D08" w:rsidP="008F5A66">
      <w:pPr>
        <w:pStyle w:val="Heading2"/>
        <w:spacing w:line="360" w:lineRule="auto"/>
        <w:rPr>
          <w:b/>
          <w:bCs/>
        </w:rPr>
      </w:pPr>
    </w:p>
    <w:p w14:paraId="2FDEBCF6" w14:textId="77777777" w:rsidR="00B44D08" w:rsidRDefault="00B44D08" w:rsidP="008F5A66">
      <w:pPr>
        <w:pStyle w:val="Heading2"/>
        <w:spacing w:line="360" w:lineRule="auto"/>
        <w:rPr>
          <w:b/>
          <w:bCs/>
        </w:rPr>
      </w:pPr>
    </w:p>
    <w:p w14:paraId="23DFC943" w14:textId="77777777" w:rsidR="00B44D08" w:rsidRDefault="00B44D08" w:rsidP="008F5A66">
      <w:pPr>
        <w:pStyle w:val="Heading2"/>
        <w:spacing w:line="360" w:lineRule="auto"/>
        <w:rPr>
          <w:b/>
          <w:bCs/>
        </w:rPr>
      </w:pPr>
    </w:p>
    <w:p w14:paraId="4E7DD17F" w14:textId="77777777" w:rsidR="004266DB" w:rsidRDefault="004266DB" w:rsidP="008F5A66">
      <w:pPr>
        <w:pStyle w:val="Heading2"/>
        <w:spacing w:line="360" w:lineRule="auto"/>
        <w:rPr>
          <w:b/>
          <w:bCs/>
        </w:rPr>
      </w:pPr>
    </w:p>
    <w:p w14:paraId="63EB4F48" w14:textId="77777777" w:rsidR="00791D3F" w:rsidRDefault="00791D3F" w:rsidP="008F5A66">
      <w:pPr>
        <w:pStyle w:val="Heading2"/>
        <w:spacing w:line="360" w:lineRule="auto"/>
        <w:rPr>
          <w:b/>
          <w:bCs/>
        </w:rPr>
      </w:pPr>
    </w:p>
    <w:p w14:paraId="480248AF" w14:textId="77777777" w:rsidR="00791D3F" w:rsidRPr="00791D3F" w:rsidRDefault="00791D3F" w:rsidP="00791D3F"/>
    <w:p w14:paraId="66D11CEC" w14:textId="01346A0E" w:rsidR="008F5A66" w:rsidRPr="00552DE0" w:rsidRDefault="00B56741" w:rsidP="008F5A66">
      <w:pPr>
        <w:pStyle w:val="Heading2"/>
        <w:spacing w:line="360" w:lineRule="auto"/>
        <w:rPr>
          <w:rFonts w:ascii="Arial" w:hAnsi="Arial" w:cs="Arial"/>
          <w:b/>
          <w:bCs/>
        </w:rPr>
      </w:pPr>
      <w:bookmarkStart w:id="9" w:name="_Toc170080173"/>
      <w:r w:rsidRPr="00552DE0">
        <w:rPr>
          <w:rFonts w:ascii="Arial" w:hAnsi="Arial" w:cs="Arial"/>
          <w:b/>
          <w:bCs/>
        </w:rPr>
        <w:t>Audit Failures and Misconduct</w:t>
      </w:r>
      <w:bookmarkEnd w:id="9"/>
    </w:p>
    <w:p w14:paraId="2368BE61" w14:textId="77777777" w:rsidR="00D04E1C" w:rsidRPr="00552DE0" w:rsidRDefault="00783EC1" w:rsidP="00783EC1">
      <w:pPr>
        <w:pStyle w:val="Heading3"/>
        <w:rPr>
          <w:rFonts w:ascii="Arial" w:hAnsi="Arial" w:cs="Arial"/>
        </w:rPr>
      </w:pPr>
      <w:bookmarkStart w:id="10" w:name="_Toc170080174"/>
      <w:r w:rsidRPr="00552DE0">
        <w:rPr>
          <w:rFonts w:ascii="Arial" w:hAnsi="Arial" w:cs="Arial"/>
        </w:rPr>
        <w:t>Actions and Omissions by Auditors</w:t>
      </w:r>
      <w:bookmarkEnd w:id="10"/>
    </w:p>
    <w:p w14:paraId="6726E239" w14:textId="77777777" w:rsidR="00D04E1C" w:rsidRDefault="00D04E1C" w:rsidP="00D04E1C"/>
    <w:p w14:paraId="0109D39C" w14:textId="5099EF89" w:rsidR="008471E0" w:rsidRDefault="008471E0" w:rsidP="00F268C1">
      <w:pPr>
        <w:spacing w:line="360" w:lineRule="auto"/>
        <w:rPr>
          <w:rFonts w:cs="Arial"/>
        </w:rPr>
      </w:pPr>
      <w:r w:rsidRPr="00F573F6">
        <w:rPr>
          <w:rFonts w:cs="Arial"/>
        </w:rPr>
        <w:t xml:space="preserve">The auditors, </w:t>
      </w:r>
      <w:r w:rsidR="00F674B9">
        <w:rPr>
          <w:rFonts w:cs="Arial"/>
        </w:rPr>
        <w:t>EY</w:t>
      </w:r>
      <w:r w:rsidR="00554F84" w:rsidRPr="00F573F6">
        <w:rPr>
          <w:rFonts w:cs="Arial"/>
        </w:rPr>
        <w:t>,</w:t>
      </w:r>
      <w:r w:rsidRPr="00F573F6">
        <w:rPr>
          <w:rFonts w:cs="Arial"/>
        </w:rPr>
        <w:t xml:space="preserve"> failed to uphold</w:t>
      </w:r>
      <w:r w:rsidR="00F11551">
        <w:rPr>
          <w:rFonts w:cs="Arial"/>
        </w:rPr>
        <w:t xml:space="preserve"> </w:t>
      </w:r>
      <w:r w:rsidRPr="00F573F6">
        <w:rPr>
          <w:rFonts w:cs="Arial"/>
        </w:rPr>
        <w:t>professional ethics and auditing standards. Specific audit failures</w:t>
      </w:r>
      <w:r w:rsidR="00594CF7" w:rsidRPr="00F573F6">
        <w:rPr>
          <w:rFonts w:cs="Arial"/>
        </w:rPr>
        <w:t xml:space="preserve"> </w:t>
      </w:r>
      <w:r w:rsidR="00F3475E" w:rsidRPr="00F573F6">
        <w:rPr>
          <w:rFonts w:cs="Arial"/>
        </w:rPr>
        <w:t>included:</w:t>
      </w:r>
    </w:p>
    <w:p w14:paraId="2B0983AF" w14:textId="77777777" w:rsidR="008040AF" w:rsidRPr="007C2C48" w:rsidRDefault="008040AF" w:rsidP="00F268C1">
      <w:pPr>
        <w:spacing w:line="360" w:lineRule="auto"/>
        <w:rPr>
          <w:rFonts w:cs="Arial"/>
          <w:b/>
          <w:bCs/>
        </w:rPr>
      </w:pPr>
    </w:p>
    <w:p w14:paraId="0A461F23" w14:textId="20C67D6F" w:rsidR="00B85994" w:rsidRPr="007C2C48" w:rsidRDefault="00E87116" w:rsidP="00F268C1">
      <w:pPr>
        <w:spacing w:line="360" w:lineRule="auto"/>
        <w:ind w:left="60"/>
        <w:rPr>
          <w:rFonts w:cs="Arial"/>
          <w:b/>
          <w:bCs/>
        </w:rPr>
      </w:pPr>
      <w:r w:rsidRPr="007C2C48">
        <w:rPr>
          <w:rFonts w:cs="Arial"/>
          <w:b/>
          <w:bCs/>
        </w:rPr>
        <w:t>Di</w:t>
      </w:r>
      <w:r w:rsidR="00B85994" w:rsidRPr="007C2C48">
        <w:rPr>
          <w:rFonts w:cs="Arial"/>
          <w:b/>
          <w:bCs/>
        </w:rPr>
        <w:t xml:space="preserve">smissal </w:t>
      </w:r>
      <w:r w:rsidR="00F11551">
        <w:rPr>
          <w:rFonts w:cs="Arial"/>
          <w:b/>
          <w:bCs/>
        </w:rPr>
        <w:t>o</w:t>
      </w:r>
      <w:r w:rsidR="003947E8" w:rsidRPr="007C2C48">
        <w:rPr>
          <w:rFonts w:cs="Arial"/>
          <w:b/>
          <w:bCs/>
        </w:rPr>
        <w:t xml:space="preserve">f </w:t>
      </w:r>
      <w:r w:rsidR="00B85994" w:rsidRPr="007C2C48">
        <w:rPr>
          <w:rFonts w:cs="Arial"/>
          <w:b/>
          <w:bCs/>
        </w:rPr>
        <w:t>Red Flags</w:t>
      </w:r>
      <w:r w:rsidR="003947E8" w:rsidRPr="007C2C48">
        <w:rPr>
          <w:rFonts w:cs="Arial"/>
          <w:b/>
          <w:bCs/>
        </w:rPr>
        <w:t>:</w:t>
      </w:r>
    </w:p>
    <w:p w14:paraId="33B28294" w14:textId="28DAA347" w:rsidR="00F6674F" w:rsidRDefault="00FD684A" w:rsidP="001C12B2">
      <w:pPr>
        <w:spacing w:line="360" w:lineRule="auto"/>
        <w:ind w:left="60"/>
        <w:rPr>
          <w:rFonts w:cs="Arial"/>
        </w:rPr>
      </w:pPr>
      <w:r w:rsidRPr="00F573F6">
        <w:rPr>
          <w:rFonts w:cs="Arial"/>
        </w:rPr>
        <w:t xml:space="preserve">As reported by </w:t>
      </w:r>
      <w:hyperlink r:id="rId34" w:history="1">
        <w:r w:rsidR="00F80266" w:rsidRPr="00F573F6">
          <w:rPr>
            <w:rStyle w:val="Hyperlink"/>
            <w:rFonts w:cs="Arial"/>
          </w:rPr>
          <w:t>Storbeck</w:t>
        </w:r>
        <w:r w:rsidR="00F8675A">
          <w:rPr>
            <w:rStyle w:val="Hyperlink"/>
            <w:rFonts w:cs="Arial"/>
          </w:rPr>
          <w:t xml:space="preserve"> </w:t>
        </w:r>
        <w:r w:rsidR="00211877">
          <w:rPr>
            <w:rStyle w:val="Hyperlink"/>
            <w:rFonts w:cs="Arial"/>
          </w:rPr>
          <w:t>(</w:t>
        </w:r>
        <w:r w:rsidR="00F80266" w:rsidRPr="00F573F6">
          <w:rPr>
            <w:rStyle w:val="Hyperlink"/>
            <w:rFonts w:cs="Arial"/>
          </w:rPr>
          <w:t>2021b)</w:t>
        </w:r>
      </w:hyperlink>
      <w:r w:rsidR="00F80266" w:rsidRPr="00F573F6">
        <w:rPr>
          <w:rFonts w:cs="Arial"/>
        </w:rPr>
        <w:t xml:space="preserve">, </w:t>
      </w:r>
      <w:r w:rsidR="00F674B9">
        <w:rPr>
          <w:rFonts w:cs="Arial"/>
        </w:rPr>
        <w:t>EY</w:t>
      </w:r>
      <w:r w:rsidR="006C54B3" w:rsidRPr="00F573F6">
        <w:rPr>
          <w:rFonts w:cs="Arial"/>
        </w:rPr>
        <w:t xml:space="preserve"> dismissed the “red flags</w:t>
      </w:r>
      <w:r w:rsidR="00F8675A">
        <w:rPr>
          <w:rFonts w:cs="Arial"/>
        </w:rPr>
        <w:t>,</w:t>
      </w:r>
      <w:r w:rsidR="006C54B3" w:rsidRPr="00F573F6">
        <w:rPr>
          <w:rFonts w:cs="Arial"/>
        </w:rPr>
        <w:t xml:space="preserve">” </w:t>
      </w:r>
      <w:r w:rsidR="001F6342" w:rsidRPr="00F573F6">
        <w:rPr>
          <w:rFonts w:cs="Arial"/>
        </w:rPr>
        <w:t>indicat</w:t>
      </w:r>
      <w:r w:rsidR="006A0DFA" w:rsidRPr="00F573F6">
        <w:rPr>
          <w:rFonts w:cs="Arial"/>
        </w:rPr>
        <w:t xml:space="preserve">ing </w:t>
      </w:r>
      <w:r w:rsidR="001F6342" w:rsidRPr="00F573F6">
        <w:rPr>
          <w:rFonts w:cs="Arial"/>
        </w:rPr>
        <w:t>accounting manipulations</w:t>
      </w:r>
      <w:r w:rsidR="000E2BE5" w:rsidRPr="00F573F6">
        <w:rPr>
          <w:rFonts w:cs="Arial"/>
        </w:rPr>
        <w:t xml:space="preserve"> that </w:t>
      </w:r>
      <w:r w:rsidR="006A0DFA" w:rsidRPr="00F573F6">
        <w:rPr>
          <w:rFonts w:cs="Arial"/>
        </w:rPr>
        <w:t>arose</w:t>
      </w:r>
      <w:r w:rsidR="000E2BE5" w:rsidRPr="00F573F6">
        <w:rPr>
          <w:rFonts w:cs="Arial"/>
        </w:rPr>
        <w:t xml:space="preserve"> </w:t>
      </w:r>
      <w:r w:rsidR="00546691" w:rsidRPr="00F573F6">
        <w:rPr>
          <w:rFonts w:cs="Arial"/>
        </w:rPr>
        <w:t xml:space="preserve">in response to </w:t>
      </w:r>
      <w:r w:rsidR="00054C76">
        <w:rPr>
          <w:rFonts w:cs="Arial"/>
        </w:rPr>
        <w:t xml:space="preserve">the </w:t>
      </w:r>
      <w:r w:rsidR="00546691" w:rsidRPr="00F573F6">
        <w:rPr>
          <w:rFonts w:cs="Arial"/>
        </w:rPr>
        <w:t>whistleblower’s allegations.</w:t>
      </w:r>
      <w:r w:rsidR="001C12B2">
        <w:rPr>
          <w:rFonts w:cs="Arial"/>
        </w:rPr>
        <w:t xml:space="preserve"> </w:t>
      </w:r>
    </w:p>
    <w:p w14:paraId="051016C4" w14:textId="77777777" w:rsidR="00F6674F" w:rsidRDefault="00F6674F" w:rsidP="001C12B2">
      <w:pPr>
        <w:spacing w:line="360" w:lineRule="auto"/>
        <w:ind w:left="60"/>
        <w:rPr>
          <w:rFonts w:cs="Arial"/>
        </w:rPr>
      </w:pPr>
    </w:p>
    <w:p w14:paraId="0A54B6C4" w14:textId="3D1132DB" w:rsidR="00F6674F" w:rsidRPr="007C2C48" w:rsidRDefault="00F6674F" w:rsidP="001C12B2">
      <w:pPr>
        <w:spacing w:line="360" w:lineRule="auto"/>
        <w:ind w:left="60"/>
        <w:rPr>
          <w:rFonts w:cs="Arial"/>
          <w:b/>
          <w:bCs/>
        </w:rPr>
      </w:pPr>
      <w:r w:rsidRPr="007C2C48">
        <w:rPr>
          <w:rFonts w:cs="Arial"/>
          <w:b/>
          <w:bCs/>
        </w:rPr>
        <w:t xml:space="preserve">Reliance </w:t>
      </w:r>
      <w:r w:rsidR="00F8675A">
        <w:rPr>
          <w:rFonts w:cs="Arial"/>
          <w:b/>
          <w:bCs/>
        </w:rPr>
        <w:t>o</w:t>
      </w:r>
      <w:r w:rsidR="003947E8" w:rsidRPr="007C2C48">
        <w:rPr>
          <w:rFonts w:cs="Arial"/>
          <w:b/>
          <w:bCs/>
        </w:rPr>
        <w:t xml:space="preserve">n </w:t>
      </w:r>
      <w:r w:rsidRPr="007C2C48">
        <w:rPr>
          <w:rFonts w:cs="Arial"/>
          <w:b/>
          <w:bCs/>
        </w:rPr>
        <w:t>Verbal Assurance</w:t>
      </w:r>
      <w:r w:rsidR="003947E8" w:rsidRPr="007C2C48">
        <w:rPr>
          <w:rFonts w:cs="Arial"/>
          <w:b/>
          <w:bCs/>
        </w:rPr>
        <w:t xml:space="preserve">: </w:t>
      </w:r>
    </w:p>
    <w:p w14:paraId="2511711A" w14:textId="08AFCE60" w:rsidR="00E01091" w:rsidRPr="001C12B2" w:rsidRDefault="00DF5C1E" w:rsidP="001C12B2">
      <w:pPr>
        <w:spacing w:line="360" w:lineRule="auto"/>
        <w:ind w:left="60"/>
        <w:rPr>
          <w:rStyle w:val="Hyperlink"/>
          <w:rFonts w:cs="Arial"/>
          <w:color w:val="auto"/>
          <w:u w:val="none"/>
        </w:rPr>
      </w:pPr>
      <w:r w:rsidRPr="007B44BB">
        <w:rPr>
          <w:rFonts w:cs="Arial"/>
        </w:rPr>
        <w:t xml:space="preserve">There was </w:t>
      </w:r>
      <w:r w:rsidR="008F0B9F" w:rsidRPr="007B44BB">
        <w:rPr>
          <w:rFonts w:cs="Arial"/>
        </w:rPr>
        <w:t>heavy reliance on verbal assurances or unverified documentation</w:t>
      </w:r>
      <w:r w:rsidR="00F8675A" w:rsidRPr="007B44BB">
        <w:rPr>
          <w:rFonts w:cs="Arial"/>
        </w:rPr>
        <w:t>,</w:t>
      </w:r>
      <w:r w:rsidR="008F0B9F" w:rsidRPr="007B44BB">
        <w:rPr>
          <w:rFonts w:cs="Arial"/>
        </w:rPr>
        <w:t xml:space="preserve"> </w:t>
      </w:r>
      <w:r w:rsidR="00A65D06" w:rsidRPr="007B44BB">
        <w:rPr>
          <w:rFonts w:cs="Arial"/>
        </w:rPr>
        <w:t>especially for the amount of “€</w:t>
      </w:r>
      <w:r w:rsidR="00A65D06" w:rsidRPr="00F573F6">
        <w:rPr>
          <w:rFonts w:cs="Arial"/>
        </w:rPr>
        <w:t>1.9 billion</w:t>
      </w:r>
      <w:r w:rsidR="00931D48">
        <w:rPr>
          <w:rFonts w:cs="Arial"/>
        </w:rPr>
        <w:t>.</w:t>
      </w:r>
      <w:r w:rsidR="00A65D06" w:rsidRPr="00F573F6">
        <w:rPr>
          <w:rFonts w:cs="Arial"/>
        </w:rPr>
        <w:t xml:space="preserve">” </w:t>
      </w:r>
      <w:r w:rsidR="00F268C1">
        <w:rPr>
          <w:rFonts w:cs="Arial"/>
        </w:rPr>
        <w:t xml:space="preserve">Despite this, </w:t>
      </w:r>
      <w:r w:rsidR="00F674B9">
        <w:rPr>
          <w:rFonts w:cs="Arial"/>
        </w:rPr>
        <w:t>EY</w:t>
      </w:r>
      <w:r w:rsidR="00F268C1">
        <w:rPr>
          <w:rFonts w:cs="Arial"/>
        </w:rPr>
        <w:t xml:space="preserve"> </w:t>
      </w:r>
      <w:r w:rsidR="00A65D06" w:rsidRPr="00F573F6">
        <w:rPr>
          <w:rFonts w:cs="Arial"/>
        </w:rPr>
        <w:t xml:space="preserve">provided an unqualified audit opinion </w:t>
      </w:r>
      <w:hyperlink r:id="rId35" w:history="1">
        <w:r w:rsidR="008579D4" w:rsidRPr="00F573F6">
          <w:rPr>
            <w:rStyle w:val="Hyperlink"/>
            <w:rFonts w:cs="Arial"/>
          </w:rPr>
          <w:t>(Storbeck, 2021a).</w:t>
        </w:r>
      </w:hyperlink>
    </w:p>
    <w:p w14:paraId="4056B114" w14:textId="77777777" w:rsidR="008040AF" w:rsidRPr="00F573F6" w:rsidRDefault="008040AF" w:rsidP="00F268C1">
      <w:pPr>
        <w:spacing w:line="360" w:lineRule="auto"/>
        <w:ind w:left="60"/>
        <w:rPr>
          <w:rStyle w:val="Hyperlink"/>
          <w:rFonts w:cs="Arial"/>
        </w:rPr>
      </w:pPr>
    </w:p>
    <w:p w14:paraId="3A64345E" w14:textId="66DB8E60" w:rsidR="00EB50CD" w:rsidRPr="007C2C48" w:rsidRDefault="00546F3C" w:rsidP="00F268C1">
      <w:pPr>
        <w:spacing w:line="360" w:lineRule="auto"/>
        <w:ind w:left="60"/>
        <w:rPr>
          <w:rFonts w:cs="Arial"/>
          <w:b/>
          <w:bCs/>
        </w:rPr>
      </w:pPr>
      <w:r w:rsidRPr="007C2C48">
        <w:rPr>
          <w:rFonts w:cs="Arial"/>
          <w:b/>
          <w:bCs/>
        </w:rPr>
        <w:t xml:space="preserve">Failure </w:t>
      </w:r>
      <w:r w:rsidR="00931D48">
        <w:rPr>
          <w:rFonts w:cs="Arial"/>
          <w:b/>
          <w:bCs/>
        </w:rPr>
        <w:t>t</w:t>
      </w:r>
      <w:r w:rsidR="003947E8" w:rsidRPr="007C2C48">
        <w:rPr>
          <w:rFonts w:cs="Arial"/>
          <w:b/>
          <w:bCs/>
        </w:rPr>
        <w:t xml:space="preserve">o </w:t>
      </w:r>
      <w:r w:rsidR="00931D48">
        <w:rPr>
          <w:rFonts w:cs="Arial"/>
          <w:b/>
          <w:bCs/>
        </w:rPr>
        <w:t>v</w:t>
      </w:r>
      <w:r w:rsidR="003947E8" w:rsidRPr="007C2C48">
        <w:rPr>
          <w:rFonts w:cs="Arial"/>
          <w:b/>
          <w:bCs/>
        </w:rPr>
        <w:t xml:space="preserve">erify </w:t>
      </w:r>
      <w:r w:rsidR="00931D48">
        <w:rPr>
          <w:rFonts w:cs="Arial"/>
          <w:b/>
          <w:bCs/>
        </w:rPr>
        <w:t>t</w:t>
      </w:r>
      <w:r w:rsidR="003947E8" w:rsidRPr="007C2C48">
        <w:rPr>
          <w:rFonts w:cs="Arial"/>
          <w:b/>
          <w:bCs/>
        </w:rPr>
        <w:t xml:space="preserve">ransactions </w:t>
      </w:r>
      <w:r w:rsidR="00931D48">
        <w:rPr>
          <w:rFonts w:cs="Arial"/>
          <w:b/>
          <w:bCs/>
        </w:rPr>
        <w:t>w</w:t>
      </w:r>
      <w:r w:rsidR="003947E8" w:rsidRPr="007C2C48">
        <w:rPr>
          <w:rFonts w:cs="Arial"/>
          <w:b/>
          <w:bCs/>
        </w:rPr>
        <w:t xml:space="preserve">ith </w:t>
      </w:r>
      <w:r w:rsidR="00681FA3">
        <w:rPr>
          <w:rFonts w:cs="Arial"/>
          <w:b/>
          <w:bCs/>
        </w:rPr>
        <w:t>TPAs</w:t>
      </w:r>
      <w:r w:rsidR="003947E8" w:rsidRPr="007C2C48">
        <w:rPr>
          <w:rFonts w:cs="Arial"/>
          <w:b/>
          <w:bCs/>
        </w:rPr>
        <w:t>:</w:t>
      </w:r>
    </w:p>
    <w:p w14:paraId="5DB5AFE2" w14:textId="474016C8" w:rsidR="00C510C8" w:rsidRDefault="00F674B9" w:rsidP="00F268C1">
      <w:pPr>
        <w:spacing w:line="360" w:lineRule="auto"/>
        <w:ind w:left="60"/>
        <w:rPr>
          <w:rFonts w:cs="Arial"/>
        </w:rPr>
      </w:pPr>
      <w:r>
        <w:rPr>
          <w:rFonts w:cs="Arial"/>
        </w:rPr>
        <w:t>EY</w:t>
      </w:r>
      <w:r w:rsidR="0008335C" w:rsidRPr="00F573F6">
        <w:rPr>
          <w:rFonts w:cs="Arial"/>
        </w:rPr>
        <w:t xml:space="preserve"> </w:t>
      </w:r>
      <w:r w:rsidR="008040AF">
        <w:rPr>
          <w:rFonts w:cs="Arial"/>
        </w:rPr>
        <w:t>failed to</w:t>
      </w:r>
      <w:r w:rsidR="0008335C" w:rsidRPr="00F573F6">
        <w:rPr>
          <w:rFonts w:cs="Arial"/>
        </w:rPr>
        <w:t xml:space="preserve"> verify the transactions between Wirecard and its TPAs</w:t>
      </w:r>
      <w:r w:rsidR="005D5905" w:rsidRPr="00F573F6">
        <w:rPr>
          <w:rStyle w:val="FootnoteReference"/>
          <w:rFonts w:cs="Arial"/>
        </w:rPr>
        <w:footnoteReference w:id="13"/>
      </w:r>
      <w:r w:rsidR="00C510C8" w:rsidRPr="00F573F6">
        <w:rPr>
          <w:rFonts w:cs="Arial"/>
        </w:rPr>
        <w:t xml:space="preserve">, </w:t>
      </w:r>
      <w:r w:rsidR="008579D4" w:rsidRPr="00F573F6">
        <w:rPr>
          <w:rFonts w:cs="Arial"/>
        </w:rPr>
        <w:t>which substantially deviated from the contractual terms</w:t>
      </w:r>
      <w:r w:rsidR="00931D48">
        <w:rPr>
          <w:rFonts w:cs="Arial"/>
        </w:rPr>
        <w:t>,</w:t>
      </w:r>
      <w:r w:rsidR="008579D4" w:rsidRPr="00F573F6">
        <w:rPr>
          <w:rFonts w:cs="Arial"/>
        </w:rPr>
        <w:t xml:space="preserve"> as further reported by </w:t>
      </w:r>
      <w:hyperlink r:id="rId36" w:history="1">
        <w:r w:rsidR="008579D4" w:rsidRPr="00F573F6">
          <w:rPr>
            <w:rStyle w:val="Hyperlink"/>
            <w:rFonts w:cs="Arial"/>
          </w:rPr>
          <w:t>Storbeck (2021a)</w:t>
        </w:r>
      </w:hyperlink>
      <w:r w:rsidR="00151413" w:rsidRPr="00F573F6">
        <w:rPr>
          <w:rFonts w:cs="Arial"/>
        </w:rPr>
        <w:t xml:space="preserve">. </w:t>
      </w:r>
    </w:p>
    <w:p w14:paraId="44727774" w14:textId="77777777" w:rsidR="008040AF" w:rsidRPr="007C2C48" w:rsidRDefault="008040AF" w:rsidP="00F268C1">
      <w:pPr>
        <w:spacing w:line="360" w:lineRule="auto"/>
        <w:ind w:left="60"/>
        <w:rPr>
          <w:rFonts w:cs="Arial"/>
          <w:b/>
          <w:bCs/>
        </w:rPr>
      </w:pPr>
    </w:p>
    <w:p w14:paraId="788C69DB" w14:textId="1ADE582C" w:rsidR="008422F2" w:rsidRPr="007C2C48" w:rsidRDefault="00C929A0" w:rsidP="00F268C1">
      <w:pPr>
        <w:spacing w:line="360" w:lineRule="auto"/>
        <w:ind w:left="60"/>
        <w:rPr>
          <w:rFonts w:cs="Arial"/>
          <w:b/>
          <w:bCs/>
        </w:rPr>
      </w:pPr>
      <w:r w:rsidRPr="007C2C48">
        <w:rPr>
          <w:rFonts w:cs="Arial"/>
          <w:b/>
          <w:bCs/>
        </w:rPr>
        <w:t xml:space="preserve">Failure </w:t>
      </w:r>
      <w:r w:rsidR="009E3D63" w:rsidRPr="007C2C48">
        <w:rPr>
          <w:rFonts w:cs="Arial"/>
          <w:b/>
          <w:bCs/>
        </w:rPr>
        <w:t xml:space="preserve">To Verify </w:t>
      </w:r>
      <w:r w:rsidR="008422F2" w:rsidRPr="007C2C48">
        <w:rPr>
          <w:rFonts w:cs="Arial"/>
          <w:b/>
          <w:bCs/>
        </w:rPr>
        <w:t xml:space="preserve">TPA’s </w:t>
      </w:r>
      <w:r w:rsidR="00D86E41">
        <w:rPr>
          <w:rFonts w:cs="Arial"/>
          <w:b/>
          <w:bCs/>
        </w:rPr>
        <w:t>e</w:t>
      </w:r>
      <w:r w:rsidR="009E3D63" w:rsidRPr="007C2C48">
        <w:rPr>
          <w:rFonts w:cs="Arial"/>
          <w:b/>
          <w:bCs/>
        </w:rPr>
        <w:t>xistence</w:t>
      </w:r>
      <w:r w:rsidR="008422F2" w:rsidRPr="007C2C48">
        <w:rPr>
          <w:rFonts w:cs="Arial"/>
          <w:b/>
          <w:bCs/>
        </w:rPr>
        <w:t>:</w:t>
      </w:r>
    </w:p>
    <w:p w14:paraId="2477B93A" w14:textId="022415E5" w:rsidR="005702D6" w:rsidRPr="00F573F6" w:rsidRDefault="00F674B9" w:rsidP="00F268C1">
      <w:pPr>
        <w:spacing w:line="360" w:lineRule="auto"/>
        <w:ind w:left="60"/>
        <w:rPr>
          <w:rFonts w:cs="Arial"/>
        </w:rPr>
      </w:pPr>
      <w:r w:rsidRPr="007B44BB">
        <w:rPr>
          <w:rFonts w:cs="Arial"/>
        </w:rPr>
        <w:t>EY</w:t>
      </w:r>
      <w:r w:rsidR="0048681D" w:rsidRPr="007B44BB">
        <w:rPr>
          <w:rFonts w:cs="Arial"/>
        </w:rPr>
        <w:t xml:space="preserve"> was unable to represent</w:t>
      </w:r>
      <w:r w:rsidR="0048681D" w:rsidRPr="00F573F6">
        <w:rPr>
          <w:rFonts w:cs="Arial"/>
        </w:rPr>
        <w:t xml:space="preserve"> </w:t>
      </w:r>
      <w:r w:rsidR="00054C76">
        <w:rPr>
          <w:rFonts w:cs="Arial"/>
        </w:rPr>
        <w:t xml:space="preserve">the </w:t>
      </w:r>
      <w:r w:rsidR="0048681D" w:rsidRPr="00F573F6">
        <w:rPr>
          <w:rFonts w:cs="Arial"/>
        </w:rPr>
        <w:t>existence of a</w:t>
      </w:r>
      <w:r w:rsidR="009F486C" w:rsidRPr="00F573F6">
        <w:rPr>
          <w:rFonts w:cs="Arial"/>
        </w:rPr>
        <w:t xml:space="preserve">nother TPA </w:t>
      </w:r>
      <w:r w:rsidR="005D5905" w:rsidRPr="00F573F6">
        <w:rPr>
          <w:rFonts w:cs="Arial"/>
        </w:rPr>
        <w:t>named PayEasy</w:t>
      </w:r>
      <w:r w:rsidR="00D86E41">
        <w:rPr>
          <w:rFonts w:cs="Arial"/>
        </w:rPr>
        <w:t>,</w:t>
      </w:r>
      <w:r w:rsidR="00B0722B" w:rsidRPr="00F573F6">
        <w:rPr>
          <w:rFonts w:cs="Arial"/>
        </w:rPr>
        <w:t xml:space="preserve"> which seemed to </w:t>
      </w:r>
      <w:r w:rsidR="00EB2BD9" w:rsidRPr="00F573F6">
        <w:rPr>
          <w:rFonts w:cs="Arial"/>
        </w:rPr>
        <w:t>create sig</w:t>
      </w:r>
      <w:r w:rsidR="00C16B95" w:rsidRPr="00F573F6">
        <w:rPr>
          <w:rFonts w:cs="Arial"/>
        </w:rPr>
        <w:t>nificant income</w:t>
      </w:r>
      <w:r w:rsidR="004015A9">
        <w:rPr>
          <w:rFonts w:cs="Arial"/>
        </w:rPr>
        <w:t xml:space="preserve">s </w:t>
      </w:r>
      <w:r w:rsidR="00C16B95" w:rsidRPr="00F573F6">
        <w:rPr>
          <w:rFonts w:cs="Arial"/>
        </w:rPr>
        <w:t>for the company</w:t>
      </w:r>
      <w:r w:rsidR="0048681D" w:rsidRPr="00F573F6">
        <w:rPr>
          <w:rFonts w:cs="Arial"/>
        </w:rPr>
        <w:t>, with sufficient audit evidence.</w:t>
      </w:r>
      <w:r w:rsidR="00A1364E" w:rsidRPr="00F573F6">
        <w:rPr>
          <w:rFonts w:cs="Arial"/>
        </w:rPr>
        <w:t xml:space="preserve"> </w:t>
      </w:r>
    </w:p>
    <w:p w14:paraId="4856F378" w14:textId="7537D0CE" w:rsidR="00454196" w:rsidRDefault="00F674B9" w:rsidP="00F268C1">
      <w:pPr>
        <w:spacing w:line="360" w:lineRule="auto"/>
        <w:ind w:left="60"/>
        <w:rPr>
          <w:rFonts w:cs="Arial"/>
        </w:rPr>
      </w:pPr>
      <w:r>
        <w:rPr>
          <w:rFonts w:cs="Arial"/>
        </w:rPr>
        <w:t>EY</w:t>
      </w:r>
      <w:r w:rsidR="00F1420E" w:rsidRPr="00F573F6">
        <w:rPr>
          <w:rFonts w:cs="Arial"/>
        </w:rPr>
        <w:t xml:space="preserve"> was criticised in </w:t>
      </w:r>
      <w:hyperlink r:id="rId37" w:history="1">
        <w:r w:rsidR="00F1420E" w:rsidRPr="00F573F6">
          <w:rPr>
            <w:rStyle w:val="Hyperlink"/>
            <w:rFonts w:cs="Arial"/>
          </w:rPr>
          <w:t>Storbeck et al. (2020),</w:t>
        </w:r>
      </w:hyperlink>
      <w:r w:rsidR="00F1420E" w:rsidRPr="00F573F6">
        <w:rPr>
          <w:rFonts w:cs="Arial"/>
        </w:rPr>
        <w:t xml:space="preserve"> for failing to request </w:t>
      </w:r>
      <w:r w:rsidR="00BC0E9F" w:rsidRPr="00F573F6">
        <w:rPr>
          <w:rFonts w:cs="Arial"/>
        </w:rPr>
        <w:t xml:space="preserve">crucial account information </w:t>
      </w:r>
      <w:r w:rsidR="00054C76">
        <w:rPr>
          <w:rFonts w:cs="Arial"/>
        </w:rPr>
        <w:t>concerning</w:t>
      </w:r>
      <w:r w:rsidR="00BC0E9F" w:rsidRPr="00F573F6">
        <w:rPr>
          <w:rFonts w:cs="Arial"/>
        </w:rPr>
        <w:t xml:space="preserve"> the “€1.9 billion” held in </w:t>
      </w:r>
      <w:r w:rsidR="00A55942" w:rsidRPr="00F573F6">
        <w:rPr>
          <w:rFonts w:cs="Arial"/>
        </w:rPr>
        <w:t>earlier OCBC bank</w:t>
      </w:r>
      <w:r w:rsidR="00054C76">
        <w:rPr>
          <w:rFonts w:cs="Arial"/>
        </w:rPr>
        <w:t>s</w:t>
      </w:r>
      <w:r w:rsidR="00A55942" w:rsidRPr="00F573F6">
        <w:rPr>
          <w:rFonts w:cs="Arial"/>
        </w:rPr>
        <w:t xml:space="preserve"> and then in the Philippine banks. </w:t>
      </w:r>
      <w:r w:rsidR="00580F10" w:rsidRPr="00F573F6">
        <w:rPr>
          <w:rFonts w:cs="Arial"/>
        </w:rPr>
        <w:t xml:space="preserve">Instead, the auditor </w:t>
      </w:r>
      <w:r w:rsidR="001375A8" w:rsidRPr="00F573F6">
        <w:rPr>
          <w:rFonts w:cs="Arial"/>
        </w:rPr>
        <w:t xml:space="preserve">accepted the account confirmations given by </w:t>
      </w:r>
      <w:r w:rsidR="00C32F5C" w:rsidRPr="00F573F6">
        <w:rPr>
          <w:rFonts w:cs="Arial"/>
        </w:rPr>
        <w:t>third parties.</w:t>
      </w:r>
      <w:r w:rsidR="005702D6" w:rsidRPr="00F573F6">
        <w:rPr>
          <w:rFonts w:cs="Arial"/>
        </w:rPr>
        <w:t xml:space="preserve"> </w:t>
      </w:r>
    </w:p>
    <w:p w14:paraId="7A8D8E25" w14:textId="77777777" w:rsidR="008040AF" w:rsidRPr="007C2C48" w:rsidRDefault="008040AF" w:rsidP="00F268C1">
      <w:pPr>
        <w:spacing w:line="360" w:lineRule="auto"/>
        <w:ind w:left="60"/>
        <w:rPr>
          <w:rFonts w:cs="Arial"/>
          <w:b/>
          <w:bCs/>
        </w:rPr>
      </w:pPr>
    </w:p>
    <w:p w14:paraId="6F7466C4" w14:textId="12D7E99B" w:rsidR="009E3D63" w:rsidRPr="007C2C48" w:rsidRDefault="00D63298" w:rsidP="00F268C1">
      <w:pPr>
        <w:spacing w:line="360" w:lineRule="auto"/>
        <w:ind w:left="60"/>
        <w:rPr>
          <w:rFonts w:cs="Arial"/>
          <w:b/>
          <w:bCs/>
        </w:rPr>
      </w:pPr>
      <w:r w:rsidRPr="007C2C48">
        <w:rPr>
          <w:rFonts w:cs="Arial"/>
          <w:b/>
          <w:bCs/>
        </w:rPr>
        <w:t xml:space="preserve">Reliance </w:t>
      </w:r>
      <w:r w:rsidR="00527EEA">
        <w:rPr>
          <w:rFonts w:cs="Arial"/>
          <w:b/>
          <w:bCs/>
        </w:rPr>
        <w:t>o</w:t>
      </w:r>
      <w:r w:rsidR="009E3D63" w:rsidRPr="007C2C48">
        <w:rPr>
          <w:rFonts w:cs="Arial"/>
          <w:b/>
          <w:bCs/>
        </w:rPr>
        <w:t xml:space="preserve">n </w:t>
      </w:r>
      <w:r w:rsidR="00527EEA">
        <w:rPr>
          <w:rFonts w:cs="Arial"/>
          <w:b/>
          <w:bCs/>
        </w:rPr>
        <w:t>f</w:t>
      </w:r>
      <w:r w:rsidR="009E3D63" w:rsidRPr="007C2C48">
        <w:rPr>
          <w:rFonts w:cs="Arial"/>
          <w:b/>
          <w:bCs/>
        </w:rPr>
        <w:t xml:space="preserve">abricated </w:t>
      </w:r>
      <w:r w:rsidR="00527EEA">
        <w:rPr>
          <w:rFonts w:cs="Arial"/>
          <w:b/>
          <w:bCs/>
        </w:rPr>
        <w:t>L</w:t>
      </w:r>
      <w:r w:rsidR="009E3D63" w:rsidRPr="007C2C48">
        <w:rPr>
          <w:rFonts w:cs="Arial"/>
          <w:b/>
          <w:bCs/>
        </w:rPr>
        <w:t xml:space="preserve">etters </w:t>
      </w:r>
      <w:r w:rsidR="00527EEA">
        <w:rPr>
          <w:rFonts w:cs="Arial"/>
          <w:b/>
          <w:bCs/>
        </w:rPr>
        <w:t>o</w:t>
      </w:r>
      <w:r w:rsidR="009E3D63" w:rsidRPr="007C2C48">
        <w:rPr>
          <w:rFonts w:cs="Arial"/>
          <w:b/>
          <w:bCs/>
        </w:rPr>
        <w:t>f Confirmation:</w:t>
      </w:r>
    </w:p>
    <w:p w14:paraId="44FD7FB5" w14:textId="6655F406" w:rsidR="00295058" w:rsidRDefault="0042690D" w:rsidP="00F268C1">
      <w:pPr>
        <w:spacing w:line="360" w:lineRule="auto"/>
        <w:ind w:left="60"/>
        <w:rPr>
          <w:rFonts w:cs="Arial"/>
          <w:color w:val="000000"/>
        </w:rPr>
      </w:pPr>
      <w:r w:rsidRPr="00F573F6">
        <w:rPr>
          <w:rFonts w:cs="Arial"/>
        </w:rPr>
        <w:t xml:space="preserve">As per </w:t>
      </w:r>
      <w:hyperlink r:id="rId38" w:history="1">
        <w:r w:rsidRPr="00F573F6">
          <w:rPr>
            <w:rStyle w:val="Hyperlink"/>
            <w:rFonts w:cs="Arial"/>
          </w:rPr>
          <w:t>Storbeck and Ruehl (2023),</w:t>
        </w:r>
      </w:hyperlink>
      <w:r w:rsidRPr="00F573F6">
        <w:rPr>
          <w:rFonts w:cs="Arial"/>
          <w:color w:val="000000"/>
        </w:rPr>
        <w:t xml:space="preserve"> </w:t>
      </w:r>
      <w:r w:rsidR="00F674B9">
        <w:rPr>
          <w:rFonts w:cs="Arial"/>
          <w:color w:val="000000"/>
        </w:rPr>
        <w:t>EY</w:t>
      </w:r>
      <w:r w:rsidR="00F42E50" w:rsidRPr="00F573F6">
        <w:rPr>
          <w:rFonts w:cs="Arial"/>
          <w:color w:val="000000"/>
        </w:rPr>
        <w:t xml:space="preserve"> not only </w:t>
      </w:r>
      <w:r w:rsidR="00502F7D" w:rsidRPr="007B44BB">
        <w:rPr>
          <w:rFonts w:cs="Arial"/>
          <w:color w:val="000000"/>
        </w:rPr>
        <w:t xml:space="preserve">trusted the “fabricated” letters of confirmation but also </w:t>
      </w:r>
      <w:r w:rsidR="005702D6" w:rsidRPr="007B44BB">
        <w:rPr>
          <w:rFonts w:cs="Arial"/>
          <w:color w:val="000000"/>
        </w:rPr>
        <w:t>did not conduct further checks thereto</w:t>
      </w:r>
      <w:r w:rsidR="00486CD7" w:rsidRPr="007B44BB">
        <w:rPr>
          <w:rFonts w:cs="Arial"/>
          <w:color w:val="000000"/>
        </w:rPr>
        <w:t>, illustrating</w:t>
      </w:r>
      <w:r w:rsidR="00486CD7" w:rsidRPr="00F573F6">
        <w:rPr>
          <w:rFonts w:cs="Arial"/>
          <w:color w:val="000000"/>
        </w:rPr>
        <w:t xml:space="preserve"> lapses in </w:t>
      </w:r>
      <w:r w:rsidR="00726533">
        <w:rPr>
          <w:rFonts w:cs="Arial"/>
          <w:color w:val="000000"/>
        </w:rPr>
        <w:t xml:space="preserve">the </w:t>
      </w:r>
      <w:r w:rsidR="00486CD7" w:rsidRPr="00F573F6">
        <w:rPr>
          <w:rFonts w:cs="Arial"/>
          <w:color w:val="000000"/>
        </w:rPr>
        <w:t xml:space="preserve">auditor’s </w:t>
      </w:r>
      <w:r w:rsidR="001D5D3C" w:rsidRPr="00F573F6">
        <w:rPr>
          <w:rFonts w:cs="Arial"/>
          <w:color w:val="000000"/>
        </w:rPr>
        <w:t>objectivity and professional skepticism.</w:t>
      </w:r>
    </w:p>
    <w:p w14:paraId="5EDA848C" w14:textId="77777777" w:rsidR="008040AF" w:rsidRPr="007C2C48" w:rsidRDefault="008040AF" w:rsidP="00F268C1">
      <w:pPr>
        <w:spacing w:line="360" w:lineRule="auto"/>
        <w:ind w:left="60"/>
        <w:rPr>
          <w:rFonts w:cs="Arial"/>
          <w:b/>
          <w:bCs/>
          <w:color w:val="000000"/>
        </w:rPr>
      </w:pPr>
    </w:p>
    <w:p w14:paraId="1E0941F7" w14:textId="59A59003" w:rsidR="003A607A" w:rsidRPr="007C2C48" w:rsidRDefault="003A607A" w:rsidP="00F268C1">
      <w:pPr>
        <w:spacing w:line="360" w:lineRule="auto"/>
        <w:ind w:left="60"/>
        <w:rPr>
          <w:b/>
          <w:bCs/>
        </w:rPr>
      </w:pPr>
      <w:r w:rsidRPr="007C2C48">
        <w:rPr>
          <w:b/>
          <w:bCs/>
        </w:rPr>
        <w:t xml:space="preserve">Repeated </w:t>
      </w:r>
      <w:r w:rsidR="00DA2ACF" w:rsidRPr="007C2C48">
        <w:rPr>
          <w:b/>
          <w:bCs/>
        </w:rPr>
        <w:t xml:space="preserve">Violations </w:t>
      </w:r>
      <w:r w:rsidR="00527EEA">
        <w:rPr>
          <w:b/>
          <w:bCs/>
        </w:rPr>
        <w:t>o</w:t>
      </w:r>
      <w:r w:rsidR="00DA2ACF" w:rsidRPr="007C2C48">
        <w:rPr>
          <w:b/>
          <w:bCs/>
        </w:rPr>
        <w:t>f Professional Duties:</w:t>
      </w:r>
    </w:p>
    <w:p w14:paraId="3CBA5005" w14:textId="57CA7BD8" w:rsidR="00F573F6" w:rsidRPr="008040AF" w:rsidRDefault="00FB3165" w:rsidP="00F268C1">
      <w:pPr>
        <w:spacing w:line="360" w:lineRule="auto"/>
        <w:ind w:left="60"/>
        <w:rPr>
          <w:rFonts w:cs="Arial"/>
        </w:rPr>
      </w:pPr>
      <w:hyperlink r:id="rId39" w:history="1">
        <w:r w:rsidR="009A0D1E" w:rsidRPr="00F573F6">
          <w:rPr>
            <w:rStyle w:val="Hyperlink"/>
            <w:rFonts w:cs="Arial"/>
          </w:rPr>
          <w:t>A</w:t>
        </w:r>
        <w:r w:rsidR="00B15C09" w:rsidRPr="00F573F6">
          <w:rPr>
            <w:rStyle w:val="Hyperlink"/>
            <w:rFonts w:cs="Arial"/>
          </w:rPr>
          <w:t>pas</w:t>
        </w:r>
      </w:hyperlink>
      <w:r w:rsidR="00B15C09" w:rsidRPr="00F573F6">
        <w:rPr>
          <w:rFonts w:cs="Arial"/>
        </w:rPr>
        <w:t xml:space="preserve"> </w:t>
      </w:r>
      <w:r w:rsidR="002C47F8" w:rsidRPr="00F573F6">
        <w:rPr>
          <w:rStyle w:val="FootnoteReference"/>
          <w:rFonts w:cs="Arial"/>
        </w:rPr>
        <w:footnoteReference w:id="14"/>
      </w:r>
      <w:r w:rsidR="00176F8F" w:rsidRPr="00F573F6">
        <w:rPr>
          <w:rFonts w:cs="Arial"/>
        </w:rPr>
        <w:t xml:space="preserve"> </w:t>
      </w:r>
      <w:r w:rsidR="00197063" w:rsidRPr="00F573F6">
        <w:rPr>
          <w:rFonts w:cs="Arial"/>
        </w:rPr>
        <w:t xml:space="preserve">discovered </w:t>
      </w:r>
      <w:r w:rsidR="00C81DED" w:rsidRPr="00F573F6">
        <w:rPr>
          <w:rFonts w:cs="Arial"/>
        </w:rPr>
        <w:t xml:space="preserve">severe </w:t>
      </w:r>
      <w:r w:rsidR="00B423DC" w:rsidRPr="00F573F6">
        <w:rPr>
          <w:rFonts w:cs="Arial"/>
        </w:rPr>
        <w:t xml:space="preserve">and repeated </w:t>
      </w:r>
      <w:r w:rsidR="00C81DED" w:rsidRPr="00F573F6">
        <w:rPr>
          <w:rFonts w:cs="Arial"/>
        </w:rPr>
        <w:t xml:space="preserve">violations of professional duties in </w:t>
      </w:r>
      <w:r w:rsidR="00F674B9">
        <w:rPr>
          <w:rFonts w:cs="Arial"/>
        </w:rPr>
        <w:t>EY</w:t>
      </w:r>
      <w:r w:rsidR="00C04378" w:rsidRPr="00F573F6">
        <w:rPr>
          <w:rFonts w:cs="Arial"/>
        </w:rPr>
        <w:t xml:space="preserve">’s </w:t>
      </w:r>
      <w:r w:rsidR="00C81DED" w:rsidRPr="00F573F6">
        <w:rPr>
          <w:rFonts w:cs="Arial"/>
        </w:rPr>
        <w:t xml:space="preserve">audit work </w:t>
      </w:r>
      <w:r w:rsidR="00B423DC" w:rsidRPr="00F573F6">
        <w:rPr>
          <w:rFonts w:cs="Arial"/>
        </w:rPr>
        <w:t>over many years</w:t>
      </w:r>
      <w:r w:rsidR="00EE55D2" w:rsidRPr="00F573F6">
        <w:rPr>
          <w:rFonts w:cs="Arial"/>
        </w:rPr>
        <w:t xml:space="preserve"> in different areas, including the key audit matter of “€1.9 billion”</w:t>
      </w:r>
      <w:r w:rsidR="002259E4" w:rsidRPr="00F573F6">
        <w:rPr>
          <w:rFonts w:cs="Arial"/>
        </w:rPr>
        <w:t xml:space="preserve"> cash that was supposedly hel</w:t>
      </w:r>
      <w:r w:rsidR="00541BD8" w:rsidRPr="00F573F6">
        <w:rPr>
          <w:rFonts w:cs="Arial"/>
        </w:rPr>
        <w:t>d</w:t>
      </w:r>
      <w:r w:rsidR="002259E4" w:rsidRPr="00F573F6">
        <w:rPr>
          <w:rFonts w:cs="Arial"/>
        </w:rPr>
        <w:t xml:space="preserve"> in escrow accounts</w:t>
      </w:r>
      <w:bookmarkStart w:id="11" w:name="_Toc170080175"/>
      <w:r w:rsidR="001F334A" w:rsidRPr="001F334A">
        <w:rPr>
          <w:rFonts w:cs="Arial"/>
          <w:color w:val="000000"/>
        </w:rPr>
        <w:t xml:space="preserve"> </w:t>
      </w:r>
      <w:hyperlink r:id="rId40" w:history="1">
        <w:r w:rsidR="001F334A" w:rsidRPr="001F334A">
          <w:rPr>
            <w:rStyle w:val="Hyperlink"/>
            <w:rFonts w:cs="Arial"/>
          </w:rPr>
          <w:t>(Storbeck, 2021a).</w:t>
        </w:r>
      </w:hyperlink>
    </w:p>
    <w:p w14:paraId="5FA6BDE2" w14:textId="77777777" w:rsidR="00F573F6" w:rsidRPr="00F573F6" w:rsidRDefault="00F573F6" w:rsidP="00F573F6">
      <w:pPr>
        <w:rPr>
          <w:lang w:val="en-GB" w:eastAsia="en-US"/>
        </w:rPr>
      </w:pPr>
    </w:p>
    <w:p w14:paraId="56878797" w14:textId="77777777" w:rsidR="00681FA3" w:rsidRDefault="00681FA3" w:rsidP="00783EC1">
      <w:pPr>
        <w:pStyle w:val="Heading3"/>
        <w:rPr>
          <w:rFonts w:ascii="Arial" w:hAnsi="Arial" w:cs="Arial"/>
        </w:rPr>
      </w:pPr>
    </w:p>
    <w:p w14:paraId="7462E203" w14:textId="77777777" w:rsidR="00681FA3" w:rsidRDefault="00681FA3" w:rsidP="00783EC1">
      <w:pPr>
        <w:pStyle w:val="Heading3"/>
        <w:rPr>
          <w:rFonts w:ascii="Arial" w:hAnsi="Arial" w:cs="Arial"/>
        </w:rPr>
      </w:pPr>
    </w:p>
    <w:p w14:paraId="6E1A2CF6" w14:textId="77777777" w:rsidR="00681FA3" w:rsidRDefault="00681FA3" w:rsidP="00783EC1">
      <w:pPr>
        <w:pStyle w:val="Heading3"/>
        <w:rPr>
          <w:rFonts w:ascii="Arial" w:hAnsi="Arial" w:cs="Arial"/>
        </w:rPr>
      </w:pPr>
    </w:p>
    <w:p w14:paraId="775C5E27" w14:textId="77777777" w:rsidR="00681FA3" w:rsidRDefault="00681FA3" w:rsidP="00783EC1">
      <w:pPr>
        <w:pStyle w:val="Heading3"/>
        <w:rPr>
          <w:rFonts w:ascii="Arial" w:hAnsi="Arial" w:cs="Arial"/>
        </w:rPr>
      </w:pPr>
    </w:p>
    <w:p w14:paraId="492B8608" w14:textId="77777777" w:rsidR="00681FA3" w:rsidRDefault="00681FA3" w:rsidP="00783EC1">
      <w:pPr>
        <w:pStyle w:val="Heading3"/>
        <w:rPr>
          <w:rFonts w:ascii="Arial" w:hAnsi="Arial" w:cs="Arial"/>
        </w:rPr>
      </w:pPr>
    </w:p>
    <w:p w14:paraId="162E4BA7" w14:textId="77777777" w:rsidR="00681FA3" w:rsidRDefault="00681FA3" w:rsidP="00783EC1">
      <w:pPr>
        <w:pStyle w:val="Heading3"/>
        <w:rPr>
          <w:rFonts w:ascii="Arial" w:hAnsi="Arial" w:cs="Arial"/>
        </w:rPr>
      </w:pPr>
    </w:p>
    <w:p w14:paraId="213CCE09" w14:textId="77777777" w:rsidR="00681FA3" w:rsidRDefault="00681FA3" w:rsidP="00783EC1">
      <w:pPr>
        <w:pStyle w:val="Heading3"/>
        <w:rPr>
          <w:rFonts w:ascii="Arial" w:hAnsi="Arial" w:cs="Arial"/>
        </w:rPr>
      </w:pPr>
    </w:p>
    <w:p w14:paraId="33F969E5" w14:textId="77777777" w:rsidR="00681FA3" w:rsidRDefault="00681FA3" w:rsidP="00783EC1">
      <w:pPr>
        <w:pStyle w:val="Heading3"/>
        <w:rPr>
          <w:rFonts w:ascii="Arial" w:hAnsi="Arial" w:cs="Arial"/>
        </w:rPr>
      </w:pPr>
    </w:p>
    <w:p w14:paraId="440AB328" w14:textId="77777777" w:rsidR="00681FA3" w:rsidRDefault="00681FA3" w:rsidP="00783EC1">
      <w:pPr>
        <w:pStyle w:val="Heading3"/>
        <w:rPr>
          <w:rFonts w:ascii="Arial" w:hAnsi="Arial" w:cs="Arial"/>
        </w:rPr>
      </w:pPr>
    </w:p>
    <w:p w14:paraId="1B7494FE" w14:textId="77777777" w:rsidR="00681FA3" w:rsidRDefault="00681FA3" w:rsidP="00783EC1">
      <w:pPr>
        <w:pStyle w:val="Heading3"/>
        <w:rPr>
          <w:rFonts w:ascii="Arial" w:hAnsi="Arial" w:cs="Arial"/>
        </w:rPr>
      </w:pPr>
    </w:p>
    <w:p w14:paraId="1391C8D1" w14:textId="77777777" w:rsidR="00681FA3" w:rsidRDefault="00681FA3" w:rsidP="00783EC1">
      <w:pPr>
        <w:pStyle w:val="Heading3"/>
        <w:rPr>
          <w:rFonts w:ascii="Arial" w:hAnsi="Arial" w:cs="Arial"/>
        </w:rPr>
      </w:pPr>
    </w:p>
    <w:p w14:paraId="3D17EA80" w14:textId="77777777" w:rsidR="00681FA3" w:rsidRDefault="00681FA3" w:rsidP="00783EC1">
      <w:pPr>
        <w:pStyle w:val="Heading3"/>
        <w:rPr>
          <w:rFonts w:ascii="Arial" w:hAnsi="Arial" w:cs="Arial"/>
        </w:rPr>
      </w:pPr>
    </w:p>
    <w:p w14:paraId="6956613A" w14:textId="77777777" w:rsidR="00681FA3" w:rsidRDefault="00681FA3" w:rsidP="00783EC1">
      <w:pPr>
        <w:pStyle w:val="Heading3"/>
        <w:rPr>
          <w:rFonts w:ascii="Arial" w:hAnsi="Arial" w:cs="Arial"/>
        </w:rPr>
      </w:pPr>
    </w:p>
    <w:p w14:paraId="02D34EEF" w14:textId="77777777" w:rsidR="00681FA3" w:rsidRDefault="00681FA3" w:rsidP="00783EC1">
      <w:pPr>
        <w:pStyle w:val="Heading3"/>
        <w:rPr>
          <w:rFonts w:ascii="Arial" w:hAnsi="Arial" w:cs="Arial"/>
        </w:rPr>
      </w:pPr>
    </w:p>
    <w:p w14:paraId="1AAEC390" w14:textId="77777777" w:rsidR="00681FA3" w:rsidRDefault="00681FA3" w:rsidP="00783EC1">
      <w:pPr>
        <w:pStyle w:val="Heading3"/>
        <w:rPr>
          <w:rFonts w:ascii="Arial" w:hAnsi="Arial" w:cs="Arial"/>
        </w:rPr>
      </w:pPr>
    </w:p>
    <w:p w14:paraId="0487AF5A" w14:textId="77777777" w:rsidR="00681FA3" w:rsidRDefault="00681FA3" w:rsidP="00783EC1">
      <w:pPr>
        <w:pStyle w:val="Heading3"/>
        <w:rPr>
          <w:rFonts w:ascii="Arial" w:hAnsi="Arial" w:cs="Arial"/>
        </w:rPr>
      </w:pPr>
    </w:p>
    <w:p w14:paraId="2027DB0A" w14:textId="77777777" w:rsidR="00681FA3" w:rsidRDefault="00681FA3" w:rsidP="00783EC1">
      <w:pPr>
        <w:pStyle w:val="Heading3"/>
        <w:rPr>
          <w:rFonts w:ascii="Arial" w:hAnsi="Arial" w:cs="Arial"/>
        </w:rPr>
      </w:pPr>
    </w:p>
    <w:p w14:paraId="20F58219" w14:textId="77777777" w:rsidR="00681FA3" w:rsidRDefault="00681FA3" w:rsidP="00783EC1">
      <w:pPr>
        <w:pStyle w:val="Heading3"/>
        <w:rPr>
          <w:rFonts w:ascii="Arial" w:hAnsi="Arial" w:cs="Arial"/>
        </w:rPr>
      </w:pPr>
    </w:p>
    <w:p w14:paraId="02D5A3D4" w14:textId="77777777" w:rsidR="00681FA3" w:rsidRDefault="00681FA3" w:rsidP="00783EC1">
      <w:pPr>
        <w:pStyle w:val="Heading3"/>
        <w:rPr>
          <w:rFonts w:ascii="Arial" w:hAnsi="Arial" w:cs="Arial"/>
        </w:rPr>
      </w:pPr>
    </w:p>
    <w:p w14:paraId="2572F7B5" w14:textId="77777777" w:rsidR="00681FA3" w:rsidRDefault="00681FA3" w:rsidP="00783EC1">
      <w:pPr>
        <w:pStyle w:val="Heading3"/>
        <w:rPr>
          <w:rFonts w:ascii="Arial" w:hAnsi="Arial" w:cs="Arial"/>
        </w:rPr>
      </w:pPr>
    </w:p>
    <w:p w14:paraId="74754878" w14:textId="77777777" w:rsidR="00681FA3" w:rsidRDefault="00681FA3" w:rsidP="00783EC1">
      <w:pPr>
        <w:pStyle w:val="Heading3"/>
        <w:rPr>
          <w:rFonts w:ascii="Arial" w:hAnsi="Arial" w:cs="Arial"/>
        </w:rPr>
      </w:pPr>
    </w:p>
    <w:p w14:paraId="2F45B241" w14:textId="77777777" w:rsidR="00681FA3" w:rsidRDefault="00681FA3" w:rsidP="00783EC1">
      <w:pPr>
        <w:pStyle w:val="Heading3"/>
        <w:rPr>
          <w:rFonts w:ascii="Arial" w:hAnsi="Arial" w:cs="Arial"/>
        </w:rPr>
      </w:pPr>
    </w:p>
    <w:p w14:paraId="60A196AE" w14:textId="77777777" w:rsidR="00681FA3" w:rsidRPr="00681FA3" w:rsidRDefault="00681FA3" w:rsidP="00681FA3">
      <w:pPr>
        <w:rPr>
          <w:lang w:val="en-GB" w:eastAsia="en-US"/>
        </w:rPr>
      </w:pPr>
    </w:p>
    <w:p w14:paraId="467FD542" w14:textId="617A6370" w:rsidR="00783EC1" w:rsidRPr="00552DE0" w:rsidRDefault="00783EC1" w:rsidP="00783EC1">
      <w:pPr>
        <w:pStyle w:val="Heading3"/>
        <w:rPr>
          <w:rFonts w:ascii="Arial" w:hAnsi="Arial" w:cs="Arial"/>
        </w:rPr>
      </w:pPr>
      <w:r w:rsidRPr="00552DE0">
        <w:rPr>
          <w:rFonts w:ascii="Arial" w:hAnsi="Arial" w:cs="Arial"/>
        </w:rPr>
        <w:t>Ethical Violations by Auditors</w:t>
      </w:r>
      <w:bookmarkEnd w:id="11"/>
      <w:r w:rsidRPr="00552DE0">
        <w:rPr>
          <w:rFonts w:ascii="Arial" w:hAnsi="Arial" w:cs="Arial"/>
        </w:rPr>
        <w:t xml:space="preserve"> </w:t>
      </w:r>
    </w:p>
    <w:p w14:paraId="326BA8B1" w14:textId="77777777" w:rsidR="0079618C" w:rsidRDefault="0079618C" w:rsidP="0079618C"/>
    <w:p w14:paraId="6E8C6011" w14:textId="77777777" w:rsidR="00077BAF" w:rsidRDefault="006870AC" w:rsidP="00F268C1">
      <w:pPr>
        <w:spacing w:line="360" w:lineRule="auto"/>
        <w:rPr>
          <w:rFonts w:cs="Arial"/>
        </w:rPr>
      </w:pPr>
      <w:r w:rsidRPr="00F573F6">
        <w:rPr>
          <w:rFonts w:cs="Arial"/>
        </w:rPr>
        <w:t xml:space="preserve">The audit failures mentioned above also </w:t>
      </w:r>
      <w:r w:rsidR="00356F37" w:rsidRPr="00F573F6">
        <w:rPr>
          <w:rFonts w:cs="Arial"/>
        </w:rPr>
        <w:t>highlighted professional and regulatory violations</w:t>
      </w:r>
      <w:r w:rsidR="00077BAF">
        <w:rPr>
          <w:rFonts w:cs="Arial"/>
        </w:rPr>
        <w:t xml:space="preserve"> by</w:t>
      </w:r>
      <w:r w:rsidR="00356F37" w:rsidRPr="00F573F6">
        <w:rPr>
          <w:rFonts w:cs="Arial"/>
        </w:rPr>
        <w:t xml:space="preserve"> </w:t>
      </w:r>
      <w:r w:rsidR="00F674B9">
        <w:rPr>
          <w:rFonts w:cs="Arial"/>
        </w:rPr>
        <w:t>EY</w:t>
      </w:r>
      <w:r w:rsidR="00356F37" w:rsidRPr="00F573F6">
        <w:rPr>
          <w:rFonts w:cs="Arial"/>
        </w:rPr>
        <w:t xml:space="preserve"> </w:t>
      </w:r>
      <w:r w:rsidR="00077BAF">
        <w:rPr>
          <w:rFonts w:cs="Arial"/>
        </w:rPr>
        <w:t xml:space="preserve">who </w:t>
      </w:r>
      <w:r w:rsidR="00356F37" w:rsidRPr="00F573F6">
        <w:rPr>
          <w:rFonts w:cs="Arial"/>
        </w:rPr>
        <w:t xml:space="preserve">failed to practice </w:t>
      </w:r>
      <w:r w:rsidR="00BF1163">
        <w:rPr>
          <w:rFonts w:cs="Arial"/>
        </w:rPr>
        <w:t xml:space="preserve">the </w:t>
      </w:r>
      <w:r w:rsidR="00356F37" w:rsidRPr="00F573F6">
        <w:rPr>
          <w:rFonts w:cs="Arial"/>
        </w:rPr>
        <w:t>professional skepticism and due diligence</w:t>
      </w:r>
      <w:r w:rsidR="00B03357">
        <w:rPr>
          <w:rFonts w:cs="Arial"/>
        </w:rPr>
        <w:t xml:space="preserve"> </w:t>
      </w:r>
      <w:r w:rsidR="00356F37" w:rsidRPr="00F573F6">
        <w:rPr>
          <w:rFonts w:cs="Arial"/>
        </w:rPr>
        <w:t xml:space="preserve">required by </w:t>
      </w:r>
      <w:r w:rsidR="00077BAF" w:rsidRPr="00F573F6">
        <w:rPr>
          <w:rFonts w:cs="Arial"/>
        </w:rPr>
        <w:t>International Auditing Standards</w:t>
      </w:r>
      <w:r w:rsidR="00356F37" w:rsidRPr="00F573F6">
        <w:rPr>
          <w:rFonts w:cs="Arial"/>
        </w:rPr>
        <w:t xml:space="preserve">. </w:t>
      </w:r>
    </w:p>
    <w:p w14:paraId="1CAF6BE7" w14:textId="2363C71B" w:rsidR="00B57FC2" w:rsidRDefault="00692DE3" w:rsidP="00F268C1">
      <w:pPr>
        <w:spacing w:line="360" w:lineRule="auto"/>
        <w:rPr>
          <w:rFonts w:cs="Arial"/>
        </w:rPr>
      </w:pPr>
      <w:r w:rsidRPr="00F573F6">
        <w:rPr>
          <w:rFonts w:cs="Arial"/>
        </w:rPr>
        <w:t xml:space="preserve">These violations </w:t>
      </w:r>
      <w:r w:rsidR="008040AF">
        <w:rPr>
          <w:rFonts w:cs="Arial"/>
        </w:rPr>
        <w:t>promoted a</w:t>
      </w:r>
      <w:r w:rsidRPr="00F573F6">
        <w:rPr>
          <w:rFonts w:cs="Arial"/>
        </w:rPr>
        <w:t xml:space="preserve"> parliament</w:t>
      </w:r>
      <w:r w:rsidR="008040AF">
        <w:rPr>
          <w:rFonts w:cs="Arial"/>
        </w:rPr>
        <w:t>a</w:t>
      </w:r>
      <w:r w:rsidR="002317BE">
        <w:rPr>
          <w:rFonts w:cs="Arial"/>
        </w:rPr>
        <w:t xml:space="preserve">ry </w:t>
      </w:r>
      <w:r w:rsidRPr="00F573F6">
        <w:rPr>
          <w:rFonts w:cs="Arial"/>
        </w:rPr>
        <w:t xml:space="preserve">inquiry, </w:t>
      </w:r>
      <w:r w:rsidR="002A135C">
        <w:rPr>
          <w:rFonts w:cs="Arial"/>
        </w:rPr>
        <w:t>which revealed</w:t>
      </w:r>
      <w:r w:rsidR="002317BE">
        <w:rPr>
          <w:rFonts w:cs="Arial"/>
        </w:rPr>
        <w:t xml:space="preserve"> </w:t>
      </w:r>
      <w:r w:rsidR="001C30E4">
        <w:rPr>
          <w:rFonts w:cs="Arial"/>
        </w:rPr>
        <w:t xml:space="preserve">that </w:t>
      </w:r>
      <w:r w:rsidR="00F674B9">
        <w:rPr>
          <w:rFonts w:cs="Arial"/>
        </w:rPr>
        <w:t>EY</w:t>
      </w:r>
      <w:r w:rsidR="002317BE">
        <w:rPr>
          <w:rFonts w:cs="Arial"/>
        </w:rPr>
        <w:t xml:space="preserve"> had not</w:t>
      </w:r>
      <w:r w:rsidR="00EE1516" w:rsidRPr="00F573F6">
        <w:rPr>
          <w:rFonts w:cs="Arial"/>
        </w:rPr>
        <w:t xml:space="preserve"> </w:t>
      </w:r>
      <w:r w:rsidR="002317BE">
        <w:rPr>
          <w:rFonts w:cs="Arial"/>
        </w:rPr>
        <w:t xml:space="preserve">fully </w:t>
      </w:r>
      <w:r w:rsidR="00457A8E" w:rsidRPr="00F573F6">
        <w:rPr>
          <w:rFonts w:cs="Arial"/>
        </w:rPr>
        <w:t>adhere</w:t>
      </w:r>
      <w:r w:rsidR="00855C19" w:rsidRPr="00F573F6">
        <w:rPr>
          <w:rFonts w:cs="Arial"/>
        </w:rPr>
        <w:t>d</w:t>
      </w:r>
      <w:r w:rsidR="002317BE">
        <w:rPr>
          <w:rFonts w:cs="Arial"/>
        </w:rPr>
        <w:t xml:space="preserve"> </w:t>
      </w:r>
      <w:r w:rsidR="00457A8E" w:rsidRPr="00F573F6">
        <w:rPr>
          <w:rFonts w:cs="Arial"/>
        </w:rPr>
        <w:t xml:space="preserve">to professional standards, </w:t>
      </w:r>
      <w:r w:rsidR="002A135C">
        <w:rPr>
          <w:rFonts w:cs="Arial"/>
        </w:rPr>
        <w:t>and relied</w:t>
      </w:r>
      <w:r w:rsidR="00777238" w:rsidRPr="00F573F6">
        <w:rPr>
          <w:rFonts w:cs="Arial"/>
        </w:rPr>
        <w:t xml:space="preserve"> </w:t>
      </w:r>
      <w:r w:rsidR="002317BE" w:rsidRPr="00F573F6">
        <w:rPr>
          <w:rFonts w:cs="Arial"/>
        </w:rPr>
        <w:t xml:space="preserve">instead </w:t>
      </w:r>
      <w:r w:rsidR="008C2E0B" w:rsidRPr="00F573F6">
        <w:rPr>
          <w:rFonts w:cs="Arial"/>
        </w:rPr>
        <w:t xml:space="preserve">on spoken guarantees </w:t>
      </w:r>
      <w:r w:rsidR="007D57F7" w:rsidRPr="00F573F6">
        <w:rPr>
          <w:rFonts w:cs="Arial"/>
        </w:rPr>
        <w:t>from executives on critical matters and also overlook</w:t>
      </w:r>
      <w:r w:rsidR="002A135C">
        <w:rPr>
          <w:rFonts w:cs="Arial"/>
        </w:rPr>
        <w:t>ed</w:t>
      </w:r>
      <w:r w:rsidR="00777238" w:rsidRPr="00F573F6">
        <w:rPr>
          <w:rFonts w:cs="Arial"/>
        </w:rPr>
        <w:t xml:space="preserve"> </w:t>
      </w:r>
      <w:r w:rsidR="00F573F6" w:rsidRPr="00F573F6">
        <w:rPr>
          <w:rFonts w:cs="Arial"/>
        </w:rPr>
        <w:t>indicators</w:t>
      </w:r>
      <w:r w:rsidR="007D57F7" w:rsidRPr="00F573F6">
        <w:rPr>
          <w:rFonts w:cs="Arial"/>
        </w:rPr>
        <w:t xml:space="preserve"> of fraud </w:t>
      </w:r>
      <w:r w:rsidR="00B10B9D" w:rsidRPr="00F573F6">
        <w:rPr>
          <w:rFonts w:cs="Arial"/>
        </w:rPr>
        <w:t>(Wambach et al,</w:t>
      </w:r>
      <w:r w:rsidR="00A050E1">
        <w:rPr>
          <w:rFonts w:cs="Arial"/>
        </w:rPr>
        <w:t xml:space="preserve"> </w:t>
      </w:r>
      <w:r w:rsidR="00B10B9D" w:rsidRPr="00F573F6">
        <w:rPr>
          <w:rFonts w:cs="Arial"/>
        </w:rPr>
        <w:t>202</w:t>
      </w:r>
      <w:r w:rsidR="00A050E1">
        <w:rPr>
          <w:rFonts w:cs="Arial"/>
        </w:rPr>
        <w:t>1,</w:t>
      </w:r>
      <w:r w:rsidR="00B10B9D" w:rsidRPr="00F573F6">
        <w:rPr>
          <w:rFonts w:cs="Arial"/>
        </w:rPr>
        <w:t xml:space="preserve"> as cited in </w:t>
      </w:r>
      <w:hyperlink r:id="rId41" w:history="1">
        <w:r w:rsidR="0064109F" w:rsidRPr="00F573F6">
          <w:rPr>
            <w:rStyle w:val="Hyperlink"/>
            <w:rFonts w:cs="Arial"/>
          </w:rPr>
          <w:t>Teichmann et al., 2023</w:t>
        </w:r>
      </w:hyperlink>
      <w:r w:rsidR="00B10B9D" w:rsidRPr="00F573F6">
        <w:rPr>
          <w:rFonts w:cs="Arial"/>
        </w:rPr>
        <w:t>)</w:t>
      </w:r>
      <w:r w:rsidR="00A050E1">
        <w:rPr>
          <w:rFonts w:cs="Arial"/>
        </w:rPr>
        <w:t>.</w:t>
      </w:r>
    </w:p>
    <w:p w14:paraId="2D1440F5" w14:textId="77777777" w:rsidR="002317BE" w:rsidRPr="00F573F6" w:rsidRDefault="002317BE" w:rsidP="00F268C1">
      <w:pPr>
        <w:spacing w:line="360" w:lineRule="auto"/>
        <w:rPr>
          <w:rFonts w:cs="Arial"/>
        </w:rPr>
      </w:pPr>
    </w:p>
    <w:p w14:paraId="5BED758C" w14:textId="70A23C56" w:rsidR="007B44BB" w:rsidRDefault="009A4F96" w:rsidP="007B44BB">
      <w:pPr>
        <w:spacing w:line="360" w:lineRule="auto"/>
        <w:rPr>
          <w:rFonts w:cs="Arial"/>
        </w:rPr>
      </w:pPr>
      <w:r w:rsidRPr="00F573F6">
        <w:rPr>
          <w:rFonts w:cs="Arial"/>
        </w:rPr>
        <w:t>Non-</w:t>
      </w:r>
      <w:r w:rsidR="00383684">
        <w:rPr>
          <w:rFonts w:cs="Arial"/>
        </w:rPr>
        <w:t>c</w:t>
      </w:r>
      <w:r w:rsidRPr="00F573F6">
        <w:rPr>
          <w:rFonts w:cs="Arial"/>
        </w:rPr>
        <w:t>ompliance with</w:t>
      </w:r>
      <w:r w:rsidR="002957A6">
        <w:rPr>
          <w:rFonts w:cs="Arial"/>
        </w:rPr>
        <w:t xml:space="preserve"> major</w:t>
      </w:r>
      <w:r w:rsidRPr="00F573F6">
        <w:rPr>
          <w:rFonts w:cs="Arial"/>
        </w:rPr>
        <w:t xml:space="preserve"> </w:t>
      </w:r>
      <w:r w:rsidR="00A050E1">
        <w:rPr>
          <w:rFonts w:cs="Arial"/>
        </w:rPr>
        <w:t>a</w:t>
      </w:r>
      <w:r w:rsidRPr="00F573F6">
        <w:rPr>
          <w:rFonts w:cs="Arial"/>
        </w:rPr>
        <w:t xml:space="preserve">uditing </w:t>
      </w:r>
      <w:r w:rsidR="00A050E1">
        <w:rPr>
          <w:rFonts w:cs="Arial"/>
        </w:rPr>
        <w:t>s</w:t>
      </w:r>
      <w:r w:rsidRPr="00F573F6">
        <w:rPr>
          <w:rFonts w:cs="Arial"/>
        </w:rPr>
        <w:t>tandards</w:t>
      </w:r>
      <w:r w:rsidR="002A135C">
        <w:rPr>
          <w:rFonts w:cs="Arial"/>
        </w:rPr>
        <w:t xml:space="preserve"> that</w:t>
      </w:r>
      <w:r w:rsidR="00BB0CA4" w:rsidRPr="00F573F6">
        <w:rPr>
          <w:rFonts w:cs="Arial"/>
        </w:rPr>
        <w:t xml:space="preserve"> are essential </w:t>
      </w:r>
      <w:r w:rsidR="00C10874">
        <w:rPr>
          <w:rFonts w:cs="Arial"/>
        </w:rPr>
        <w:t xml:space="preserve">to ensure </w:t>
      </w:r>
      <w:r w:rsidR="00BB0CA4" w:rsidRPr="00F573F6">
        <w:rPr>
          <w:rFonts w:cs="Arial"/>
        </w:rPr>
        <w:t>audit quality</w:t>
      </w:r>
      <w:r w:rsidR="00535248">
        <w:rPr>
          <w:rFonts w:cs="Arial"/>
        </w:rPr>
        <w:t>,</w:t>
      </w:r>
      <w:r w:rsidR="003E1B86">
        <w:rPr>
          <w:rFonts w:cs="Arial"/>
        </w:rPr>
        <w:t xml:space="preserve"> according to </w:t>
      </w:r>
      <w:hyperlink r:id="rId42" w:history="1">
        <w:r w:rsidR="003E1B86" w:rsidRPr="00942F11">
          <w:rPr>
            <w:rStyle w:val="Hyperlink"/>
            <w:rFonts w:cs="Arial"/>
          </w:rPr>
          <w:t>Ghosh (2021)</w:t>
        </w:r>
        <w:r w:rsidR="00942F11" w:rsidRPr="00942F11">
          <w:rPr>
            <w:rStyle w:val="Hyperlink"/>
            <w:rFonts w:cs="Arial"/>
          </w:rPr>
          <w:t>:</w:t>
        </w:r>
      </w:hyperlink>
    </w:p>
    <w:p w14:paraId="4716FF08" w14:textId="77777777" w:rsidR="007B44BB" w:rsidRDefault="007B44BB" w:rsidP="007B44BB">
      <w:pPr>
        <w:spacing w:line="360" w:lineRule="auto"/>
        <w:rPr>
          <w:rFonts w:cs="Arial"/>
        </w:rPr>
      </w:pPr>
    </w:p>
    <w:p w14:paraId="0C7C86B8" w14:textId="0F201736" w:rsidR="00BB0CA4" w:rsidRPr="007B44BB" w:rsidRDefault="00BB0CA4" w:rsidP="007B44BB">
      <w:pPr>
        <w:spacing w:line="360" w:lineRule="auto"/>
        <w:rPr>
          <w:rFonts w:cs="Arial"/>
        </w:rPr>
      </w:pPr>
      <w:r w:rsidRPr="007B44BB">
        <w:rPr>
          <w:rFonts w:cs="Arial"/>
          <w:b/>
          <w:bCs/>
        </w:rPr>
        <w:t>ISA 220</w:t>
      </w:r>
      <w:r w:rsidR="003F3ECA" w:rsidRPr="007B44BB">
        <w:rPr>
          <w:rFonts w:cs="Arial"/>
        </w:rPr>
        <w:t xml:space="preserve">: </w:t>
      </w:r>
      <w:r w:rsidR="00A50D00" w:rsidRPr="007B44BB">
        <w:rPr>
          <w:rFonts w:cs="Arial"/>
        </w:rPr>
        <w:t xml:space="preserve">FT articles on </w:t>
      </w:r>
      <w:r w:rsidR="00C10874">
        <w:rPr>
          <w:rFonts w:cs="Arial"/>
        </w:rPr>
        <w:t>doubtful</w:t>
      </w:r>
      <w:r w:rsidR="004F6ED4" w:rsidRPr="007B44BB">
        <w:rPr>
          <w:rFonts w:cs="Arial"/>
        </w:rPr>
        <w:t xml:space="preserve"> acquisitions </w:t>
      </w:r>
      <w:r w:rsidR="00C10874">
        <w:rPr>
          <w:rFonts w:cs="Arial"/>
        </w:rPr>
        <w:t xml:space="preserve">along with </w:t>
      </w:r>
      <w:r w:rsidR="004F6ED4" w:rsidRPr="007B44BB">
        <w:rPr>
          <w:rFonts w:cs="Arial"/>
        </w:rPr>
        <w:t xml:space="preserve">accusations against the corporation </w:t>
      </w:r>
      <w:r w:rsidR="00C10874">
        <w:rPr>
          <w:rFonts w:cs="Arial"/>
        </w:rPr>
        <w:t>should have promoted</w:t>
      </w:r>
      <w:r w:rsidR="004F6ED4" w:rsidRPr="007B44BB">
        <w:rPr>
          <w:rFonts w:cs="Arial"/>
        </w:rPr>
        <w:t xml:space="preserve"> </w:t>
      </w:r>
      <w:r w:rsidR="00F674B9" w:rsidRPr="007B44BB">
        <w:rPr>
          <w:rFonts w:cs="Arial"/>
        </w:rPr>
        <w:t>EY</w:t>
      </w:r>
      <w:r w:rsidR="004F6ED4" w:rsidRPr="007B44BB">
        <w:rPr>
          <w:rFonts w:cs="Arial"/>
        </w:rPr>
        <w:t xml:space="preserve"> to assign more seasoned staff to the audit. Rather, no action was </w:t>
      </w:r>
      <w:r w:rsidR="00383684" w:rsidRPr="007B44BB">
        <w:rPr>
          <w:rFonts w:cs="Arial"/>
        </w:rPr>
        <w:t>taken</w:t>
      </w:r>
      <w:r w:rsidR="00265B28" w:rsidRPr="007B44BB">
        <w:rPr>
          <w:rFonts w:cs="Arial"/>
        </w:rPr>
        <w:t xml:space="preserve"> increasing the inherent risk at business level</w:t>
      </w:r>
      <w:r w:rsidR="004F6ED4" w:rsidRPr="007B44BB">
        <w:rPr>
          <w:rFonts w:cs="Arial"/>
        </w:rPr>
        <w:t xml:space="preserve">, and </w:t>
      </w:r>
      <w:r w:rsidR="00265B28" w:rsidRPr="007B44BB">
        <w:rPr>
          <w:rFonts w:cs="Arial"/>
        </w:rPr>
        <w:t xml:space="preserve">suggesting that </w:t>
      </w:r>
      <w:r w:rsidR="004F6ED4" w:rsidRPr="007B44BB">
        <w:rPr>
          <w:rFonts w:cs="Arial"/>
        </w:rPr>
        <w:t xml:space="preserve">EY's engagement partner's </w:t>
      </w:r>
      <w:r w:rsidR="006B5069" w:rsidRPr="007B44BB">
        <w:rPr>
          <w:rFonts w:cs="Arial"/>
        </w:rPr>
        <w:t>professional skepticism was tainted</w:t>
      </w:r>
      <w:r w:rsidR="004F6ED4" w:rsidRPr="007B44BB">
        <w:rPr>
          <w:rFonts w:cs="Arial"/>
        </w:rPr>
        <w:t>.</w:t>
      </w:r>
      <w:r w:rsidR="005D43C6" w:rsidRPr="007B44BB">
        <w:rPr>
          <w:rFonts w:cs="Arial"/>
        </w:rPr>
        <w:t xml:space="preserve"> </w:t>
      </w:r>
    </w:p>
    <w:p w14:paraId="7D0A4739" w14:textId="77777777" w:rsidR="007B44BB" w:rsidRDefault="007B44BB" w:rsidP="007B44BB">
      <w:pPr>
        <w:spacing w:line="360" w:lineRule="auto"/>
        <w:rPr>
          <w:rFonts w:cs="Arial"/>
          <w:b/>
          <w:bCs/>
        </w:rPr>
      </w:pPr>
    </w:p>
    <w:p w14:paraId="23AC8D02" w14:textId="44EE178D" w:rsidR="006B5069" w:rsidRPr="007B44BB" w:rsidRDefault="006B5069" w:rsidP="007B44BB">
      <w:pPr>
        <w:spacing w:line="360" w:lineRule="auto"/>
        <w:rPr>
          <w:rFonts w:cs="Arial"/>
        </w:rPr>
      </w:pPr>
      <w:r w:rsidRPr="007B44BB">
        <w:rPr>
          <w:rFonts w:cs="Arial"/>
          <w:b/>
          <w:bCs/>
        </w:rPr>
        <w:t>ISQM</w:t>
      </w:r>
      <w:r w:rsidR="00035ECF" w:rsidRPr="007B44BB">
        <w:rPr>
          <w:rFonts w:cs="Arial"/>
          <w:b/>
          <w:bCs/>
        </w:rPr>
        <w:t xml:space="preserve"> 2</w:t>
      </w:r>
      <w:r w:rsidR="00265B28" w:rsidRPr="007B44BB">
        <w:rPr>
          <w:rFonts w:cs="Arial"/>
        </w:rPr>
        <w:t>:</w:t>
      </w:r>
      <w:r w:rsidR="003A67C5" w:rsidRPr="007B44BB">
        <w:rPr>
          <w:rFonts w:cs="Arial"/>
        </w:rPr>
        <w:t xml:space="preserve"> </w:t>
      </w:r>
      <w:r w:rsidR="00F674B9" w:rsidRPr="007B44BB">
        <w:rPr>
          <w:rFonts w:cs="Arial"/>
        </w:rPr>
        <w:t>EY</w:t>
      </w:r>
      <w:r w:rsidR="00035ECF" w:rsidRPr="007B44BB">
        <w:rPr>
          <w:rFonts w:cs="Arial"/>
        </w:rPr>
        <w:t xml:space="preserve"> violated </w:t>
      </w:r>
      <w:r w:rsidR="00DB74AB" w:rsidRPr="007B44BB">
        <w:rPr>
          <w:rFonts w:cs="Arial"/>
        </w:rPr>
        <w:t xml:space="preserve">this standard </w:t>
      </w:r>
      <w:r w:rsidR="009C6A88" w:rsidRPr="007B44BB">
        <w:rPr>
          <w:rFonts w:cs="Arial"/>
        </w:rPr>
        <w:t>as the engagement partner</w:t>
      </w:r>
      <w:r w:rsidR="004B5DE6" w:rsidRPr="007B44BB">
        <w:rPr>
          <w:rFonts w:cs="Arial"/>
        </w:rPr>
        <w:t xml:space="preserve"> failed to use professional skepticism</w:t>
      </w:r>
      <w:r w:rsidR="004F3F0A" w:rsidRPr="007B44BB">
        <w:rPr>
          <w:rFonts w:cs="Arial"/>
        </w:rPr>
        <w:t xml:space="preserve">, which jeopardised the audit </w:t>
      </w:r>
      <w:r w:rsidR="00532152" w:rsidRPr="007B44BB">
        <w:rPr>
          <w:rFonts w:cs="Arial"/>
        </w:rPr>
        <w:t>integrity by permitting financial misstatements.</w:t>
      </w:r>
    </w:p>
    <w:p w14:paraId="107B7F81" w14:textId="77777777" w:rsidR="007B44BB" w:rsidRDefault="007B44BB" w:rsidP="007B44BB">
      <w:pPr>
        <w:spacing w:line="360" w:lineRule="auto"/>
        <w:rPr>
          <w:rFonts w:cs="Arial"/>
          <w:b/>
          <w:bCs/>
        </w:rPr>
      </w:pPr>
    </w:p>
    <w:p w14:paraId="2AD40571" w14:textId="6CD7317B" w:rsidR="004E62AD" w:rsidRDefault="007B44BB" w:rsidP="007B44BB">
      <w:pPr>
        <w:spacing w:line="360" w:lineRule="auto"/>
      </w:pPr>
      <w:r>
        <w:rPr>
          <w:rFonts w:cs="Arial"/>
          <w:b/>
          <w:bCs/>
        </w:rPr>
        <w:t>I</w:t>
      </w:r>
      <w:r w:rsidR="00CF7972" w:rsidRPr="007B44BB">
        <w:rPr>
          <w:rFonts w:cs="Arial"/>
          <w:b/>
          <w:bCs/>
        </w:rPr>
        <w:t>SA 315</w:t>
      </w:r>
      <w:r w:rsidR="00D90969" w:rsidRPr="007B44BB">
        <w:rPr>
          <w:rFonts w:cs="Arial"/>
        </w:rPr>
        <w:t xml:space="preserve">: </w:t>
      </w:r>
      <w:r w:rsidR="00F674B9" w:rsidRPr="007B44BB">
        <w:rPr>
          <w:rFonts w:cs="Arial"/>
        </w:rPr>
        <w:t>EY</w:t>
      </w:r>
      <w:r w:rsidR="00271D0F" w:rsidRPr="007B44BB">
        <w:rPr>
          <w:rFonts w:cs="Arial"/>
        </w:rPr>
        <w:t xml:space="preserve"> </w:t>
      </w:r>
      <w:r w:rsidR="0079300A" w:rsidRPr="007B44BB">
        <w:rPr>
          <w:rFonts w:cs="Arial"/>
        </w:rPr>
        <w:t>breached for failing</w:t>
      </w:r>
      <w:r w:rsidR="00494D86" w:rsidRPr="007B44BB">
        <w:rPr>
          <w:rFonts w:cs="Arial"/>
        </w:rPr>
        <w:t xml:space="preserve"> to identify and assess the audit risk </w:t>
      </w:r>
      <w:r w:rsidR="0079300A" w:rsidRPr="007B44BB">
        <w:rPr>
          <w:rFonts w:cs="Arial"/>
        </w:rPr>
        <w:t xml:space="preserve">associated with </w:t>
      </w:r>
      <w:r w:rsidR="001758FD" w:rsidRPr="007B44BB">
        <w:rPr>
          <w:rFonts w:cs="Arial"/>
        </w:rPr>
        <w:t xml:space="preserve">Wirecard’s complex operations </w:t>
      </w:r>
      <w:r w:rsidR="00473A73" w:rsidRPr="007B44BB">
        <w:rPr>
          <w:rFonts w:cs="Arial"/>
        </w:rPr>
        <w:t xml:space="preserve">and not conducting </w:t>
      </w:r>
      <w:r w:rsidR="00810C8C" w:rsidRPr="007B44BB">
        <w:rPr>
          <w:rFonts w:cs="Arial"/>
        </w:rPr>
        <w:t>necessary</w:t>
      </w:r>
      <w:r w:rsidR="00473A73" w:rsidRPr="007B44BB">
        <w:rPr>
          <w:rFonts w:cs="Arial"/>
        </w:rPr>
        <w:t xml:space="preserve"> audit procedures</w:t>
      </w:r>
      <w:r w:rsidR="009D770A" w:rsidRPr="007B44BB">
        <w:rPr>
          <w:rFonts w:cs="Arial"/>
        </w:rPr>
        <w:t xml:space="preserve"> to assess inherent risk due to allegations and control risk because of weak internal controls</w:t>
      </w:r>
      <w:r w:rsidR="009D770A" w:rsidRPr="007B44BB">
        <w:t>.</w:t>
      </w:r>
      <w:bookmarkStart w:id="12" w:name="_Toc170080176"/>
    </w:p>
    <w:p w14:paraId="013BBA39" w14:textId="77777777" w:rsidR="007B44BB" w:rsidRPr="007B44BB" w:rsidRDefault="007B44BB" w:rsidP="007B44BB">
      <w:pPr>
        <w:spacing w:line="360" w:lineRule="auto"/>
      </w:pPr>
    </w:p>
    <w:p w14:paraId="49A3E9AC" w14:textId="2B48E8E2" w:rsidR="00265B28" w:rsidRPr="00265B28" w:rsidRDefault="00964AB2" w:rsidP="002957A6">
      <w:pPr>
        <w:spacing w:line="360" w:lineRule="auto"/>
        <w:jc w:val="left"/>
      </w:pPr>
      <w:r>
        <w:t xml:space="preserve">A detailed overview of the </w:t>
      </w:r>
      <w:r w:rsidR="00776353">
        <w:t>of the specific ISAs violations and the effects</w:t>
      </w:r>
      <w:r w:rsidR="002957A6">
        <w:t xml:space="preserve"> is attached in </w:t>
      </w:r>
    </w:p>
    <w:p w14:paraId="50D6DDDC" w14:textId="77777777" w:rsidR="002957A6" w:rsidRPr="00990F47" w:rsidRDefault="002957A6" w:rsidP="002957A6">
      <w:pPr>
        <w:pStyle w:val="Heading4"/>
        <w:spacing w:line="360" w:lineRule="auto"/>
        <w:jc w:val="left"/>
        <w:rPr>
          <w:rFonts w:ascii="Arial" w:hAnsi="Arial" w:cs="Arial"/>
          <w:i w:val="0"/>
          <w:iCs w:val="0"/>
          <w:sz w:val="24"/>
          <w:szCs w:val="24"/>
        </w:rPr>
      </w:pPr>
      <w:r w:rsidRPr="008E2799">
        <w:rPr>
          <w:rFonts w:ascii="Arial" w:hAnsi="Arial" w:cs="Arial"/>
          <w:i w:val="0"/>
          <w:iCs w:val="0"/>
          <w:sz w:val="24"/>
          <w:szCs w:val="24"/>
        </w:rPr>
        <w:t>Appendix 4</w:t>
      </w:r>
    </w:p>
    <w:p w14:paraId="23A7482C" w14:textId="77777777" w:rsidR="00F573F6" w:rsidRPr="00F573F6" w:rsidRDefault="00F573F6" w:rsidP="002957A6">
      <w:pPr>
        <w:spacing w:line="360" w:lineRule="auto"/>
        <w:jc w:val="left"/>
        <w:rPr>
          <w:lang w:val="en-GB" w:eastAsia="en-US"/>
        </w:rPr>
      </w:pPr>
    </w:p>
    <w:p w14:paraId="6C694706" w14:textId="77777777" w:rsidR="00BF395C" w:rsidRDefault="00BF395C" w:rsidP="002957A6">
      <w:pPr>
        <w:pStyle w:val="Heading2"/>
        <w:spacing w:line="360" w:lineRule="auto"/>
        <w:rPr>
          <w:rFonts w:ascii="Arial" w:hAnsi="Arial" w:cs="Arial"/>
          <w:b/>
          <w:bCs/>
        </w:rPr>
      </w:pPr>
    </w:p>
    <w:p w14:paraId="64379050" w14:textId="77777777" w:rsidR="00265B28" w:rsidRDefault="00265B28" w:rsidP="003564ED">
      <w:pPr>
        <w:pStyle w:val="Heading2"/>
        <w:rPr>
          <w:rFonts w:ascii="Arial" w:hAnsi="Arial" w:cs="Arial"/>
          <w:b/>
          <w:bCs/>
        </w:rPr>
      </w:pPr>
      <w:bookmarkStart w:id="13" w:name="_Toc170080177"/>
      <w:bookmarkEnd w:id="12"/>
    </w:p>
    <w:p w14:paraId="043C2679" w14:textId="77777777" w:rsidR="002957A6" w:rsidRDefault="002957A6" w:rsidP="002957A6">
      <w:pPr>
        <w:rPr>
          <w:lang w:val="en-GB" w:eastAsia="en-US"/>
        </w:rPr>
      </w:pPr>
    </w:p>
    <w:p w14:paraId="41BF3F9E" w14:textId="77777777" w:rsidR="002D6B33" w:rsidRPr="002D6B33" w:rsidRDefault="002D6B33" w:rsidP="002D6B33">
      <w:pPr>
        <w:rPr>
          <w:lang w:val="en-GB" w:eastAsia="en-US"/>
        </w:rPr>
      </w:pPr>
    </w:p>
    <w:p w14:paraId="0B7E5072" w14:textId="58C0628F" w:rsidR="003564ED" w:rsidRPr="00552DE0" w:rsidRDefault="003564ED" w:rsidP="003564ED">
      <w:pPr>
        <w:pStyle w:val="Heading2"/>
        <w:rPr>
          <w:rFonts w:ascii="Arial" w:hAnsi="Arial" w:cs="Arial"/>
          <w:b/>
          <w:bCs/>
        </w:rPr>
      </w:pPr>
      <w:r w:rsidRPr="00552DE0">
        <w:rPr>
          <w:rFonts w:ascii="Arial" w:hAnsi="Arial" w:cs="Arial"/>
          <w:b/>
          <w:bCs/>
        </w:rPr>
        <w:t>Conclusions</w:t>
      </w:r>
    </w:p>
    <w:p w14:paraId="07E0CF01" w14:textId="77777777" w:rsidR="003564ED" w:rsidRDefault="003564ED" w:rsidP="003564ED"/>
    <w:p w14:paraId="5B812BC2" w14:textId="11DBFE8E" w:rsidR="00025139" w:rsidRDefault="00250312" w:rsidP="00025139">
      <w:pPr>
        <w:spacing w:line="360" w:lineRule="auto"/>
        <w:rPr>
          <w:rFonts w:cs="Arial"/>
        </w:rPr>
      </w:pPr>
      <w:r w:rsidRPr="00D45284">
        <w:rPr>
          <w:rFonts w:cs="Arial"/>
        </w:rPr>
        <w:t xml:space="preserve">The rapid rise and fall of Wirecard AG </w:t>
      </w:r>
      <w:r w:rsidR="00F42D7B" w:rsidRPr="00D45284">
        <w:rPr>
          <w:rFonts w:cs="Arial"/>
        </w:rPr>
        <w:t xml:space="preserve">uncovered </w:t>
      </w:r>
      <w:r w:rsidR="003564ED" w:rsidRPr="00D45284">
        <w:rPr>
          <w:rFonts w:cs="Arial"/>
        </w:rPr>
        <w:t>significant shortcomings in Wirecard’s internal controls</w:t>
      </w:r>
      <w:r w:rsidR="00F42D7B" w:rsidRPr="00D45284">
        <w:rPr>
          <w:rFonts w:cs="Arial"/>
        </w:rPr>
        <w:t xml:space="preserve">, </w:t>
      </w:r>
      <w:r w:rsidR="003564ED" w:rsidRPr="00D45284">
        <w:rPr>
          <w:rFonts w:cs="Arial"/>
        </w:rPr>
        <w:t xml:space="preserve"> </w:t>
      </w:r>
      <w:r w:rsidR="00F674B9">
        <w:rPr>
          <w:rFonts w:cs="Arial"/>
        </w:rPr>
        <w:t>EY</w:t>
      </w:r>
      <w:r w:rsidR="003564ED" w:rsidRPr="00D45284">
        <w:rPr>
          <w:rFonts w:cs="Arial"/>
        </w:rPr>
        <w:t>’s auditing procedure</w:t>
      </w:r>
      <w:r w:rsidR="00A559DF" w:rsidRPr="00D45284">
        <w:rPr>
          <w:rFonts w:cs="Arial"/>
        </w:rPr>
        <w:t xml:space="preserve">s, and German regulatory oversight. Wirecard, </w:t>
      </w:r>
      <w:r w:rsidR="00D20254" w:rsidRPr="00D45284">
        <w:rPr>
          <w:rFonts w:cs="Arial"/>
        </w:rPr>
        <w:t xml:space="preserve">initially a promising FinTech company revealed its </w:t>
      </w:r>
      <w:r w:rsidR="008F0771" w:rsidRPr="00D45284">
        <w:rPr>
          <w:rFonts w:cs="Arial"/>
        </w:rPr>
        <w:t xml:space="preserve">sophisticated fraud at a global level. </w:t>
      </w:r>
      <w:r w:rsidR="00952BCB" w:rsidRPr="00D45284">
        <w:rPr>
          <w:rFonts w:cs="Arial"/>
        </w:rPr>
        <w:t xml:space="preserve">This report examined </w:t>
      </w:r>
      <w:r w:rsidR="000474EA" w:rsidRPr="00D45284">
        <w:rPr>
          <w:rFonts w:cs="Arial"/>
        </w:rPr>
        <w:t xml:space="preserve">the internal &amp; external factors </w:t>
      </w:r>
      <w:r w:rsidR="00E55701" w:rsidRPr="00D45284">
        <w:rPr>
          <w:rFonts w:cs="Arial"/>
        </w:rPr>
        <w:t>that led to Wirecard’s insolvency.</w:t>
      </w:r>
      <w:r w:rsidR="00D45284" w:rsidRPr="00D45284">
        <w:rPr>
          <w:rFonts w:cs="Arial"/>
        </w:rPr>
        <w:t xml:space="preserve"> </w:t>
      </w:r>
    </w:p>
    <w:p w14:paraId="00AD0440" w14:textId="77777777" w:rsidR="00025139" w:rsidRDefault="00025139" w:rsidP="00025139">
      <w:pPr>
        <w:spacing w:line="360" w:lineRule="auto"/>
        <w:rPr>
          <w:rFonts w:cs="Arial"/>
        </w:rPr>
      </w:pPr>
    </w:p>
    <w:p w14:paraId="763D0535" w14:textId="6864CB0A" w:rsidR="00D45284" w:rsidRPr="00D45284" w:rsidRDefault="00D45284" w:rsidP="00025139">
      <w:pPr>
        <w:spacing w:line="360" w:lineRule="auto"/>
        <w:rPr>
          <w:rFonts w:cs="Arial"/>
        </w:rPr>
      </w:pPr>
      <w:r w:rsidRPr="00D45284">
        <w:rPr>
          <w:rFonts w:cs="Arial"/>
        </w:rPr>
        <w:t xml:space="preserve">Wirecard’s </w:t>
      </w:r>
      <w:r w:rsidR="00456036">
        <w:rPr>
          <w:rFonts w:cs="Arial"/>
        </w:rPr>
        <w:t>supervisory board</w:t>
      </w:r>
      <w:r w:rsidRPr="00D45284">
        <w:rPr>
          <w:rFonts w:cs="Arial"/>
        </w:rPr>
        <w:t xml:space="preserve"> and German regulatory authorities </w:t>
      </w:r>
      <w:r w:rsidR="00487BC2">
        <w:rPr>
          <w:rFonts w:cs="Arial"/>
        </w:rPr>
        <w:t>prioritized</w:t>
      </w:r>
      <w:r w:rsidRPr="00D45284">
        <w:rPr>
          <w:rFonts w:cs="Arial"/>
        </w:rPr>
        <w:t xml:space="preserve"> short-term financial gains over ethical practices</w:t>
      </w:r>
      <w:r w:rsidR="00E0399C">
        <w:rPr>
          <w:rFonts w:cs="Arial"/>
        </w:rPr>
        <w:t xml:space="preserve"> and proved weak oversight over Wirecard’s management</w:t>
      </w:r>
      <w:r w:rsidRPr="00D45284">
        <w:rPr>
          <w:rFonts w:cs="Arial"/>
        </w:rPr>
        <w:t>.</w:t>
      </w:r>
      <w:r w:rsidR="00487BC2">
        <w:rPr>
          <w:rFonts w:cs="Arial"/>
        </w:rPr>
        <w:t xml:space="preserve"> </w:t>
      </w:r>
      <w:r w:rsidR="00487BC2" w:rsidRPr="00487BC2">
        <w:rPr>
          <w:rFonts w:cs="Arial"/>
        </w:rPr>
        <w:t>The company’s internal controls lacked internal audit procedures and risk management.</w:t>
      </w:r>
    </w:p>
    <w:p w14:paraId="4C98EBCA" w14:textId="06AB1B98" w:rsidR="00E55701" w:rsidRDefault="00E55701" w:rsidP="00025139">
      <w:pPr>
        <w:spacing w:line="360" w:lineRule="auto"/>
        <w:rPr>
          <w:rFonts w:cs="Arial"/>
        </w:rPr>
      </w:pPr>
    </w:p>
    <w:p w14:paraId="6F6E0355" w14:textId="1221E997" w:rsidR="00E55701" w:rsidRDefault="00E55701" w:rsidP="00025139">
      <w:pPr>
        <w:spacing w:line="360" w:lineRule="auto"/>
        <w:rPr>
          <w:rFonts w:cs="Arial"/>
        </w:rPr>
      </w:pPr>
      <w:r w:rsidRPr="0051058A">
        <w:rPr>
          <w:rFonts w:cs="Arial"/>
        </w:rPr>
        <w:t xml:space="preserve">The analysis of audit failures </w:t>
      </w:r>
      <w:r w:rsidR="00434008">
        <w:rPr>
          <w:rFonts w:cs="Arial"/>
        </w:rPr>
        <w:t xml:space="preserve">by </w:t>
      </w:r>
      <w:r w:rsidR="00F674B9">
        <w:rPr>
          <w:rFonts w:cs="Arial"/>
        </w:rPr>
        <w:t>EY</w:t>
      </w:r>
      <w:r w:rsidRPr="0051058A">
        <w:rPr>
          <w:rFonts w:cs="Arial"/>
        </w:rPr>
        <w:t xml:space="preserve"> </w:t>
      </w:r>
      <w:r w:rsidR="000829C0" w:rsidRPr="0051058A">
        <w:rPr>
          <w:rFonts w:cs="Arial"/>
        </w:rPr>
        <w:t xml:space="preserve">shows their </w:t>
      </w:r>
      <w:r w:rsidR="005C37D9" w:rsidRPr="0051058A">
        <w:rPr>
          <w:rFonts w:cs="Arial"/>
        </w:rPr>
        <w:t xml:space="preserve">gross negligence and absence of professional skepticism and </w:t>
      </w:r>
      <w:r w:rsidR="00275E45" w:rsidRPr="0051058A">
        <w:rPr>
          <w:rFonts w:cs="Arial"/>
        </w:rPr>
        <w:t>persistent violations of International Auditing Standards</w:t>
      </w:r>
      <w:r w:rsidR="0051058A">
        <w:rPr>
          <w:rFonts w:cs="Arial"/>
        </w:rPr>
        <w:t>.</w:t>
      </w:r>
      <w:r w:rsidR="0051058A" w:rsidRPr="0051058A">
        <w:rPr>
          <w:rFonts w:cs="Arial"/>
        </w:rPr>
        <w:t xml:space="preserve"> </w:t>
      </w:r>
      <w:r w:rsidR="00F674B9">
        <w:rPr>
          <w:rFonts w:cs="Arial"/>
        </w:rPr>
        <w:t>EY</w:t>
      </w:r>
      <w:r w:rsidR="0051058A" w:rsidRPr="0051058A">
        <w:rPr>
          <w:rFonts w:cs="Arial"/>
        </w:rPr>
        <w:t xml:space="preserve"> failed to perform their </w:t>
      </w:r>
      <w:r w:rsidR="0051058A">
        <w:rPr>
          <w:rFonts w:cs="Arial"/>
        </w:rPr>
        <w:t xml:space="preserve">professional </w:t>
      </w:r>
      <w:r w:rsidR="0051058A" w:rsidRPr="0051058A">
        <w:rPr>
          <w:rFonts w:cs="Arial"/>
        </w:rPr>
        <w:t>duties</w:t>
      </w:r>
      <w:r w:rsidR="0051058A">
        <w:rPr>
          <w:rFonts w:cs="Arial"/>
        </w:rPr>
        <w:t xml:space="preserve"> </w:t>
      </w:r>
      <w:r w:rsidR="0051058A" w:rsidRPr="0051058A">
        <w:rPr>
          <w:rFonts w:cs="Arial"/>
        </w:rPr>
        <w:t xml:space="preserve">as they </w:t>
      </w:r>
      <w:r w:rsidR="00956C58" w:rsidRPr="0051058A">
        <w:rPr>
          <w:rFonts w:cs="Arial"/>
        </w:rPr>
        <w:t>d</w:t>
      </w:r>
      <w:r w:rsidR="00956C58">
        <w:rPr>
          <w:rFonts w:cs="Arial"/>
        </w:rPr>
        <w:t xml:space="preserve">ismissed </w:t>
      </w:r>
      <w:r w:rsidR="0051058A" w:rsidRPr="0051058A">
        <w:rPr>
          <w:rFonts w:cs="Arial"/>
        </w:rPr>
        <w:t xml:space="preserve">the fraud allegations, red flags, and </w:t>
      </w:r>
      <w:r w:rsidR="00025139">
        <w:rPr>
          <w:rFonts w:cs="Arial"/>
        </w:rPr>
        <w:t xml:space="preserve">validated </w:t>
      </w:r>
      <w:r w:rsidR="0051058A" w:rsidRPr="0051058A">
        <w:rPr>
          <w:rFonts w:cs="Arial"/>
        </w:rPr>
        <w:t>fictitious financial accounts.</w:t>
      </w:r>
    </w:p>
    <w:p w14:paraId="37915BCC" w14:textId="77777777" w:rsidR="00487BC2" w:rsidRDefault="00487BC2" w:rsidP="00025139">
      <w:pPr>
        <w:spacing w:line="360" w:lineRule="auto"/>
        <w:rPr>
          <w:rFonts w:cs="Arial"/>
        </w:rPr>
      </w:pPr>
    </w:p>
    <w:p w14:paraId="4209B06F" w14:textId="763AD73A" w:rsidR="003564ED" w:rsidRDefault="00487BC2" w:rsidP="00025139">
      <w:pPr>
        <w:spacing w:line="360" w:lineRule="auto"/>
        <w:rPr>
          <w:rFonts w:cs="Arial"/>
        </w:rPr>
      </w:pPr>
      <w:r>
        <w:rPr>
          <w:rFonts w:cs="Arial"/>
        </w:rPr>
        <w:t>Wirecard’s</w:t>
      </w:r>
      <w:r w:rsidR="003564ED" w:rsidRPr="00F573F6">
        <w:rPr>
          <w:rFonts w:cs="Arial"/>
        </w:rPr>
        <w:t xml:space="preserve"> failure undermined investor confidence and threatened the stability of </w:t>
      </w:r>
      <w:r w:rsidR="003564ED">
        <w:rPr>
          <w:rFonts w:cs="Arial"/>
        </w:rPr>
        <w:t xml:space="preserve">the </w:t>
      </w:r>
      <w:r w:rsidR="003564ED" w:rsidRPr="00F573F6">
        <w:rPr>
          <w:rFonts w:cs="Arial"/>
        </w:rPr>
        <w:t>German economy.</w:t>
      </w:r>
      <w:r w:rsidR="00270C84">
        <w:rPr>
          <w:rFonts w:cs="Arial"/>
        </w:rPr>
        <w:t xml:space="preserve"> Such scandal serves as a call for robust governance framework, </w:t>
      </w:r>
      <w:r w:rsidR="00077B1A">
        <w:rPr>
          <w:rFonts w:cs="Arial"/>
        </w:rPr>
        <w:t xml:space="preserve">stringent </w:t>
      </w:r>
      <w:r w:rsidR="00270C84">
        <w:rPr>
          <w:rFonts w:cs="Arial"/>
        </w:rPr>
        <w:t xml:space="preserve">ethical conduct of </w:t>
      </w:r>
      <w:r w:rsidR="00025139">
        <w:rPr>
          <w:rFonts w:cs="Arial"/>
        </w:rPr>
        <w:t>auditors</w:t>
      </w:r>
      <w:r w:rsidR="0032130E">
        <w:rPr>
          <w:rFonts w:cs="Arial"/>
        </w:rPr>
        <w:t>.</w:t>
      </w:r>
    </w:p>
    <w:p w14:paraId="1068ED3F" w14:textId="77777777" w:rsidR="003564ED" w:rsidRDefault="003564ED" w:rsidP="00C04BDE">
      <w:pPr>
        <w:pStyle w:val="Heading2"/>
        <w:rPr>
          <w:rFonts w:ascii="Arial" w:hAnsi="Arial" w:cs="Arial"/>
          <w:b/>
          <w:bCs/>
        </w:rPr>
      </w:pPr>
    </w:p>
    <w:p w14:paraId="7F4F21B4" w14:textId="77777777" w:rsidR="00025139" w:rsidRDefault="00025139" w:rsidP="00025139">
      <w:pPr>
        <w:rPr>
          <w:lang w:val="en-GB" w:eastAsia="en-US"/>
        </w:rPr>
      </w:pPr>
    </w:p>
    <w:p w14:paraId="64233929" w14:textId="77777777" w:rsidR="00025139" w:rsidRDefault="00025139" w:rsidP="00025139">
      <w:pPr>
        <w:rPr>
          <w:lang w:val="en-GB" w:eastAsia="en-US"/>
        </w:rPr>
      </w:pPr>
    </w:p>
    <w:p w14:paraId="6D1DC6D5" w14:textId="77777777" w:rsidR="00025139" w:rsidRDefault="00025139" w:rsidP="00025139">
      <w:pPr>
        <w:rPr>
          <w:lang w:val="en-GB" w:eastAsia="en-US"/>
        </w:rPr>
      </w:pPr>
    </w:p>
    <w:p w14:paraId="06A89D85" w14:textId="77777777" w:rsidR="00025139" w:rsidRDefault="00025139" w:rsidP="00025139">
      <w:pPr>
        <w:rPr>
          <w:lang w:val="en-GB" w:eastAsia="en-US"/>
        </w:rPr>
      </w:pPr>
    </w:p>
    <w:p w14:paraId="289F4F41" w14:textId="77777777" w:rsidR="00025139" w:rsidRDefault="00025139" w:rsidP="00025139">
      <w:pPr>
        <w:rPr>
          <w:lang w:val="en-GB" w:eastAsia="en-US"/>
        </w:rPr>
      </w:pPr>
    </w:p>
    <w:p w14:paraId="3D9E52E9" w14:textId="77777777" w:rsidR="00025139" w:rsidRDefault="00025139" w:rsidP="00025139">
      <w:pPr>
        <w:rPr>
          <w:lang w:val="en-GB" w:eastAsia="en-US"/>
        </w:rPr>
      </w:pPr>
    </w:p>
    <w:p w14:paraId="0552E940" w14:textId="77777777" w:rsidR="00025139" w:rsidRDefault="00025139" w:rsidP="00025139">
      <w:pPr>
        <w:rPr>
          <w:lang w:val="en-GB" w:eastAsia="en-US"/>
        </w:rPr>
      </w:pPr>
    </w:p>
    <w:p w14:paraId="7CA640E0" w14:textId="77777777" w:rsidR="00025139" w:rsidRDefault="00025139" w:rsidP="00025139">
      <w:pPr>
        <w:rPr>
          <w:lang w:val="en-GB" w:eastAsia="en-US"/>
        </w:rPr>
      </w:pPr>
    </w:p>
    <w:p w14:paraId="2B5C9036" w14:textId="77777777" w:rsidR="00956C58" w:rsidRDefault="00956C58" w:rsidP="00781646">
      <w:pPr>
        <w:pStyle w:val="Heading2"/>
        <w:rPr>
          <w:rFonts w:ascii="Arial" w:hAnsi="Arial" w:cs="Arial"/>
          <w:b/>
          <w:bCs/>
        </w:rPr>
      </w:pPr>
    </w:p>
    <w:p w14:paraId="5D39A6E8" w14:textId="77777777" w:rsidR="00956C58" w:rsidRPr="00956C58" w:rsidRDefault="00956C58" w:rsidP="00956C58">
      <w:pPr>
        <w:rPr>
          <w:lang w:val="en-GB" w:eastAsia="en-US"/>
        </w:rPr>
      </w:pPr>
    </w:p>
    <w:p w14:paraId="2F0DA4C0" w14:textId="2C43428B" w:rsidR="00781646" w:rsidRDefault="00E330AC" w:rsidP="00781646">
      <w:pPr>
        <w:pStyle w:val="Heading2"/>
        <w:rPr>
          <w:rFonts w:ascii="Arial" w:hAnsi="Arial" w:cs="Arial"/>
          <w:b/>
          <w:bCs/>
        </w:rPr>
      </w:pPr>
      <w:r w:rsidRPr="00552DE0">
        <w:rPr>
          <w:rFonts w:ascii="Arial" w:hAnsi="Arial" w:cs="Arial"/>
          <w:b/>
          <w:bCs/>
        </w:rPr>
        <w:t>Recommendations</w:t>
      </w:r>
      <w:bookmarkEnd w:id="13"/>
    </w:p>
    <w:p w14:paraId="0AEF6FC4" w14:textId="0BAE0BF6" w:rsidR="00AC403B" w:rsidRPr="00781646" w:rsidRDefault="00FB591F" w:rsidP="00781646">
      <w:pPr>
        <w:pStyle w:val="Heading2"/>
        <w:rPr>
          <w:rFonts w:ascii="Arial" w:hAnsi="Arial" w:cs="Arial"/>
          <w:b/>
          <w:bCs/>
        </w:rPr>
      </w:pPr>
      <w:r w:rsidRPr="00552DE0">
        <w:rPr>
          <w:rFonts w:ascii="Arial" w:hAnsi="Arial" w:cs="Arial"/>
          <w:b/>
          <w:bCs/>
        </w:rPr>
        <w:t xml:space="preserve"> </w:t>
      </w:r>
    </w:p>
    <w:p w14:paraId="517EEE3D" w14:textId="0A7CC307" w:rsidR="00A6356D" w:rsidRDefault="0004052F" w:rsidP="00BA494E">
      <w:pPr>
        <w:spacing w:line="360" w:lineRule="auto"/>
      </w:pPr>
      <w:r w:rsidRPr="00781646">
        <w:rPr>
          <w:b/>
          <w:bCs/>
          <w:u w:val="single"/>
        </w:rPr>
        <w:t>Professional Skepticism</w:t>
      </w:r>
      <w:r w:rsidRPr="00781646">
        <w:rPr>
          <w:u w:val="single"/>
        </w:rPr>
        <w:t>:</w:t>
      </w:r>
      <w:r>
        <w:t xml:space="preserve"> </w:t>
      </w:r>
      <w:r w:rsidR="00F674B9">
        <w:t>EY</w:t>
      </w:r>
      <w:r>
        <w:t xml:space="preserve"> should have applied </w:t>
      </w:r>
      <w:r w:rsidR="00076183">
        <w:t xml:space="preserve">a </w:t>
      </w:r>
      <w:r>
        <w:t xml:space="preserve">high level of professional skepticism throughout the years of engagement with Wirecard. </w:t>
      </w:r>
      <w:r w:rsidR="00F674B9">
        <w:t>EY</w:t>
      </w:r>
      <w:r w:rsidR="001D29CC">
        <w:t xml:space="preserve"> failed to verify the </w:t>
      </w:r>
      <w:r w:rsidR="00031AC8">
        <w:t>unusual acquisitions and other financial transactions</w:t>
      </w:r>
      <w:r w:rsidR="00A6356D">
        <w:t xml:space="preserve">. </w:t>
      </w:r>
      <w:r w:rsidR="00AE2CCC">
        <w:t>Also, the</w:t>
      </w:r>
      <w:r w:rsidR="00162E30">
        <w:t xml:space="preserve">re was a of </w:t>
      </w:r>
      <w:r w:rsidR="00AE2CCC">
        <w:t xml:space="preserve">lack of audit evidence for the alleged </w:t>
      </w:r>
      <w:r w:rsidR="00AE2CCC" w:rsidRPr="00AE2CCC">
        <w:t>“€1.9 billion”</w:t>
      </w:r>
      <w:r w:rsidR="00635B7B">
        <w:t xml:space="preserve"> held in Philippine banks. </w:t>
      </w:r>
      <w:r w:rsidR="00F674B9">
        <w:t>EY</w:t>
      </w:r>
      <w:r w:rsidR="00635B7B">
        <w:t xml:space="preserve"> should </w:t>
      </w:r>
      <w:r w:rsidR="00EF0640">
        <w:t xml:space="preserve">have </w:t>
      </w:r>
      <w:r w:rsidR="00FB0A54">
        <w:t>substantiate</w:t>
      </w:r>
      <w:r w:rsidR="00162E30">
        <w:t>d</w:t>
      </w:r>
      <w:r w:rsidR="00FB0A54">
        <w:t xml:space="preserve"> the verbal assurances from the management </w:t>
      </w:r>
      <w:r w:rsidR="002B42D2">
        <w:t>by</w:t>
      </w:r>
      <w:r w:rsidR="0000765F">
        <w:t xml:space="preserve"> gathering sufficient and appropriate evidence.</w:t>
      </w:r>
    </w:p>
    <w:p w14:paraId="7610F5D8" w14:textId="77777777" w:rsidR="00A00601" w:rsidRPr="00781646" w:rsidRDefault="00A00601" w:rsidP="00BA494E">
      <w:pPr>
        <w:spacing w:line="360" w:lineRule="auto"/>
      </w:pPr>
    </w:p>
    <w:p w14:paraId="1E8EECA0" w14:textId="2E32F642" w:rsidR="000B29BE" w:rsidRDefault="00A6356D" w:rsidP="00BA494E">
      <w:pPr>
        <w:spacing w:line="360" w:lineRule="auto"/>
        <w:rPr>
          <w:rFonts w:cs="Arial"/>
        </w:rPr>
      </w:pPr>
      <w:r w:rsidRPr="00781646">
        <w:rPr>
          <w:b/>
          <w:bCs/>
          <w:u w:val="single"/>
        </w:rPr>
        <w:t xml:space="preserve">Verification </w:t>
      </w:r>
      <w:r w:rsidR="00714F51" w:rsidRPr="00781646">
        <w:rPr>
          <w:b/>
          <w:bCs/>
          <w:u w:val="single"/>
        </w:rPr>
        <w:t>o</w:t>
      </w:r>
      <w:r w:rsidR="00D6715C" w:rsidRPr="00781646">
        <w:rPr>
          <w:b/>
          <w:bCs/>
          <w:u w:val="single"/>
        </w:rPr>
        <w:t>f Financial Transaction</w:t>
      </w:r>
      <w:r w:rsidR="00714F51" w:rsidRPr="00781646">
        <w:rPr>
          <w:b/>
          <w:bCs/>
          <w:u w:val="single"/>
        </w:rPr>
        <w:t>s</w:t>
      </w:r>
      <w:r w:rsidR="00D6715C" w:rsidRPr="00781646">
        <w:rPr>
          <w:b/>
          <w:bCs/>
          <w:u w:val="single"/>
        </w:rPr>
        <w:t xml:space="preserve"> </w:t>
      </w:r>
      <w:r w:rsidR="00714F51" w:rsidRPr="00781646">
        <w:rPr>
          <w:b/>
          <w:bCs/>
          <w:u w:val="single"/>
        </w:rPr>
        <w:t>i</w:t>
      </w:r>
      <w:r w:rsidR="00D6715C" w:rsidRPr="00781646">
        <w:rPr>
          <w:b/>
          <w:bCs/>
          <w:u w:val="single"/>
        </w:rPr>
        <w:t xml:space="preserve">n </w:t>
      </w:r>
      <w:r w:rsidR="008A01D7" w:rsidRPr="00781646">
        <w:rPr>
          <w:b/>
          <w:bCs/>
          <w:u w:val="single"/>
        </w:rPr>
        <w:t>TPAs</w:t>
      </w:r>
      <w:r w:rsidR="00D252A9" w:rsidRPr="00781646">
        <w:rPr>
          <w:u w:val="single"/>
        </w:rPr>
        <w:t>:</w:t>
      </w:r>
      <w:r w:rsidR="00D252A9">
        <w:t xml:space="preserve"> </w:t>
      </w:r>
      <w:r w:rsidR="00F674B9">
        <w:t>EY</w:t>
      </w:r>
      <w:r w:rsidR="00D252A9">
        <w:t xml:space="preserve"> </w:t>
      </w:r>
      <w:r w:rsidR="001F1143">
        <w:t xml:space="preserve">should have performed </w:t>
      </w:r>
      <w:r w:rsidR="00A36A5C">
        <w:t>ade</w:t>
      </w:r>
      <w:r w:rsidR="003B3CB8">
        <w:t xml:space="preserve">quate audit </w:t>
      </w:r>
      <w:r w:rsidR="00E34B32">
        <w:t xml:space="preserve">procedures </w:t>
      </w:r>
      <w:r w:rsidR="00214515">
        <w:t xml:space="preserve">to </w:t>
      </w:r>
      <w:r w:rsidR="00E34B32">
        <w:t xml:space="preserve">testify </w:t>
      </w:r>
      <w:r w:rsidR="00714F51">
        <w:t xml:space="preserve">about </w:t>
      </w:r>
      <w:r w:rsidR="008D1FAC">
        <w:t>the transactions between Wirecard and its TPSs</w:t>
      </w:r>
      <w:r w:rsidR="00485804">
        <w:t xml:space="preserve">. </w:t>
      </w:r>
      <w:r w:rsidR="00F674B9">
        <w:t>EY</w:t>
      </w:r>
      <w:r w:rsidR="00485804">
        <w:t xml:space="preserve"> should have agreed</w:t>
      </w:r>
      <w:r w:rsidR="00D74873">
        <w:t xml:space="preserve"> to</w:t>
      </w:r>
      <w:r w:rsidR="00485804">
        <w:t xml:space="preserve"> the </w:t>
      </w:r>
      <w:r w:rsidR="00B74CDD">
        <w:t xml:space="preserve">amount of </w:t>
      </w:r>
      <w:r w:rsidR="00B74CDD" w:rsidRPr="00F573F6">
        <w:rPr>
          <w:rFonts w:cs="Arial"/>
        </w:rPr>
        <w:t>“€1.9 billion”</w:t>
      </w:r>
      <w:r w:rsidR="00974E0D">
        <w:rPr>
          <w:rFonts w:cs="Arial"/>
        </w:rPr>
        <w:t xml:space="preserve"> </w:t>
      </w:r>
      <w:r w:rsidR="008C5186">
        <w:rPr>
          <w:rFonts w:cs="Arial"/>
        </w:rPr>
        <w:t>with confirmations directly from bank</w:t>
      </w:r>
      <w:r w:rsidR="00E67761">
        <w:rPr>
          <w:rFonts w:cs="Arial"/>
        </w:rPr>
        <w:t xml:space="preserve">s to ensure </w:t>
      </w:r>
      <w:r w:rsidR="00EF4FAB">
        <w:rPr>
          <w:rFonts w:cs="Arial"/>
        </w:rPr>
        <w:t>that the reported cash balances  existed, addressing the risk of fictitious cash balances.</w:t>
      </w:r>
    </w:p>
    <w:p w14:paraId="366E81C5" w14:textId="77777777" w:rsidR="00A00601" w:rsidRDefault="00A00601" w:rsidP="00BA494E">
      <w:pPr>
        <w:spacing w:line="360" w:lineRule="auto"/>
        <w:rPr>
          <w:rFonts w:cs="Arial"/>
        </w:rPr>
      </w:pPr>
    </w:p>
    <w:p w14:paraId="595998F6" w14:textId="5E05081E" w:rsidR="00B164FA" w:rsidRDefault="000B29BE" w:rsidP="00BA494E">
      <w:pPr>
        <w:spacing w:line="360" w:lineRule="auto"/>
        <w:rPr>
          <w:rFonts w:cs="Arial"/>
        </w:rPr>
      </w:pPr>
      <w:r w:rsidRPr="009D6CCC">
        <w:rPr>
          <w:rFonts w:cs="Arial"/>
          <w:b/>
          <w:bCs/>
          <w:u w:val="single"/>
        </w:rPr>
        <w:t xml:space="preserve">Proper </w:t>
      </w:r>
      <w:r w:rsidR="0012128E" w:rsidRPr="009D6CCC">
        <w:rPr>
          <w:rFonts w:cs="Arial"/>
          <w:b/>
          <w:bCs/>
          <w:u w:val="single"/>
        </w:rPr>
        <w:t xml:space="preserve">Response </w:t>
      </w:r>
      <w:r w:rsidR="00D74873" w:rsidRPr="009D6CCC">
        <w:rPr>
          <w:rFonts w:cs="Arial"/>
          <w:b/>
          <w:bCs/>
          <w:u w:val="single"/>
        </w:rPr>
        <w:t>t</w:t>
      </w:r>
      <w:r w:rsidR="0012128E" w:rsidRPr="009D6CCC">
        <w:rPr>
          <w:rFonts w:cs="Arial"/>
          <w:b/>
          <w:bCs/>
          <w:u w:val="single"/>
        </w:rPr>
        <w:t>o Whistleblower Allegations</w:t>
      </w:r>
      <w:r w:rsidR="00D6715C">
        <w:rPr>
          <w:rFonts w:cs="Arial"/>
        </w:rPr>
        <w:t xml:space="preserve">: </w:t>
      </w:r>
      <w:r w:rsidR="00F674B9">
        <w:rPr>
          <w:rFonts w:cs="Arial"/>
        </w:rPr>
        <w:t>EY</w:t>
      </w:r>
      <w:r w:rsidR="00CD0ECC">
        <w:rPr>
          <w:rFonts w:cs="Arial"/>
        </w:rPr>
        <w:t xml:space="preserve"> </w:t>
      </w:r>
      <w:r w:rsidR="006F4A4B">
        <w:rPr>
          <w:rFonts w:cs="Arial"/>
        </w:rPr>
        <w:t xml:space="preserve">should have </w:t>
      </w:r>
      <w:r w:rsidR="00B67168">
        <w:rPr>
          <w:rFonts w:cs="Arial"/>
        </w:rPr>
        <w:t xml:space="preserve">seriously </w:t>
      </w:r>
      <w:r w:rsidR="006F4A4B">
        <w:rPr>
          <w:rFonts w:cs="Arial"/>
        </w:rPr>
        <w:t xml:space="preserve">considered </w:t>
      </w:r>
      <w:r w:rsidR="00B67168">
        <w:rPr>
          <w:rFonts w:cs="Arial"/>
        </w:rPr>
        <w:t>the allegations made by the whistleblower in the Singapore headquarters</w:t>
      </w:r>
      <w:r w:rsidR="001441FF">
        <w:rPr>
          <w:rFonts w:cs="Arial"/>
        </w:rPr>
        <w:t xml:space="preserve">. </w:t>
      </w:r>
      <w:r w:rsidR="00F674B9">
        <w:rPr>
          <w:rFonts w:cs="Arial"/>
        </w:rPr>
        <w:t>EY</w:t>
      </w:r>
      <w:r w:rsidR="002A7F76">
        <w:rPr>
          <w:rFonts w:cs="Arial"/>
        </w:rPr>
        <w:t xml:space="preserve"> should have review</w:t>
      </w:r>
      <w:r w:rsidR="008E2F08">
        <w:rPr>
          <w:rFonts w:cs="Arial"/>
        </w:rPr>
        <w:t>ed</w:t>
      </w:r>
      <w:r w:rsidR="002A7F76">
        <w:rPr>
          <w:rFonts w:cs="Arial"/>
        </w:rPr>
        <w:t xml:space="preserve"> </w:t>
      </w:r>
      <w:r w:rsidR="0062220E">
        <w:rPr>
          <w:rFonts w:cs="Arial"/>
        </w:rPr>
        <w:t xml:space="preserve">the allegations </w:t>
      </w:r>
      <w:r w:rsidR="002D7AC6">
        <w:rPr>
          <w:rFonts w:cs="Arial"/>
        </w:rPr>
        <w:t xml:space="preserve">with </w:t>
      </w:r>
      <w:r w:rsidR="008E2F08">
        <w:rPr>
          <w:rFonts w:cs="Arial"/>
        </w:rPr>
        <w:t xml:space="preserve">the </w:t>
      </w:r>
      <w:r w:rsidR="002D7AC6">
        <w:rPr>
          <w:rFonts w:cs="Arial"/>
        </w:rPr>
        <w:t xml:space="preserve">company’s </w:t>
      </w:r>
      <w:r w:rsidR="002D7AC6" w:rsidRPr="007B44BB">
        <w:rPr>
          <w:rFonts w:cs="Arial"/>
        </w:rPr>
        <w:t>response thereto</w:t>
      </w:r>
      <w:r w:rsidR="00785220">
        <w:rPr>
          <w:rFonts w:cs="Arial"/>
        </w:rPr>
        <w:t xml:space="preserve"> to identify the risk of material misstatements.</w:t>
      </w:r>
    </w:p>
    <w:p w14:paraId="55A6876D" w14:textId="77777777" w:rsidR="00A00601" w:rsidRDefault="00A00601" w:rsidP="00BA494E">
      <w:pPr>
        <w:spacing w:line="360" w:lineRule="auto"/>
        <w:rPr>
          <w:rFonts w:cs="Arial"/>
        </w:rPr>
      </w:pPr>
    </w:p>
    <w:p w14:paraId="1A1D874E" w14:textId="07B43E0E" w:rsidR="00253ECF" w:rsidRDefault="006938FB" w:rsidP="00BA494E">
      <w:pPr>
        <w:spacing w:line="360" w:lineRule="auto"/>
        <w:rPr>
          <w:rFonts w:cs="Arial"/>
        </w:rPr>
      </w:pPr>
      <w:r w:rsidRPr="009D6CCC">
        <w:rPr>
          <w:rFonts w:cs="Arial"/>
          <w:b/>
          <w:bCs/>
          <w:u w:val="single"/>
        </w:rPr>
        <w:t xml:space="preserve">Compliance </w:t>
      </w:r>
      <w:r w:rsidR="008E2F08" w:rsidRPr="009D6CCC">
        <w:rPr>
          <w:rFonts w:cs="Arial"/>
          <w:b/>
          <w:bCs/>
          <w:u w:val="single"/>
        </w:rPr>
        <w:t>with</w:t>
      </w:r>
      <w:r w:rsidRPr="009D6CCC">
        <w:rPr>
          <w:rFonts w:cs="Arial"/>
          <w:b/>
          <w:bCs/>
          <w:u w:val="single"/>
        </w:rPr>
        <w:t xml:space="preserve"> Auditing Standards</w:t>
      </w:r>
      <w:r w:rsidR="006D596E" w:rsidRPr="009D6CCC">
        <w:rPr>
          <w:rFonts w:cs="Arial"/>
          <w:u w:val="single"/>
        </w:rPr>
        <w:t>:</w:t>
      </w:r>
      <w:r w:rsidR="006D596E">
        <w:rPr>
          <w:rFonts w:cs="Arial"/>
        </w:rPr>
        <w:t xml:space="preserve"> </w:t>
      </w:r>
      <w:r w:rsidR="00F674B9">
        <w:rPr>
          <w:rFonts w:cs="Arial"/>
        </w:rPr>
        <w:t>EY</w:t>
      </w:r>
      <w:r w:rsidR="006D596E">
        <w:rPr>
          <w:rFonts w:cs="Arial"/>
        </w:rPr>
        <w:t xml:space="preserve"> was accused of non-compliance </w:t>
      </w:r>
      <w:r w:rsidR="008E2F08">
        <w:rPr>
          <w:rFonts w:cs="Arial"/>
        </w:rPr>
        <w:t xml:space="preserve">with </w:t>
      </w:r>
      <w:r w:rsidR="006D596E">
        <w:rPr>
          <w:rFonts w:cs="Arial"/>
        </w:rPr>
        <w:t>International Auditing S</w:t>
      </w:r>
      <w:r w:rsidR="002928AA">
        <w:rPr>
          <w:rFonts w:cs="Arial"/>
        </w:rPr>
        <w:t>tandard</w:t>
      </w:r>
      <w:r w:rsidR="00552BC5">
        <w:rPr>
          <w:rFonts w:cs="Arial"/>
        </w:rPr>
        <w:t>s</w:t>
      </w:r>
      <w:r w:rsidR="008E2F08">
        <w:rPr>
          <w:rFonts w:cs="Arial"/>
        </w:rPr>
        <w:t>,</w:t>
      </w:r>
      <w:r w:rsidR="00552BC5">
        <w:rPr>
          <w:rFonts w:cs="Arial"/>
        </w:rPr>
        <w:t xml:space="preserve"> namely</w:t>
      </w:r>
      <w:r w:rsidR="008E2F08">
        <w:rPr>
          <w:rFonts w:cs="Arial"/>
        </w:rPr>
        <w:t>:</w:t>
      </w:r>
      <w:r w:rsidR="00552BC5">
        <w:rPr>
          <w:rFonts w:cs="Arial"/>
        </w:rPr>
        <w:t xml:space="preserve"> </w:t>
      </w:r>
      <w:r w:rsidR="00552BC5" w:rsidRPr="00870516">
        <w:rPr>
          <w:rFonts w:cs="Arial"/>
          <w:b/>
          <w:bCs/>
        </w:rPr>
        <w:t>ISA 500</w:t>
      </w:r>
      <w:r w:rsidR="00552BC5">
        <w:rPr>
          <w:rFonts w:cs="Arial"/>
        </w:rPr>
        <w:t xml:space="preserve"> (audit evidence) to </w:t>
      </w:r>
      <w:r w:rsidR="00574066">
        <w:rPr>
          <w:rFonts w:cs="Arial"/>
        </w:rPr>
        <w:t>gather sufficient and appropriate</w:t>
      </w:r>
      <w:r w:rsidR="00CD0ECC">
        <w:rPr>
          <w:rFonts w:cs="Arial"/>
        </w:rPr>
        <w:t xml:space="preserve"> evidence</w:t>
      </w:r>
      <w:r w:rsidR="00392F53">
        <w:rPr>
          <w:rFonts w:cs="Arial"/>
        </w:rPr>
        <w:t xml:space="preserve">, </w:t>
      </w:r>
      <w:r w:rsidR="00392F53" w:rsidRPr="00870516">
        <w:rPr>
          <w:rFonts w:cs="Arial"/>
          <w:b/>
          <w:bCs/>
        </w:rPr>
        <w:t>ISA 2</w:t>
      </w:r>
      <w:r w:rsidR="00394E30" w:rsidRPr="00870516">
        <w:rPr>
          <w:rFonts w:cs="Arial"/>
          <w:b/>
          <w:bCs/>
        </w:rPr>
        <w:t>2</w:t>
      </w:r>
      <w:r w:rsidR="00392F53" w:rsidRPr="00870516">
        <w:rPr>
          <w:rFonts w:cs="Arial"/>
          <w:b/>
          <w:bCs/>
        </w:rPr>
        <w:t>0</w:t>
      </w:r>
      <w:r w:rsidR="00392F53">
        <w:rPr>
          <w:rFonts w:cs="Arial"/>
        </w:rPr>
        <w:t xml:space="preserve"> (quality </w:t>
      </w:r>
      <w:r w:rsidR="00394E30">
        <w:rPr>
          <w:rFonts w:cs="Arial"/>
        </w:rPr>
        <w:t>control for an audit of financial statements</w:t>
      </w:r>
      <w:r w:rsidR="00F50EF5">
        <w:rPr>
          <w:rFonts w:cs="Arial"/>
        </w:rPr>
        <w:t xml:space="preserve">) to </w:t>
      </w:r>
      <w:r w:rsidR="009349A8">
        <w:rPr>
          <w:rFonts w:cs="Arial"/>
        </w:rPr>
        <w:t>secure engagement quality</w:t>
      </w:r>
      <w:r w:rsidR="007F1028">
        <w:rPr>
          <w:rFonts w:cs="Arial"/>
        </w:rPr>
        <w:t>;</w:t>
      </w:r>
      <w:r w:rsidR="00131400">
        <w:rPr>
          <w:rFonts w:cs="Arial"/>
        </w:rPr>
        <w:t xml:space="preserve"> and </w:t>
      </w:r>
      <w:r w:rsidR="00131400" w:rsidRPr="00870516">
        <w:rPr>
          <w:rFonts w:cs="Arial"/>
          <w:b/>
          <w:bCs/>
        </w:rPr>
        <w:t>ISA 315</w:t>
      </w:r>
      <w:r w:rsidR="00C30441">
        <w:rPr>
          <w:rFonts w:cs="Arial"/>
        </w:rPr>
        <w:t xml:space="preserve"> </w:t>
      </w:r>
      <w:r w:rsidR="009349A8">
        <w:rPr>
          <w:rFonts w:cs="Arial"/>
        </w:rPr>
        <w:t>(i</w:t>
      </w:r>
      <w:r w:rsidR="00131400">
        <w:rPr>
          <w:rFonts w:cs="Arial"/>
        </w:rPr>
        <w:t>dentifyi</w:t>
      </w:r>
      <w:r w:rsidR="009349A8">
        <w:rPr>
          <w:rFonts w:cs="Arial"/>
        </w:rPr>
        <w:t xml:space="preserve">ng </w:t>
      </w:r>
      <w:r w:rsidR="00131400">
        <w:rPr>
          <w:rFonts w:cs="Arial"/>
        </w:rPr>
        <w:t>and assessing the risk of material misstatements)</w:t>
      </w:r>
      <w:r w:rsidR="003A3B3E">
        <w:rPr>
          <w:rFonts w:cs="Arial"/>
        </w:rPr>
        <w:t xml:space="preserve"> for </w:t>
      </w:r>
      <w:r w:rsidR="00CD0ECC">
        <w:rPr>
          <w:rFonts w:cs="Arial"/>
        </w:rPr>
        <w:t xml:space="preserve">a </w:t>
      </w:r>
      <w:r w:rsidR="0059316E">
        <w:rPr>
          <w:rFonts w:cs="Arial"/>
        </w:rPr>
        <w:t>rigorous assessment of audit risks.</w:t>
      </w:r>
    </w:p>
    <w:p w14:paraId="3419CC7D" w14:textId="77777777" w:rsidR="00A00601" w:rsidRDefault="00A00601" w:rsidP="00BA494E">
      <w:pPr>
        <w:spacing w:line="360" w:lineRule="auto"/>
        <w:rPr>
          <w:rFonts w:cs="Arial"/>
        </w:rPr>
      </w:pPr>
    </w:p>
    <w:p w14:paraId="1855C21C" w14:textId="032EFA4F" w:rsidR="005B3ABD" w:rsidRDefault="00253ECF" w:rsidP="00BA494E">
      <w:pPr>
        <w:spacing w:line="360" w:lineRule="auto"/>
        <w:rPr>
          <w:rFonts w:cs="Arial"/>
          <w:b/>
          <w:bCs/>
        </w:rPr>
      </w:pPr>
      <w:r w:rsidRPr="009D6CCC">
        <w:rPr>
          <w:rFonts w:cs="Arial"/>
          <w:b/>
          <w:bCs/>
          <w:u w:val="single"/>
        </w:rPr>
        <w:t xml:space="preserve">Communication with Corporate </w:t>
      </w:r>
      <w:r w:rsidR="00EF67B3" w:rsidRPr="009D6CCC">
        <w:rPr>
          <w:rFonts w:cs="Arial"/>
          <w:b/>
          <w:bCs/>
          <w:u w:val="single"/>
        </w:rPr>
        <w:t>Governance</w:t>
      </w:r>
      <w:r>
        <w:rPr>
          <w:rFonts w:cs="Arial"/>
        </w:rPr>
        <w:t>:</w:t>
      </w:r>
      <w:r w:rsidR="00EF67B3">
        <w:rPr>
          <w:rFonts w:cs="Arial"/>
        </w:rPr>
        <w:t xml:space="preserve"> </w:t>
      </w:r>
      <w:r w:rsidR="00F674B9">
        <w:rPr>
          <w:rFonts w:cs="Arial"/>
        </w:rPr>
        <w:t>EY</w:t>
      </w:r>
      <w:r w:rsidR="00EF67B3">
        <w:rPr>
          <w:rFonts w:cs="Arial"/>
        </w:rPr>
        <w:t xml:space="preserve"> </w:t>
      </w:r>
      <w:r w:rsidR="00D34B06">
        <w:rPr>
          <w:rFonts w:cs="Arial"/>
        </w:rPr>
        <w:t xml:space="preserve">should have ensured that the internal channel </w:t>
      </w:r>
      <w:r w:rsidR="00D901EB">
        <w:rPr>
          <w:rFonts w:cs="Arial"/>
        </w:rPr>
        <w:t xml:space="preserve">(pg.6) </w:t>
      </w:r>
      <w:r w:rsidR="00FF67B8">
        <w:rPr>
          <w:rFonts w:cs="Arial"/>
        </w:rPr>
        <w:t xml:space="preserve">is </w:t>
      </w:r>
      <w:r w:rsidR="00381DB5">
        <w:rPr>
          <w:rFonts w:cs="Arial"/>
        </w:rPr>
        <w:t xml:space="preserve">used to </w:t>
      </w:r>
      <w:r w:rsidR="0054797F">
        <w:rPr>
          <w:rFonts w:cs="Arial"/>
        </w:rPr>
        <w:t xml:space="preserve">communicate material </w:t>
      </w:r>
      <w:r w:rsidR="004D4DC1">
        <w:rPr>
          <w:rFonts w:cs="Arial"/>
        </w:rPr>
        <w:t>findings</w:t>
      </w:r>
      <w:r w:rsidR="000828C6">
        <w:rPr>
          <w:rFonts w:cs="Arial"/>
        </w:rPr>
        <w:t xml:space="preserve"> </w:t>
      </w:r>
      <w:r w:rsidR="00381DB5">
        <w:rPr>
          <w:rFonts w:cs="Arial"/>
        </w:rPr>
        <w:t xml:space="preserve">to the Supervisory Board </w:t>
      </w:r>
      <w:r w:rsidR="000828C6">
        <w:rPr>
          <w:rFonts w:cs="Arial"/>
        </w:rPr>
        <w:t xml:space="preserve">as per </w:t>
      </w:r>
      <w:r w:rsidR="000828C6" w:rsidRPr="00870516">
        <w:rPr>
          <w:rFonts w:cs="Arial"/>
          <w:b/>
          <w:bCs/>
        </w:rPr>
        <w:t>ISA 260</w:t>
      </w:r>
      <w:r w:rsidR="00781646">
        <w:rPr>
          <w:rFonts w:cs="Arial"/>
        </w:rPr>
        <w:t xml:space="preserve"> and </w:t>
      </w:r>
      <w:r w:rsidR="00781646" w:rsidRPr="00870516">
        <w:rPr>
          <w:rFonts w:cs="Arial"/>
          <w:b/>
          <w:bCs/>
        </w:rPr>
        <w:t>ISA 265.</w:t>
      </w:r>
    </w:p>
    <w:p w14:paraId="4E1A6F74" w14:textId="77777777" w:rsidR="00A00601" w:rsidRDefault="00A00601" w:rsidP="00BA494E">
      <w:pPr>
        <w:spacing w:line="360" w:lineRule="auto"/>
        <w:rPr>
          <w:rFonts w:cs="Arial"/>
        </w:rPr>
      </w:pPr>
    </w:p>
    <w:p w14:paraId="3B971925" w14:textId="1E0C9377" w:rsidR="003629A6" w:rsidRPr="00A00601" w:rsidRDefault="00F61AFA" w:rsidP="00A00601">
      <w:pPr>
        <w:spacing w:line="360" w:lineRule="auto"/>
        <w:rPr>
          <w:rFonts w:cs="Arial"/>
        </w:rPr>
      </w:pPr>
      <w:r>
        <w:rPr>
          <w:rFonts w:cs="Arial"/>
        </w:rPr>
        <w:t xml:space="preserve">The major accusation against </w:t>
      </w:r>
      <w:r w:rsidR="00F674B9">
        <w:rPr>
          <w:rFonts w:cs="Arial"/>
        </w:rPr>
        <w:t>EY</w:t>
      </w:r>
      <w:r>
        <w:rPr>
          <w:rFonts w:cs="Arial"/>
        </w:rPr>
        <w:t xml:space="preserve"> was its </w:t>
      </w:r>
      <w:r w:rsidR="00B00E93" w:rsidRPr="009D6CCC">
        <w:rPr>
          <w:rFonts w:cs="Arial"/>
          <w:b/>
          <w:bCs/>
          <w:u w:val="single"/>
        </w:rPr>
        <w:t>non-compliance</w:t>
      </w:r>
      <w:r w:rsidRPr="009D6CCC">
        <w:rPr>
          <w:rFonts w:cs="Arial"/>
          <w:b/>
          <w:bCs/>
          <w:u w:val="single"/>
        </w:rPr>
        <w:t xml:space="preserve"> </w:t>
      </w:r>
      <w:r w:rsidR="00460D0F" w:rsidRPr="009D6CCC">
        <w:rPr>
          <w:rFonts w:cs="Arial"/>
          <w:b/>
          <w:bCs/>
          <w:u w:val="single"/>
        </w:rPr>
        <w:t xml:space="preserve">with </w:t>
      </w:r>
      <w:r w:rsidRPr="009D6CCC">
        <w:rPr>
          <w:rFonts w:cs="Arial"/>
          <w:b/>
          <w:bCs/>
          <w:u w:val="single"/>
        </w:rPr>
        <w:t xml:space="preserve">laws and </w:t>
      </w:r>
      <w:r w:rsidR="009768CC" w:rsidRPr="009D6CCC">
        <w:rPr>
          <w:rFonts w:cs="Arial"/>
          <w:b/>
          <w:bCs/>
          <w:u w:val="single"/>
        </w:rPr>
        <w:t>regulations</w:t>
      </w:r>
      <w:r w:rsidR="00402B10" w:rsidRPr="009D6CCC">
        <w:rPr>
          <w:rFonts w:cs="Arial"/>
          <w:u w:val="single"/>
        </w:rPr>
        <w:t xml:space="preserve"> (NOCLAR)</w:t>
      </w:r>
      <w:r w:rsidR="00AD6C17" w:rsidRPr="009D6CCC">
        <w:rPr>
          <w:rFonts w:cs="Arial"/>
          <w:u w:val="single"/>
        </w:rPr>
        <w:t xml:space="preserve"> and </w:t>
      </w:r>
      <w:r w:rsidR="005D70D5" w:rsidRPr="009D6CCC">
        <w:rPr>
          <w:rFonts w:cs="Arial"/>
          <w:b/>
          <w:bCs/>
          <w:u w:val="single"/>
        </w:rPr>
        <w:t>non-adherence</w:t>
      </w:r>
      <w:r w:rsidR="00E36DD7" w:rsidRPr="009D6CCC">
        <w:rPr>
          <w:rFonts w:cs="Arial"/>
          <w:b/>
          <w:bCs/>
          <w:u w:val="single"/>
        </w:rPr>
        <w:t xml:space="preserve"> to the IFAC Code of Ethics</w:t>
      </w:r>
      <w:r w:rsidR="00E36DD7" w:rsidRPr="009D6CCC">
        <w:rPr>
          <w:rFonts w:cs="Arial"/>
          <w:u w:val="single"/>
        </w:rPr>
        <w:t xml:space="preserve">, </w:t>
      </w:r>
      <w:r w:rsidR="00E36DD7">
        <w:rPr>
          <w:rFonts w:cs="Arial"/>
        </w:rPr>
        <w:t>which</w:t>
      </w:r>
      <w:r w:rsidR="00781646">
        <w:rPr>
          <w:rFonts w:cs="Arial"/>
        </w:rPr>
        <w:t xml:space="preserve"> </w:t>
      </w:r>
      <w:r w:rsidR="00E36DD7">
        <w:rPr>
          <w:rFonts w:cs="Arial"/>
        </w:rPr>
        <w:t>requires the aud</w:t>
      </w:r>
      <w:r w:rsidR="00932DC1">
        <w:rPr>
          <w:rFonts w:cs="Arial"/>
        </w:rPr>
        <w:t>itor to perform audit</w:t>
      </w:r>
      <w:r w:rsidR="00057803">
        <w:rPr>
          <w:rFonts w:cs="Arial"/>
        </w:rPr>
        <w:t>s</w:t>
      </w:r>
      <w:r w:rsidR="00932DC1">
        <w:rPr>
          <w:rFonts w:cs="Arial"/>
        </w:rPr>
        <w:t xml:space="preserve"> with </w:t>
      </w:r>
      <w:r w:rsidR="005D70D5">
        <w:rPr>
          <w:rFonts w:cs="Arial"/>
        </w:rPr>
        <w:t xml:space="preserve">integrity, objectivity, </w:t>
      </w:r>
      <w:r w:rsidR="00057803">
        <w:rPr>
          <w:rFonts w:cs="Arial"/>
        </w:rPr>
        <w:t xml:space="preserve">and </w:t>
      </w:r>
      <w:r w:rsidR="005D70D5">
        <w:rPr>
          <w:rFonts w:cs="Arial"/>
        </w:rPr>
        <w:t>professional behaviour.</w:t>
      </w:r>
      <w:r w:rsidR="00F1706F">
        <w:rPr>
          <w:rFonts w:cs="Arial"/>
        </w:rPr>
        <w:t xml:space="preserve"> </w:t>
      </w:r>
      <w:bookmarkStart w:id="14" w:name="_Toc170080178"/>
    </w:p>
    <w:p w14:paraId="3FCE3196" w14:textId="53790066" w:rsidR="00DE7840" w:rsidRDefault="001C5BDA" w:rsidP="00DE7840">
      <w:pPr>
        <w:pStyle w:val="Heading2"/>
        <w:rPr>
          <w:rFonts w:ascii="Arial" w:hAnsi="Arial" w:cs="Arial"/>
          <w:b/>
          <w:bCs/>
        </w:rPr>
      </w:pPr>
      <w:r w:rsidRPr="00552DE0">
        <w:rPr>
          <w:rFonts w:ascii="Arial" w:hAnsi="Arial" w:cs="Arial"/>
          <w:b/>
          <w:bCs/>
        </w:rPr>
        <w:t>References</w:t>
      </w:r>
      <w:bookmarkEnd w:id="14"/>
    </w:p>
    <w:p w14:paraId="508AC021" w14:textId="77777777" w:rsidR="00DE7840" w:rsidRPr="00DE7840" w:rsidRDefault="00DE7840" w:rsidP="00DE7840">
      <w:pPr>
        <w:rPr>
          <w:lang w:val="en-GB" w:eastAsia="en-US"/>
        </w:rPr>
      </w:pPr>
    </w:p>
    <w:p w14:paraId="06C64446" w14:textId="1887B069" w:rsidR="009D37BA" w:rsidRPr="009D37BA" w:rsidRDefault="009D37BA" w:rsidP="009D37BA">
      <w:pPr>
        <w:spacing w:line="480" w:lineRule="atLeast"/>
        <w:jc w:val="left"/>
        <w:rPr>
          <w:rFonts w:cs="Arial"/>
          <w:color w:val="000000"/>
        </w:rPr>
      </w:pPr>
      <w:bookmarkStart w:id="15" w:name="_Toc170080179"/>
      <w:r w:rsidRPr="009D37BA">
        <w:rPr>
          <w:rFonts w:cs="Arial"/>
          <w:color w:val="000000"/>
        </w:rPr>
        <w:t>DAX 40 (DAX 30) Index Today (GDAXI). (2024, February 22). Investing.com UK. https://uk.investing.com/indices/germany-30</w:t>
      </w:r>
    </w:p>
    <w:p w14:paraId="56790CD9" w14:textId="635674A8" w:rsidR="0066290E" w:rsidRPr="0066290E" w:rsidRDefault="0066290E" w:rsidP="00A00601">
      <w:pPr>
        <w:spacing w:line="480" w:lineRule="atLeast"/>
        <w:jc w:val="left"/>
        <w:rPr>
          <w:rFonts w:cs="Arial"/>
          <w:color w:val="000000"/>
        </w:rPr>
      </w:pPr>
      <w:r w:rsidRPr="0066290E">
        <w:rPr>
          <w:rFonts w:cs="Arial"/>
          <w:color w:val="000000"/>
        </w:rPr>
        <w:t>Betz, F., &amp; Kim, M. (2021). Economic Regulation and Corporate Governance: The Case of Wirecard. </w:t>
      </w:r>
      <w:r w:rsidRPr="0066290E">
        <w:rPr>
          <w:rFonts w:cs="Arial"/>
          <w:i/>
          <w:iCs/>
          <w:color w:val="000000"/>
        </w:rPr>
        <w:t>Modern Economy</w:t>
      </w:r>
      <w:r w:rsidRPr="0066290E">
        <w:rPr>
          <w:rFonts w:cs="Arial"/>
          <w:color w:val="000000"/>
        </w:rPr>
        <w:t>, </w:t>
      </w:r>
      <w:r w:rsidRPr="0066290E">
        <w:rPr>
          <w:rFonts w:cs="Arial"/>
          <w:i/>
          <w:iCs/>
          <w:color w:val="000000"/>
        </w:rPr>
        <w:t>12</w:t>
      </w:r>
      <w:r w:rsidRPr="0066290E">
        <w:rPr>
          <w:rFonts w:cs="Arial"/>
          <w:color w:val="000000"/>
        </w:rPr>
        <w:t>(09), 1386–1423. https://doi.org/10.4236/me.2021.129072</w:t>
      </w:r>
    </w:p>
    <w:p w14:paraId="7CEEC7EE" w14:textId="77777777" w:rsidR="0066290E" w:rsidRPr="0066290E" w:rsidRDefault="0066290E" w:rsidP="00A00601">
      <w:pPr>
        <w:spacing w:line="480" w:lineRule="atLeast"/>
        <w:jc w:val="left"/>
        <w:rPr>
          <w:rFonts w:cs="Arial"/>
          <w:color w:val="000000"/>
        </w:rPr>
      </w:pPr>
      <w:r w:rsidRPr="0066290E">
        <w:rPr>
          <w:rFonts w:cs="Arial"/>
          <w:color w:val="000000"/>
        </w:rPr>
        <w:t>Boyd, R. (2018, January 23). </w:t>
      </w:r>
      <w:r w:rsidRPr="0066290E">
        <w:rPr>
          <w:rFonts w:cs="Arial"/>
          <w:i/>
          <w:iCs/>
          <w:color w:val="000000"/>
        </w:rPr>
        <w:t>Wirecard AG: The Great Indian Shareholder Robbery</w:t>
      </w:r>
      <w:r w:rsidRPr="0066290E">
        <w:rPr>
          <w:rFonts w:cs="Arial"/>
          <w:color w:val="000000"/>
        </w:rPr>
        <w:t>. The Foundation for Financial Journalism. https://ffj-online.org/2018/01/23/wirecard-ag-the-great-indian-shareholder-robbery/</w:t>
      </w:r>
    </w:p>
    <w:p w14:paraId="6F78F343" w14:textId="77777777" w:rsidR="0066290E" w:rsidRPr="0066290E" w:rsidRDefault="0066290E" w:rsidP="00A00601">
      <w:pPr>
        <w:spacing w:line="480" w:lineRule="atLeast"/>
        <w:jc w:val="left"/>
        <w:rPr>
          <w:rFonts w:cs="Arial"/>
          <w:color w:val="000000"/>
        </w:rPr>
      </w:pPr>
      <w:r w:rsidRPr="0066290E">
        <w:rPr>
          <w:rFonts w:cs="Arial"/>
          <w:color w:val="000000"/>
        </w:rPr>
        <w:t>Chen, J. J. (2022). Wirecard. </w:t>
      </w:r>
      <w:r w:rsidRPr="0066290E">
        <w:rPr>
          <w:rFonts w:cs="Arial"/>
          <w:i/>
          <w:iCs/>
          <w:color w:val="000000"/>
        </w:rPr>
        <w:t>International Cases of Corporate Governance</w:t>
      </w:r>
      <w:r w:rsidRPr="0066290E">
        <w:rPr>
          <w:rFonts w:cs="Arial"/>
          <w:color w:val="000000"/>
        </w:rPr>
        <w:t>, 67–82. https://doi.org/10.1007/978-981-19-3238-0_5</w:t>
      </w:r>
    </w:p>
    <w:p w14:paraId="0E1950A5" w14:textId="77777777" w:rsidR="0066290E" w:rsidRPr="0066290E" w:rsidRDefault="0066290E" w:rsidP="00A00601">
      <w:pPr>
        <w:spacing w:line="480" w:lineRule="atLeast"/>
        <w:jc w:val="left"/>
        <w:rPr>
          <w:rFonts w:cs="Arial"/>
          <w:color w:val="000000"/>
        </w:rPr>
      </w:pPr>
      <w:r w:rsidRPr="0066290E">
        <w:rPr>
          <w:rFonts w:cs="Arial"/>
          <w:color w:val="000000"/>
        </w:rPr>
        <w:t>Eckler, M. (2020, October 14). </w:t>
      </w:r>
      <w:r w:rsidRPr="0066290E">
        <w:rPr>
          <w:rFonts w:cs="Arial"/>
          <w:i/>
          <w:iCs/>
          <w:color w:val="000000"/>
        </w:rPr>
        <w:t>The Wirecard Fiasco: Digital Payments Gone Wrong</w:t>
      </w:r>
      <w:r w:rsidRPr="0066290E">
        <w:rPr>
          <w:rFonts w:cs="Arial"/>
          <w:color w:val="000000"/>
        </w:rPr>
        <w:t>. Practical Ecommerce. https://www.practicalecommerce.com/the-wirecard-fiasco-digital-payments-gone-wrong</w:t>
      </w:r>
    </w:p>
    <w:p w14:paraId="7C3794CB" w14:textId="77777777" w:rsidR="0066290E" w:rsidRPr="0066290E" w:rsidRDefault="0066290E" w:rsidP="00A00601">
      <w:pPr>
        <w:spacing w:line="480" w:lineRule="atLeast"/>
        <w:jc w:val="left"/>
        <w:rPr>
          <w:rFonts w:cs="Arial"/>
          <w:color w:val="000000"/>
        </w:rPr>
      </w:pPr>
      <w:r w:rsidRPr="0066290E">
        <w:rPr>
          <w:rFonts w:cs="Arial"/>
          <w:color w:val="000000"/>
        </w:rPr>
        <w:t>Ghosh, T. (2021, June). </w:t>
      </w:r>
      <w:r w:rsidRPr="0066290E">
        <w:rPr>
          <w:rFonts w:cs="Arial"/>
          <w:i/>
          <w:iCs/>
          <w:color w:val="000000"/>
        </w:rPr>
        <w:t>Wirecard collapse, Ernst &amp; Young audit failure and Investigative Journalism of Dan McCrum</w:t>
      </w:r>
      <w:r w:rsidRPr="0066290E">
        <w:rPr>
          <w:rFonts w:cs="Arial"/>
          <w:color w:val="000000"/>
        </w:rPr>
        <w:t>. ResearchGate. https://www.researchgate.net/publication/352778018_Wirecard_collapse_Ernst_Young_audit_failure_and_Investigative_Journalism_of_Dan_McCrum</w:t>
      </w:r>
    </w:p>
    <w:p w14:paraId="0E1740E1" w14:textId="41629514" w:rsidR="00BB6E00" w:rsidRDefault="008C1F20" w:rsidP="00A00601">
      <w:pPr>
        <w:spacing w:line="480" w:lineRule="atLeast"/>
        <w:jc w:val="left"/>
        <w:rPr>
          <w:rFonts w:cs="Arial"/>
          <w:color w:val="000000"/>
        </w:rPr>
      </w:pPr>
      <w:r w:rsidRPr="008C1F20">
        <w:rPr>
          <w:rFonts w:cs="Arial"/>
          <w:color w:val="000000"/>
        </w:rPr>
        <w:t>International Auditing and Assurance Standards Board. (2022). </w:t>
      </w:r>
      <w:r w:rsidRPr="008C1F20">
        <w:rPr>
          <w:rFonts w:cs="Arial"/>
          <w:i/>
          <w:iCs/>
          <w:color w:val="000000"/>
        </w:rPr>
        <w:t>2022 Handbook of International Quality Management, Auditing, Review, Other Assurance, and Related Services Pronouncements | IAASB</w:t>
      </w:r>
      <w:r w:rsidRPr="008C1F20">
        <w:rPr>
          <w:rFonts w:cs="Arial"/>
          <w:color w:val="000000"/>
        </w:rPr>
        <w:t>. Www.iaasb.org. https://www.iaasb.org/publications/2022-handbook-international-quality-management-auditing-review-other-assurance-and-related-services</w:t>
      </w:r>
    </w:p>
    <w:p w14:paraId="7B541B31" w14:textId="07D83FE1" w:rsidR="0066290E" w:rsidRPr="0066290E" w:rsidRDefault="0066290E" w:rsidP="00A00601">
      <w:pPr>
        <w:spacing w:line="480" w:lineRule="atLeast"/>
        <w:jc w:val="left"/>
        <w:rPr>
          <w:rFonts w:cs="Arial"/>
          <w:color w:val="000000"/>
        </w:rPr>
      </w:pPr>
      <w:r w:rsidRPr="0066290E">
        <w:rPr>
          <w:rFonts w:cs="Arial"/>
          <w:color w:val="000000"/>
        </w:rPr>
        <w:t>Jakubeit, R. (2021). </w:t>
      </w:r>
      <w:r w:rsidRPr="0066290E">
        <w:rPr>
          <w:rFonts w:cs="Arial"/>
          <w:i/>
          <w:iCs/>
          <w:color w:val="000000"/>
        </w:rPr>
        <w:t>The Wirecard scandal and the role of BaFin A case for unifying capital markets supervision in the European Union René Jakubeit</w:t>
      </w:r>
      <w:r w:rsidRPr="0066290E">
        <w:rPr>
          <w:rFonts w:cs="Arial"/>
          <w:color w:val="000000"/>
        </w:rPr>
        <w:t>. https://leap.luiss.it/wp-content/uploads/2022/09/WP5.21-The-Wirecard-scandal-and-the-role-of-Bafin.pdf. Regulatory environment and oversight.</w:t>
      </w:r>
    </w:p>
    <w:p w14:paraId="64A412C5" w14:textId="77777777" w:rsidR="0066290E" w:rsidRPr="0066290E" w:rsidRDefault="0066290E" w:rsidP="00A00601">
      <w:pPr>
        <w:spacing w:line="480" w:lineRule="atLeast"/>
        <w:jc w:val="left"/>
        <w:rPr>
          <w:rFonts w:cs="Arial"/>
          <w:color w:val="000000"/>
        </w:rPr>
      </w:pPr>
      <w:r w:rsidRPr="0066290E">
        <w:rPr>
          <w:rFonts w:cs="Arial"/>
          <w:color w:val="000000"/>
        </w:rPr>
        <w:t>Jo, H., Hsu, A., Llanos-Popolizio, R., &amp; Vergara-Vega, J. (2021). Corporate Governance and Financial Fraud of Wirecard. </w:t>
      </w:r>
      <w:r w:rsidRPr="0066290E">
        <w:rPr>
          <w:rFonts w:cs="Arial"/>
          <w:i/>
          <w:iCs/>
          <w:color w:val="000000"/>
        </w:rPr>
        <w:t>European Journal of Business and Management Research</w:t>
      </w:r>
      <w:r w:rsidRPr="0066290E">
        <w:rPr>
          <w:rFonts w:cs="Arial"/>
          <w:color w:val="000000"/>
        </w:rPr>
        <w:t>, </w:t>
      </w:r>
      <w:r w:rsidRPr="0066290E">
        <w:rPr>
          <w:rFonts w:cs="Arial"/>
          <w:i/>
          <w:iCs/>
          <w:color w:val="000000"/>
        </w:rPr>
        <w:t>6</w:t>
      </w:r>
      <w:r w:rsidRPr="0066290E">
        <w:rPr>
          <w:rFonts w:cs="Arial"/>
          <w:color w:val="000000"/>
        </w:rPr>
        <w:t>(2), 96–106. https://doi.org/10.24018/ejbmr.2021.6.2.708</w:t>
      </w:r>
    </w:p>
    <w:p w14:paraId="05710608" w14:textId="77777777" w:rsidR="0066290E" w:rsidRPr="0066290E" w:rsidRDefault="0066290E" w:rsidP="00A00601">
      <w:pPr>
        <w:spacing w:line="480" w:lineRule="atLeast"/>
        <w:jc w:val="left"/>
        <w:rPr>
          <w:rFonts w:cs="Arial"/>
          <w:color w:val="000000"/>
        </w:rPr>
      </w:pPr>
      <w:r w:rsidRPr="0066290E">
        <w:rPr>
          <w:rFonts w:cs="Arial"/>
          <w:color w:val="000000"/>
        </w:rPr>
        <w:t>Kara. (2020, November 19). </w:t>
      </w:r>
      <w:r w:rsidRPr="0066290E">
        <w:rPr>
          <w:rFonts w:cs="Arial"/>
          <w:i/>
          <w:iCs/>
          <w:color w:val="000000"/>
        </w:rPr>
        <w:t>Wirecard: Another Fintech Fraud</w:t>
      </w:r>
      <w:r w:rsidRPr="0066290E">
        <w:rPr>
          <w:rFonts w:cs="Arial"/>
          <w:color w:val="000000"/>
        </w:rPr>
        <w:t>. Seven Pillars Institute. https://mail.sevenpillarsinstitute.org/wirecard-another-fintech-fraud/#:~:text=The%20fraud%20came%20to%20light</w:t>
      </w:r>
    </w:p>
    <w:p w14:paraId="5C011B0D" w14:textId="77777777" w:rsidR="0066290E" w:rsidRPr="0066290E" w:rsidRDefault="0066290E" w:rsidP="00A00601">
      <w:pPr>
        <w:spacing w:line="480" w:lineRule="atLeast"/>
        <w:jc w:val="left"/>
        <w:rPr>
          <w:rFonts w:cs="Arial"/>
          <w:color w:val="000000"/>
        </w:rPr>
      </w:pPr>
      <w:r w:rsidRPr="0066290E">
        <w:rPr>
          <w:rFonts w:cs="Arial"/>
          <w:color w:val="000000"/>
        </w:rPr>
        <w:t>Langenbucher, K., Leuz, C., Krahnen, J. P., &amp; Pelizzon, L. (2020). </w:t>
      </w:r>
      <w:r w:rsidRPr="0066290E">
        <w:rPr>
          <w:rFonts w:cs="Arial"/>
          <w:i/>
          <w:iCs/>
          <w:color w:val="000000"/>
        </w:rPr>
        <w:t>What are the wider supervisory implications of the Wirecard case?</w:t>
      </w:r>
      <w:r w:rsidRPr="0066290E">
        <w:rPr>
          <w:rFonts w:cs="Arial"/>
          <w:color w:val="000000"/>
        </w:rPr>
        <w:t> Www.econstor.eu. https://www.econstor.eu/handle/10419/226215</w:t>
      </w:r>
    </w:p>
    <w:p w14:paraId="317799C4" w14:textId="77777777" w:rsidR="0066290E" w:rsidRPr="0066290E" w:rsidRDefault="0066290E" w:rsidP="00A00601">
      <w:pPr>
        <w:spacing w:line="480" w:lineRule="atLeast"/>
        <w:jc w:val="left"/>
        <w:rPr>
          <w:rFonts w:cs="Arial"/>
          <w:color w:val="000000"/>
        </w:rPr>
      </w:pPr>
      <w:r w:rsidRPr="0066290E">
        <w:rPr>
          <w:rFonts w:cs="Arial"/>
          <w:color w:val="000000"/>
        </w:rPr>
        <w:t>McCrum, D. (2020a, June 25). </w:t>
      </w:r>
      <w:r w:rsidRPr="0066290E">
        <w:rPr>
          <w:rFonts w:cs="Arial"/>
          <w:i/>
          <w:iCs/>
          <w:color w:val="000000"/>
        </w:rPr>
        <w:t>Subscribe to read | Financial Times</w:t>
      </w:r>
      <w:r w:rsidRPr="0066290E">
        <w:rPr>
          <w:rFonts w:cs="Arial"/>
          <w:color w:val="000000"/>
        </w:rPr>
        <w:t>. Www.ft.com. https://www.ft.com/content/ac949729-6167-4b6c-ac3f-f0aa71aca193</w:t>
      </w:r>
    </w:p>
    <w:p w14:paraId="5452B816" w14:textId="77777777" w:rsidR="0066290E" w:rsidRPr="0066290E" w:rsidRDefault="0066290E" w:rsidP="00A00601">
      <w:pPr>
        <w:spacing w:line="480" w:lineRule="atLeast"/>
        <w:jc w:val="left"/>
        <w:rPr>
          <w:rFonts w:cs="Arial"/>
          <w:color w:val="000000"/>
        </w:rPr>
      </w:pPr>
      <w:r w:rsidRPr="0066290E">
        <w:rPr>
          <w:rFonts w:cs="Arial"/>
          <w:color w:val="000000"/>
        </w:rPr>
        <w:t>McCrum, D. (2020b, June 25). </w:t>
      </w:r>
      <w:r w:rsidRPr="0066290E">
        <w:rPr>
          <w:rFonts w:cs="Arial"/>
          <w:i/>
          <w:iCs/>
          <w:color w:val="000000"/>
        </w:rPr>
        <w:t>Wirecard: The Timeline</w:t>
      </w:r>
      <w:r w:rsidRPr="0066290E">
        <w:rPr>
          <w:rFonts w:cs="Arial"/>
          <w:color w:val="000000"/>
        </w:rPr>
        <w:t>. Www.ft.com. https://www.ft.com/content/284fb1ad-ddc0-45df-a075-0709b36868db</w:t>
      </w:r>
    </w:p>
    <w:p w14:paraId="046D1390" w14:textId="77777777" w:rsidR="0066290E" w:rsidRPr="0066290E" w:rsidRDefault="0066290E" w:rsidP="00A00601">
      <w:pPr>
        <w:spacing w:line="480" w:lineRule="atLeast"/>
        <w:jc w:val="left"/>
        <w:rPr>
          <w:rFonts w:cs="Arial"/>
          <w:color w:val="000000"/>
        </w:rPr>
      </w:pPr>
      <w:r w:rsidRPr="0066290E">
        <w:rPr>
          <w:rFonts w:cs="Arial"/>
          <w:color w:val="000000"/>
        </w:rPr>
        <w:t>McCrum, D., Palma, S., &amp; Storbeck, O. (2021, May 20). </w:t>
      </w:r>
      <w:r w:rsidRPr="0066290E">
        <w:rPr>
          <w:rFonts w:cs="Arial"/>
          <w:i/>
          <w:iCs/>
          <w:color w:val="000000"/>
        </w:rPr>
        <w:t>Subscribe to read | Financial Times</w:t>
      </w:r>
      <w:r w:rsidRPr="0066290E">
        <w:rPr>
          <w:rFonts w:cs="Arial"/>
          <w:color w:val="000000"/>
        </w:rPr>
        <w:t>. Www.ft.com. https://www.ft.com/content/1d74221e-1321-4f8c-9ca9-a4371629f178</w:t>
      </w:r>
    </w:p>
    <w:p w14:paraId="6794408B" w14:textId="77777777" w:rsidR="0066290E" w:rsidRPr="0066290E" w:rsidRDefault="0066290E" w:rsidP="00A00601">
      <w:pPr>
        <w:spacing w:line="480" w:lineRule="atLeast"/>
        <w:jc w:val="left"/>
        <w:rPr>
          <w:rFonts w:cs="Arial"/>
          <w:color w:val="000000"/>
        </w:rPr>
      </w:pPr>
      <w:r w:rsidRPr="0066290E">
        <w:rPr>
          <w:rFonts w:cs="Arial"/>
          <w:color w:val="000000"/>
        </w:rPr>
        <w:t>Meagher, P. (2023, January 6). </w:t>
      </w:r>
      <w:r w:rsidRPr="0066290E">
        <w:rPr>
          <w:rFonts w:cs="Arial"/>
          <w:i/>
          <w:iCs/>
          <w:color w:val="000000"/>
        </w:rPr>
        <w:t>The Wirecard Scandal: Uncovering Fraud and Financial Misconduct at a Leading Payment Processor</w:t>
      </w:r>
      <w:r w:rsidRPr="0066290E">
        <w:rPr>
          <w:rFonts w:cs="Arial"/>
          <w:color w:val="000000"/>
        </w:rPr>
        <w:t>. Learnsignal. https://www.learnsignal.com/blog/wirecard-scandal-detailed-analysis/#:~:text=delisted%20its%20shares.-</w:t>
      </w:r>
    </w:p>
    <w:p w14:paraId="3D7D0E68" w14:textId="77777777" w:rsidR="0066290E" w:rsidRPr="0066290E" w:rsidRDefault="0066290E" w:rsidP="00A00601">
      <w:pPr>
        <w:spacing w:line="480" w:lineRule="atLeast"/>
        <w:jc w:val="left"/>
        <w:rPr>
          <w:rFonts w:cs="Arial"/>
          <w:color w:val="000000"/>
        </w:rPr>
      </w:pPr>
      <w:r w:rsidRPr="0066290E">
        <w:rPr>
          <w:rFonts w:cs="Arial"/>
          <w:color w:val="000000"/>
        </w:rPr>
        <w:t>Sancak, I. E., &amp; Loew, E. (2022, December 28). </w:t>
      </w:r>
      <w:r w:rsidRPr="0066290E">
        <w:rPr>
          <w:rFonts w:cs="Arial"/>
          <w:i/>
          <w:iCs/>
          <w:color w:val="000000"/>
        </w:rPr>
        <w:t>Revisiting Corporate Governance with Wirecard in the post-Enron Era</w:t>
      </w:r>
      <w:r w:rsidRPr="0066290E">
        <w:rPr>
          <w:rFonts w:cs="Arial"/>
          <w:color w:val="000000"/>
        </w:rPr>
        <w:t>. Papers.ssrn.com. https://papers.ssrn.com/sol3/papers.cfm?abstract_id=4313820</w:t>
      </w:r>
    </w:p>
    <w:p w14:paraId="019E7391" w14:textId="77777777" w:rsidR="0066290E" w:rsidRPr="0066290E" w:rsidRDefault="0066290E" w:rsidP="00A00601">
      <w:pPr>
        <w:spacing w:line="480" w:lineRule="atLeast"/>
        <w:jc w:val="left"/>
        <w:rPr>
          <w:rFonts w:cs="Arial"/>
          <w:color w:val="000000"/>
        </w:rPr>
      </w:pPr>
      <w:r w:rsidRPr="0066290E">
        <w:rPr>
          <w:rFonts w:cs="Arial"/>
          <w:color w:val="000000"/>
        </w:rPr>
        <w:t>Stevenson-Yang, A., &amp; Kroeber, S. (2015). </w:t>
      </w:r>
      <w:r w:rsidRPr="0066290E">
        <w:rPr>
          <w:rFonts w:cs="Arial"/>
          <w:i/>
          <w:iCs/>
          <w:color w:val="000000"/>
        </w:rPr>
        <w:t>More Missing Acquisitions</w:t>
      </w:r>
      <w:r w:rsidRPr="0066290E">
        <w:rPr>
          <w:rFonts w:cs="Arial"/>
          <w:color w:val="000000"/>
        </w:rPr>
        <w:t>. https://www.jcapitalresearch.com/uploads/2/0/0/3/20032477/2015_12_20_wirecard_update.pdf</w:t>
      </w:r>
    </w:p>
    <w:p w14:paraId="36C4359A" w14:textId="77777777" w:rsidR="0066290E" w:rsidRPr="0066290E" w:rsidRDefault="0066290E" w:rsidP="00A00601">
      <w:pPr>
        <w:spacing w:line="480" w:lineRule="atLeast"/>
        <w:jc w:val="left"/>
        <w:rPr>
          <w:rFonts w:cs="Arial"/>
          <w:color w:val="000000"/>
        </w:rPr>
      </w:pPr>
      <w:r w:rsidRPr="0066290E">
        <w:rPr>
          <w:rFonts w:cs="Arial"/>
          <w:color w:val="000000"/>
        </w:rPr>
        <w:t>Storbeck , O. (2024, April 19). </w:t>
      </w:r>
      <w:r w:rsidRPr="0066290E">
        <w:rPr>
          <w:rFonts w:cs="Arial"/>
          <w:i/>
          <w:iCs/>
          <w:color w:val="000000"/>
        </w:rPr>
        <w:t>EY’s Wirecard audits marred by “repeated grave” violations of duties, says watchdog</w:t>
      </w:r>
      <w:r w:rsidRPr="0066290E">
        <w:rPr>
          <w:rFonts w:cs="Arial"/>
          <w:color w:val="000000"/>
        </w:rPr>
        <w:t>. Www.ft.com. https://www.ft.com/content/0661fcc2-7eff-4a9f-8d21-1c449c0206c8</w:t>
      </w:r>
    </w:p>
    <w:p w14:paraId="20492A11" w14:textId="77777777" w:rsidR="0066290E" w:rsidRPr="0066290E" w:rsidRDefault="0066290E" w:rsidP="00A00601">
      <w:pPr>
        <w:spacing w:line="480" w:lineRule="atLeast"/>
        <w:jc w:val="left"/>
        <w:rPr>
          <w:rFonts w:cs="Arial"/>
          <w:color w:val="000000"/>
        </w:rPr>
      </w:pPr>
      <w:r w:rsidRPr="0066290E">
        <w:rPr>
          <w:rFonts w:cs="Arial"/>
          <w:color w:val="000000"/>
        </w:rPr>
        <w:t>Storbeck, O. (2021a, April 17). </w:t>
      </w:r>
      <w:r w:rsidRPr="0066290E">
        <w:rPr>
          <w:rFonts w:cs="Arial"/>
          <w:i/>
          <w:iCs/>
          <w:color w:val="000000"/>
        </w:rPr>
        <w:t>Subscribe to read | Financial Times</w:t>
      </w:r>
      <w:r w:rsidRPr="0066290E">
        <w:rPr>
          <w:rFonts w:cs="Arial"/>
          <w:color w:val="000000"/>
        </w:rPr>
        <w:t>. Www.ft.com. https://www.ft.com/content/abd89375-3fa1-4457-abd6-b3e3231ba339</w:t>
      </w:r>
    </w:p>
    <w:p w14:paraId="31DF9A4E" w14:textId="77777777" w:rsidR="0066290E" w:rsidRPr="0066290E" w:rsidRDefault="0066290E" w:rsidP="00A00601">
      <w:pPr>
        <w:spacing w:line="480" w:lineRule="atLeast"/>
        <w:jc w:val="left"/>
        <w:rPr>
          <w:rFonts w:cs="Arial"/>
          <w:color w:val="000000"/>
        </w:rPr>
      </w:pPr>
      <w:r w:rsidRPr="0066290E">
        <w:rPr>
          <w:rFonts w:cs="Arial"/>
          <w:color w:val="000000"/>
        </w:rPr>
        <w:t>Storbeck, O. (2021b, May 6). EY fraud expert: “incomprehensible” that Wirecard “red flags” were ignored. </w:t>
      </w:r>
      <w:r w:rsidRPr="0066290E">
        <w:rPr>
          <w:rFonts w:cs="Arial"/>
          <w:i/>
          <w:iCs/>
          <w:color w:val="000000"/>
        </w:rPr>
        <w:t>Financial Times</w:t>
      </w:r>
      <w:r w:rsidRPr="0066290E">
        <w:rPr>
          <w:rFonts w:cs="Arial"/>
          <w:color w:val="000000"/>
        </w:rPr>
        <w:t>. https://www.ft.com/content/0288d7b1-1e52-4a3d-a9e1-6850afae0d26</w:t>
      </w:r>
    </w:p>
    <w:p w14:paraId="6A2F6ACA" w14:textId="77777777" w:rsidR="0066290E" w:rsidRPr="0066290E" w:rsidRDefault="0066290E" w:rsidP="00A00601">
      <w:pPr>
        <w:spacing w:line="480" w:lineRule="atLeast"/>
        <w:jc w:val="left"/>
        <w:rPr>
          <w:rFonts w:cs="Arial"/>
          <w:color w:val="000000"/>
        </w:rPr>
      </w:pPr>
      <w:r w:rsidRPr="0066290E">
        <w:rPr>
          <w:rFonts w:cs="Arial"/>
          <w:color w:val="000000"/>
        </w:rPr>
        <w:t>Storbeck, O. (2021c, October 26). EY and Wirecard: anatomy of a flawed audit. </w:t>
      </w:r>
      <w:r w:rsidRPr="0066290E">
        <w:rPr>
          <w:rFonts w:cs="Arial"/>
          <w:i/>
          <w:iCs/>
          <w:color w:val="000000"/>
        </w:rPr>
        <w:t>Financial Times</w:t>
      </w:r>
      <w:r w:rsidRPr="0066290E">
        <w:rPr>
          <w:rFonts w:cs="Arial"/>
          <w:color w:val="000000"/>
        </w:rPr>
        <w:t>. https://www.ft.com/content/bcadbdcb-5cd7-487e-afdd-1e926831e9b7</w:t>
      </w:r>
    </w:p>
    <w:p w14:paraId="3820BA06" w14:textId="77777777" w:rsidR="0066290E" w:rsidRPr="0066290E" w:rsidRDefault="0066290E" w:rsidP="00A00601">
      <w:pPr>
        <w:spacing w:line="480" w:lineRule="atLeast"/>
        <w:jc w:val="left"/>
        <w:rPr>
          <w:rFonts w:cs="Arial"/>
          <w:color w:val="000000"/>
        </w:rPr>
      </w:pPr>
      <w:r w:rsidRPr="0066290E">
        <w:rPr>
          <w:rFonts w:cs="Arial"/>
          <w:color w:val="000000"/>
        </w:rPr>
        <w:t>Storbeck, O., Kinder, T., &amp; Palma, S. (2020, June 26). </w:t>
      </w:r>
      <w:r w:rsidRPr="0066290E">
        <w:rPr>
          <w:rFonts w:cs="Arial"/>
          <w:i/>
          <w:iCs/>
          <w:color w:val="000000"/>
        </w:rPr>
        <w:t>EY failed to check Wirecard bank statements for 3 years</w:t>
      </w:r>
      <w:r w:rsidRPr="0066290E">
        <w:rPr>
          <w:rFonts w:cs="Arial"/>
          <w:color w:val="000000"/>
        </w:rPr>
        <w:t>. Www.ft.com. https://www.ft.com/content/a9deb987-df70-4a72-bd41-47ed8942e83b</w:t>
      </w:r>
    </w:p>
    <w:p w14:paraId="5A8D4E92" w14:textId="77777777" w:rsidR="0066290E" w:rsidRPr="0066290E" w:rsidRDefault="0066290E" w:rsidP="00A00601">
      <w:pPr>
        <w:spacing w:line="480" w:lineRule="atLeast"/>
        <w:jc w:val="left"/>
        <w:rPr>
          <w:rFonts w:cs="Arial"/>
          <w:color w:val="000000"/>
        </w:rPr>
      </w:pPr>
      <w:r w:rsidRPr="0066290E">
        <w:rPr>
          <w:rFonts w:cs="Arial"/>
          <w:color w:val="000000"/>
        </w:rPr>
        <w:t>Storbeck, O., &amp; Ruehl, M. (2023, August 1). Wirecard’s auditor EY was too gullible, Singapore suspect claims. </w:t>
      </w:r>
      <w:r w:rsidRPr="0066290E">
        <w:rPr>
          <w:rFonts w:cs="Arial"/>
          <w:i/>
          <w:iCs/>
          <w:color w:val="000000"/>
        </w:rPr>
        <w:t>Financial Times</w:t>
      </w:r>
      <w:r w:rsidRPr="0066290E">
        <w:rPr>
          <w:rFonts w:cs="Arial"/>
          <w:color w:val="000000"/>
        </w:rPr>
        <w:t>. https://www.ft.com/content/db9fa3d7-11da-476e-beea-d5ed0ad137ed</w:t>
      </w:r>
    </w:p>
    <w:p w14:paraId="0CDE28FC" w14:textId="77777777" w:rsidR="00B70668" w:rsidRPr="00B70668" w:rsidRDefault="00B70668" w:rsidP="00A00601">
      <w:pPr>
        <w:pStyle w:val="NormalWeb"/>
        <w:spacing w:line="360" w:lineRule="auto"/>
        <w:rPr>
          <w:color w:val="000000"/>
        </w:rPr>
      </w:pPr>
    </w:p>
    <w:p w14:paraId="41B122CA" w14:textId="77777777" w:rsidR="0066290E" w:rsidRDefault="0066290E" w:rsidP="0066290E">
      <w:pPr>
        <w:rPr>
          <w:lang w:val="en-GB" w:eastAsia="en-US"/>
        </w:rPr>
      </w:pPr>
    </w:p>
    <w:p w14:paraId="1967874B" w14:textId="77777777" w:rsidR="0066290E" w:rsidRPr="0066290E" w:rsidRDefault="0066290E" w:rsidP="0066290E">
      <w:pPr>
        <w:rPr>
          <w:lang w:val="en-GB" w:eastAsia="en-US"/>
        </w:rPr>
      </w:pPr>
    </w:p>
    <w:p w14:paraId="2649D6F5" w14:textId="77777777" w:rsidR="003629A6" w:rsidRDefault="003629A6" w:rsidP="00DE7840">
      <w:pPr>
        <w:pStyle w:val="Heading2"/>
        <w:rPr>
          <w:b/>
          <w:bCs/>
        </w:rPr>
      </w:pPr>
    </w:p>
    <w:p w14:paraId="0FA03E88" w14:textId="77777777" w:rsidR="003629A6" w:rsidRDefault="003629A6" w:rsidP="00DE7840">
      <w:pPr>
        <w:pStyle w:val="Heading2"/>
        <w:rPr>
          <w:b/>
          <w:bCs/>
        </w:rPr>
      </w:pPr>
    </w:p>
    <w:p w14:paraId="32BEED6A" w14:textId="77777777" w:rsidR="003629A6" w:rsidRDefault="003629A6" w:rsidP="00DE7840">
      <w:pPr>
        <w:pStyle w:val="Heading2"/>
        <w:rPr>
          <w:b/>
          <w:bCs/>
        </w:rPr>
      </w:pPr>
    </w:p>
    <w:p w14:paraId="56599FC4" w14:textId="77777777" w:rsidR="003629A6" w:rsidRDefault="003629A6" w:rsidP="00DE7840">
      <w:pPr>
        <w:pStyle w:val="Heading2"/>
        <w:rPr>
          <w:b/>
          <w:bCs/>
        </w:rPr>
      </w:pPr>
    </w:p>
    <w:p w14:paraId="5500CAA7" w14:textId="77777777" w:rsidR="003629A6" w:rsidRDefault="003629A6" w:rsidP="00DE7840">
      <w:pPr>
        <w:pStyle w:val="Heading2"/>
        <w:rPr>
          <w:b/>
          <w:bCs/>
        </w:rPr>
      </w:pPr>
    </w:p>
    <w:p w14:paraId="1EACD4DE" w14:textId="77777777" w:rsidR="003629A6" w:rsidRDefault="003629A6" w:rsidP="00DE7840">
      <w:pPr>
        <w:pStyle w:val="Heading2"/>
        <w:rPr>
          <w:b/>
          <w:bCs/>
        </w:rPr>
      </w:pPr>
    </w:p>
    <w:p w14:paraId="5256BACF" w14:textId="77777777" w:rsidR="003629A6" w:rsidRDefault="003629A6" w:rsidP="00DE7840">
      <w:pPr>
        <w:pStyle w:val="Heading2"/>
        <w:rPr>
          <w:b/>
          <w:bCs/>
        </w:rPr>
      </w:pPr>
    </w:p>
    <w:p w14:paraId="7ABFD909" w14:textId="77777777" w:rsidR="003629A6" w:rsidRDefault="003629A6" w:rsidP="003629A6">
      <w:pPr>
        <w:rPr>
          <w:lang w:val="en-GB" w:eastAsia="en-US"/>
        </w:rPr>
      </w:pPr>
    </w:p>
    <w:p w14:paraId="7B61A9B3" w14:textId="77777777" w:rsidR="003629A6" w:rsidRDefault="003629A6" w:rsidP="003629A6">
      <w:pPr>
        <w:rPr>
          <w:lang w:val="en-GB" w:eastAsia="en-US"/>
        </w:rPr>
      </w:pPr>
    </w:p>
    <w:p w14:paraId="734C15DA" w14:textId="77777777" w:rsidR="003629A6" w:rsidRPr="003629A6" w:rsidRDefault="003629A6" w:rsidP="003629A6">
      <w:pPr>
        <w:rPr>
          <w:lang w:val="en-GB" w:eastAsia="en-US"/>
        </w:rPr>
      </w:pPr>
    </w:p>
    <w:p w14:paraId="398B62EA" w14:textId="77777777" w:rsidR="00787312" w:rsidRDefault="00787312" w:rsidP="00DE7840">
      <w:pPr>
        <w:pStyle w:val="Heading2"/>
        <w:rPr>
          <w:b/>
          <w:bCs/>
        </w:rPr>
      </w:pPr>
    </w:p>
    <w:p w14:paraId="72E06BC8" w14:textId="77777777" w:rsidR="00787312" w:rsidRDefault="00787312" w:rsidP="00787312">
      <w:pPr>
        <w:rPr>
          <w:lang w:val="en-GB" w:eastAsia="en-US"/>
        </w:rPr>
      </w:pPr>
    </w:p>
    <w:p w14:paraId="0C63376C" w14:textId="77777777" w:rsidR="00787312" w:rsidRPr="00787312" w:rsidRDefault="00787312" w:rsidP="00787312">
      <w:pPr>
        <w:rPr>
          <w:lang w:val="en-GB" w:eastAsia="en-US"/>
        </w:rPr>
      </w:pPr>
    </w:p>
    <w:p w14:paraId="063583B2" w14:textId="182AB5C1" w:rsidR="00DE7840" w:rsidRPr="00DE7840" w:rsidRDefault="001C5BDA" w:rsidP="00DE7840">
      <w:pPr>
        <w:pStyle w:val="Heading2"/>
        <w:rPr>
          <w:b/>
          <w:bCs/>
        </w:rPr>
      </w:pPr>
      <w:r w:rsidRPr="002F74C2">
        <w:rPr>
          <w:b/>
          <w:bCs/>
        </w:rPr>
        <w:t>Ap</w:t>
      </w:r>
      <w:r w:rsidR="00FD52D8">
        <w:rPr>
          <w:b/>
          <w:bCs/>
        </w:rPr>
        <w:t>pendice</w:t>
      </w:r>
      <w:bookmarkEnd w:id="15"/>
      <w:r w:rsidR="00DE7840">
        <w:rPr>
          <w:b/>
          <w:bCs/>
        </w:rPr>
        <w:t>s</w:t>
      </w:r>
    </w:p>
    <w:p w14:paraId="2F4ED510" w14:textId="5339820C" w:rsidR="00B70668" w:rsidRDefault="00AB1F11" w:rsidP="00B70668">
      <w:pPr>
        <w:pStyle w:val="Heading4"/>
        <w:rPr>
          <w:rFonts w:ascii="Arial" w:hAnsi="Arial" w:cs="Arial"/>
          <w:i w:val="0"/>
          <w:iCs w:val="0"/>
        </w:rPr>
      </w:pPr>
      <w:r w:rsidRPr="00552DE0">
        <w:rPr>
          <w:rFonts w:ascii="Arial" w:hAnsi="Arial" w:cs="Arial"/>
          <w:i w:val="0"/>
          <w:iCs w:val="0"/>
        </w:rPr>
        <w:t>App</w:t>
      </w:r>
      <w:r w:rsidR="00FD52D8" w:rsidRPr="00552DE0">
        <w:rPr>
          <w:rFonts w:ascii="Arial" w:hAnsi="Arial" w:cs="Arial"/>
          <w:i w:val="0"/>
          <w:iCs w:val="0"/>
        </w:rPr>
        <w:t>endix</w:t>
      </w:r>
      <w:r w:rsidR="00457524" w:rsidRPr="00552DE0">
        <w:rPr>
          <w:rFonts w:ascii="Arial" w:hAnsi="Arial" w:cs="Arial"/>
          <w:i w:val="0"/>
          <w:iCs w:val="0"/>
        </w:rPr>
        <w:t xml:space="preserve"> </w:t>
      </w:r>
      <w:r w:rsidR="00B70668" w:rsidRPr="00552DE0">
        <w:rPr>
          <w:rFonts w:ascii="Arial" w:hAnsi="Arial" w:cs="Arial"/>
          <w:i w:val="0"/>
          <w:iCs w:val="0"/>
        </w:rPr>
        <w:t xml:space="preserve">1  </w:t>
      </w:r>
    </w:p>
    <w:p w14:paraId="5DDA8DE4" w14:textId="77777777" w:rsidR="00A00601" w:rsidRPr="00A00601" w:rsidRDefault="00A00601" w:rsidP="00A00601">
      <w:pPr>
        <w:rPr>
          <w:lang w:val="en-GB" w:eastAsia="en-US"/>
        </w:rPr>
      </w:pPr>
    </w:p>
    <w:p w14:paraId="154BA573" w14:textId="31DA77BF" w:rsidR="00787312" w:rsidRDefault="00787312" w:rsidP="00787312">
      <w:pPr>
        <w:rPr>
          <w:lang w:val="en-GB" w:eastAsia="en-US"/>
        </w:rPr>
      </w:pPr>
      <w:r>
        <w:rPr>
          <w:lang w:val="en-GB" w:eastAsia="en-US"/>
        </w:rPr>
        <w:t>Wirecard’s business structure</w:t>
      </w:r>
    </w:p>
    <w:p w14:paraId="20A071A8" w14:textId="77777777" w:rsidR="00787312" w:rsidRPr="00787312" w:rsidRDefault="00787312" w:rsidP="00787312">
      <w:pPr>
        <w:rPr>
          <w:lang w:val="en-GB" w:eastAsia="en-US"/>
        </w:rPr>
      </w:pPr>
    </w:p>
    <w:p w14:paraId="6B77F01F" w14:textId="77777777" w:rsidR="00B70668" w:rsidRDefault="00B70668" w:rsidP="009A4E61">
      <w:pPr>
        <w:pStyle w:val="Heading4"/>
        <w:rPr>
          <w:i w:val="0"/>
          <w:iCs w:val="0"/>
        </w:rPr>
      </w:pPr>
    </w:p>
    <w:p w14:paraId="3F38882E" w14:textId="2BB5BA75" w:rsidR="00426848" w:rsidRDefault="00CD4A62" w:rsidP="00B70668">
      <w:r>
        <w:rPr>
          <w:i/>
          <w:iCs/>
          <w:noProof/>
        </w:rPr>
        <w:drawing>
          <wp:inline distT="0" distB="0" distL="0" distR="0" wp14:anchorId="75BEE894" wp14:editId="6426D7CB">
            <wp:extent cx="5981700" cy="4406900"/>
            <wp:effectExtent l="0" t="12700" r="0" b="12700"/>
            <wp:docPr id="171759635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63A55B37" w14:textId="77777777" w:rsidR="00787312" w:rsidRDefault="00787312" w:rsidP="009A4E61">
      <w:pPr>
        <w:pStyle w:val="Heading4"/>
        <w:rPr>
          <w:rFonts w:ascii="Arial" w:hAnsi="Arial" w:cs="Arial"/>
          <w:i w:val="0"/>
          <w:iCs w:val="0"/>
          <w:sz w:val="24"/>
          <w:szCs w:val="24"/>
        </w:rPr>
      </w:pPr>
    </w:p>
    <w:p w14:paraId="702D5569" w14:textId="77777777" w:rsidR="00787312" w:rsidRDefault="00787312" w:rsidP="00787312">
      <w:pPr>
        <w:rPr>
          <w:lang w:val="en-GB" w:eastAsia="en-US"/>
        </w:rPr>
      </w:pPr>
    </w:p>
    <w:p w14:paraId="2C0530F3" w14:textId="77777777" w:rsidR="00787312" w:rsidRDefault="00787312" w:rsidP="00787312">
      <w:pPr>
        <w:rPr>
          <w:lang w:val="en-GB" w:eastAsia="en-US"/>
        </w:rPr>
      </w:pPr>
    </w:p>
    <w:p w14:paraId="7DD17440" w14:textId="77777777" w:rsidR="00787312" w:rsidRDefault="00787312" w:rsidP="00787312">
      <w:pPr>
        <w:rPr>
          <w:lang w:val="en-GB" w:eastAsia="en-US"/>
        </w:rPr>
      </w:pPr>
    </w:p>
    <w:p w14:paraId="46986E82" w14:textId="77777777" w:rsidR="00787312" w:rsidRDefault="00787312" w:rsidP="00787312">
      <w:pPr>
        <w:rPr>
          <w:lang w:val="en-GB" w:eastAsia="en-US"/>
        </w:rPr>
      </w:pPr>
    </w:p>
    <w:p w14:paraId="4C05B4B3" w14:textId="77777777" w:rsidR="00787312" w:rsidRDefault="00787312" w:rsidP="00787312">
      <w:pPr>
        <w:rPr>
          <w:lang w:val="en-GB" w:eastAsia="en-US"/>
        </w:rPr>
      </w:pPr>
    </w:p>
    <w:p w14:paraId="0FC2B7B6" w14:textId="77777777" w:rsidR="00787312" w:rsidRDefault="00787312" w:rsidP="00787312">
      <w:pPr>
        <w:rPr>
          <w:lang w:val="en-GB" w:eastAsia="en-US"/>
        </w:rPr>
      </w:pPr>
    </w:p>
    <w:p w14:paraId="10BE66DA" w14:textId="77777777" w:rsidR="00787312" w:rsidRDefault="00787312" w:rsidP="00787312">
      <w:pPr>
        <w:rPr>
          <w:lang w:val="en-GB" w:eastAsia="en-US"/>
        </w:rPr>
      </w:pPr>
    </w:p>
    <w:p w14:paraId="08E022F6" w14:textId="77777777" w:rsidR="00787312" w:rsidRDefault="00787312" w:rsidP="00787312">
      <w:pPr>
        <w:rPr>
          <w:lang w:val="en-GB" w:eastAsia="en-US"/>
        </w:rPr>
      </w:pPr>
    </w:p>
    <w:p w14:paraId="24EE45CD" w14:textId="77777777" w:rsidR="00787312" w:rsidRPr="00787312" w:rsidRDefault="00787312" w:rsidP="00787312">
      <w:pPr>
        <w:rPr>
          <w:lang w:val="en-GB" w:eastAsia="en-US"/>
        </w:rPr>
      </w:pPr>
    </w:p>
    <w:p w14:paraId="42CDFAE8" w14:textId="77777777" w:rsidR="00787312" w:rsidRDefault="00787312" w:rsidP="00787312">
      <w:pPr>
        <w:rPr>
          <w:lang w:val="en-GB" w:eastAsia="en-US"/>
        </w:rPr>
      </w:pPr>
    </w:p>
    <w:p w14:paraId="18E09E24" w14:textId="77777777" w:rsidR="00787312" w:rsidRPr="00787312" w:rsidRDefault="00787312" w:rsidP="00787312">
      <w:pPr>
        <w:rPr>
          <w:lang w:val="en-GB" w:eastAsia="en-US"/>
        </w:rPr>
      </w:pPr>
    </w:p>
    <w:p w14:paraId="5F40C56C" w14:textId="034751CE" w:rsidR="009A4E61" w:rsidRPr="00552DE0" w:rsidRDefault="00B70668" w:rsidP="009A4E61">
      <w:pPr>
        <w:pStyle w:val="Heading4"/>
        <w:rPr>
          <w:rFonts w:ascii="Arial" w:hAnsi="Arial" w:cs="Arial"/>
          <w:i w:val="0"/>
          <w:iCs w:val="0"/>
          <w:sz w:val="24"/>
          <w:szCs w:val="24"/>
        </w:rPr>
      </w:pPr>
      <w:r w:rsidRPr="00552DE0">
        <w:rPr>
          <w:rFonts w:ascii="Arial" w:hAnsi="Arial" w:cs="Arial"/>
          <w:i w:val="0"/>
          <w:iCs w:val="0"/>
          <w:sz w:val="24"/>
          <w:szCs w:val="24"/>
        </w:rPr>
        <w:t>Appendix 2</w:t>
      </w:r>
    </w:p>
    <w:p w14:paraId="730C13EE" w14:textId="77777777" w:rsidR="009A4E61" w:rsidRDefault="009A4E61" w:rsidP="00E54088">
      <w:pPr>
        <w:pStyle w:val="Heading4"/>
        <w:rPr>
          <w:i w:val="0"/>
          <w:iCs w:val="0"/>
        </w:rPr>
      </w:pPr>
    </w:p>
    <w:p w14:paraId="3FD598F0" w14:textId="77777777" w:rsidR="00CD4A62" w:rsidRDefault="00CD4A62" w:rsidP="00CD4A62">
      <w:pPr>
        <w:rPr>
          <w:rStyle w:val="Hyperlink"/>
        </w:rPr>
      </w:pPr>
      <w:r>
        <w:t xml:space="preserve">Timeline of Events </w:t>
      </w:r>
      <w:hyperlink r:id="rId48" w:history="1">
        <w:r w:rsidRPr="00C04BDE">
          <w:rPr>
            <w:rStyle w:val="Hyperlink"/>
          </w:rPr>
          <w:t>McCrum (2020)</w:t>
        </w:r>
      </w:hyperlink>
      <w:r>
        <w:rPr>
          <w:rStyle w:val="Hyperlink"/>
        </w:rPr>
        <w:t>:</w:t>
      </w:r>
    </w:p>
    <w:p w14:paraId="0059068F" w14:textId="77777777" w:rsidR="00CD4A62" w:rsidRDefault="00CD4A62" w:rsidP="00CD4A62">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tbl>
      <w:tblPr>
        <w:tblW w:w="904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90"/>
        <w:gridCol w:w="7352"/>
      </w:tblGrid>
      <w:tr w:rsidR="00CD4A62" w:rsidRPr="00552DE0" w14:paraId="26FBE1A1" w14:textId="77777777" w:rsidTr="00A00601">
        <w:trPr>
          <w:trHeight w:val="808"/>
        </w:trPr>
        <w:tc>
          <w:tcPr>
            <w:tcW w:w="1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5D52F2" w14:textId="77777777" w:rsidR="00CD4A62" w:rsidRPr="00552DE0" w:rsidRDefault="00CD4A62" w:rsidP="00005D0B">
            <w:pPr>
              <w:pStyle w:val="NormalWeb"/>
              <w:spacing w:before="0" w:beforeAutospacing="0" w:after="0" w:afterAutospacing="0"/>
              <w:rPr>
                <w:rFonts w:cs="Arial"/>
                <w:color w:val="000000"/>
              </w:rPr>
            </w:pPr>
            <w:r w:rsidRPr="00552DE0">
              <w:rPr>
                <w:rFonts w:cs="Arial"/>
                <w:color w:val="000000"/>
              </w:rPr>
              <w:t>Oct 2015</w:t>
            </w:r>
          </w:p>
        </w:tc>
        <w:tc>
          <w:tcPr>
            <w:tcW w:w="7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43F432" w14:textId="77777777" w:rsidR="00CD4A62" w:rsidRPr="00552DE0" w:rsidRDefault="00CD4A62" w:rsidP="00005D0B">
            <w:pPr>
              <w:pStyle w:val="NormalWeb"/>
              <w:spacing w:before="0" w:beforeAutospacing="0" w:after="0" w:afterAutospacing="0"/>
              <w:rPr>
                <w:rFonts w:cs="Arial"/>
                <w:color w:val="000000"/>
              </w:rPr>
            </w:pPr>
            <w:r w:rsidRPr="00552DE0">
              <w:rPr>
                <w:rFonts w:cs="Arial"/>
                <w:color w:val="000000"/>
              </w:rPr>
              <w:t>Wirecard's largest acquisition of Hermes I Tickets Private Ltd for 340m.</w:t>
            </w:r>
          </w:p>
        </w:tc>
      </w:tr>
      <w:tr w:rsidR="00CD4A62" w:rsidRPr="00552DE0" w14:paraId="2F97E465" w14:textId="77777777" w:rsidTr="00A00601">
        <w:trPr>
          <w:trHeight w:val="808"/>
        </w:trPr>
        <w:tc>
          <w:tcPr>
            <w:tcW w:w="1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0BB190" w14:textId="77777777" w:rsidR="00CD4A62" w:rsidRPr="00552DE0" w:rsidRDefault="00CD4A62" w:rsidP="00005D0B">
            <w:pPr>
              <w:pStyle w:val="NormalWeb"/>
              <w:spacing w:before="0" w:beforeAutospacing="0" w:after="0" w:afterAutospacing="0"/>
              <w:rPr>
                <w:rFonts w:cs="Arial"/>
                <w:color w:val="000000"/>
              </w:rPr>
            </w:pPr>
            <w:r w:rsidRPr="00552DE0">
              <w:rPr>
                <w:rFonts w:cs="Arial"/>
                <w:color w:val="000000"/>
              </w:rPr>
              <w:t>2017</w:t>
            </w:r>
          </w:p>
        </w:tc>
        <w:tc>
          <w:tcPr>
            <w:tcW w:w="7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A798A5" w14:textId="77777777" w:rsidR="00CD4A62" w:rsidRPr="00552DE0" w:rsidRDefault="00CD4A62" w:rsidP="00005D0B">
            <w:pPr>
              <w:pStyle w:val="NormalWeb"/>
              <w:spacing w:before="0" w:beforeAutospacing="0" w:after="0" w:afterAutospacing="0"/>
              <w:rPr>
                <w:rFonts w:cs="Arial"/>
                <w:color w:val="000000"/>
              </w:rPr>
            </w:pPr>
            <w:r w:rsidRPr="00552DE0">
              <w:rPr>
                <w:rFonts w:cs="Arial"/>
                <w:color w:val="000000"/>
              </w:rPr>
              <w:t>Wirecard's auditor EY gave an unqualified audit opinion and renewed the investor's spirits for their shares in the company.</w:t>
            </w:r>
          </w:p>
        </w:tc>
      </w:tr>
      <w:tr w:rsidR="00CD4A62" w:rsidRPr="00552DE0" w14:paraId="63C0960F" w14:textId="77777777" w:rsidTr="00A00601">
        <w:trPr>
          <w:trHeight w:val="808"/>
        </w:trPr>
        <w:tc>
          <w:tcPr>
            <w:tcW w:w="1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1CEE1" w14:textId="77777777" w:rsidR="00CD4A62" w:rsidRPr="00552DE0" w:rsidRDefault="00CD4A62" w:rsidP="00005D0B">
            <w:pPr>
              <w:pStyle w:val="NormalWeb"/>
              <w:spacing w:before="0" w:beforeAutospacing="0" w:after="0" w:afterAutospacing="0"/>
              <w:rPr>
                <w:rFonts w:cs="Arial"/>
                <w:color w:val="000000"/>
              </w:rPr>
            </w:pPr>
            <w:r w:rsidRPr="00552DE0">
              <w:rPr>
                <w:rFonts w:cs="Arial"/>
                <w:color w:val="000000"/>
              </w:rPr>
              <w:t>Mar 2018</w:t>
            </w:r>
          </w:p>
        </w:tc>
        <w:tc>
          <w:tcPr>
            <w:tcW w:w="7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A85ED" w14:textId="77777777" w:rsidR="00CD4A62" w:rsidRPr="00552DE0" w:rsidRDefault="00CD4A62" w:rsidP="00005D0B">
            <w:pPr>
              <w:pStyle w:val="NormalWeb"/>
              <w:spacing w:before="0" w:beforeAutospacing="0" w:after="0" w:afterAutospacing="0"/>
              <w:rPr>
                <w:rFonts w:cs="Arial"/>
                <w:color w:val="000000"/>
              </w:rPr>
            </w:pPr>
            <w:r w:rsidRPr="00552DE0">
              <w:rPr>
                <w:rFonts w:cs="Arial"/>
                <w:color w:val="000000"/>
              </w:rPr>
              <w:t>Internal whistleblower alleged that 285m did not go to the seller. Singapore legal team investigates</w:t>
            </w:r>
          </w:p>
        </w:tc>
      </w:tr>
      <w:tr w:rsidR="00CD4A62" w:rsidRPr="00552DE0" w14:paraId="7A74230A" w14:textId="77777777" w:rsidTr="00A00601">
        <w:trPr>
          <w:trHeight w:val="808"/>
        </w:trPr>
        <w:tc>
          <w:tcPr>
            <w:tcW w:w="1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9A9CB" w14:textId="77777777" w:rsidR="00CD4A62" w:rsidRPr="00552DE0" w:rsidRDefault="00CD4A62" w:rsidP="00005D0B">
            <w:pPr>
              <w:pStyle w:val="NormalWeb"/>
              <w:spacing w:before="0" w:beforeAutospacing="0" w:after="0" w:afterAutospacing="0"/>
              <w:rPr>
                <w:rFonts w:cs="Arial"/>
                <w:color w:val="000000"/>
              </w:rPr>
            </w:pPr>
            <w:r w:rsidRPr="00552DE0">
              <w:rPr>
                <w:rFonts w:cs="Arial"/>
                <w:color w:val="000000"/>
              </w:rPr>
              <w:t>Oct 2018</w:t>
            </w:r>
          </w:p>
        </w:tc>
        <w:tc>
          <w:tcPr>
            <w:tcW w:w="7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03C39D" w14:textId="77777777" w:rsidR="00CD4A62" w:rsidRPr="00552DE0" w:rsidRDefault="00CD4A62" w:rsidP="00005D0B">
            <w:pPr>
              <w:pStyle w:val="NormalWeb"/>
              <w:spacing w:before="0" w:beforeAutospacing="0" w:after="0" w:afterAutospacing="0"/>
              <w:rPr>
                <w:rFonts w:cs="Arial"/>
                <w:color w:val="000000"/>
              </w:rPr>
            </w:pPr>
            <w:r w:rsidRPr="00552DE0">
              <w:rPr>
                <w:rFonts w:cs="Arial"/>
                <w:color w:val="000000"/>
              </w:rPr>
              <w:t>As the investigation is discontinued, whistleblower approached Financial Times about the same.</w:t>
            </w:r>
          </w:p>
        </w:tc>
      </w:tr>
      <w:tr w:rsidR="00CD4A62" w:rsidRPr="00552DE0" w14:paraId="7EDA3A9A" w14:textId="77777777" w:rsidTr="00A00601">
        <w:trPr>
          <w:trHeight w:val="1168"/>
        </w:trPr>
        <w:tc>
          <w:tcPr>
            <w:tcW w:w="1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14200" w14:textId="77777777" w:rsidR="00CD4A62" w:rsidRPr="00552DE0" w:rsidRDefault="00CD4A62" w:rsidP="00005D0B">
            <w:pPr>
              <w:pStyle w:val="NormalWeb"/>
              <w:spacing w:before="0" w:beforeAutospacing="0" w:after="0" w:afterAutospacing="0"/>
              <w:rPr>
                <w:rFonts w:cs="Arial"/>
                <w:color w:val="000000"/>
              </w:rPr>
            </w:pPr>
            <w:r w:rsidRPr="00552DE0">
              <w:rPr>
                <w:rFonts w:cs="Arial"/>
                <w:color w:val="000000"/>
              </w:rPr>
              <w:t>Oct 2019</w:t>
            </w:r>
          </w:p>
        </w:tc>
        <w:tc>
          <w:tcPr>
            <w:tcW w:w="7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FDCE26" w14:textId="77777777" w:rsidR="00CD4A62" w:rsidRPr="00552DE0" w:rsidRDefault="00CD4A62" w:rsidP="00005D0B">
            <w:pPr>
              <w:pStyle w:val="NormalWeb"/>
              <w:spacing w:before="0" w:beforeAutospacing="0" w:after="0" w:afterAutospacing="0"/>
              <w:rPr>
                <w:rFonts w:cs="Arial"/>
                <w:color w:val="000000"/>
              </w:rPr>
            </w:pPr>
            <w:r w:rsidRPr="00552DE0">
              <w:rPr>
                <w:rFonts w:cs="Arial"/>
                <w:color w:val="000000"/>
              </w:rPr>
              <w:t>FT reports that profits from Dubai and Dublin customers that EY allegedly received documents of, DID NOT EXIST| This called KPMG for a special audit</w:t>
            </w:r>
          </w:p>
        </w:tc>
      </w:tr>
      <w:tr w:rsidR="00CD4A62" w:rsidRPr="00552DE0" w14:paraId="6D6CB20D" w14:textId="77777777" w:rsidTr="00A00601">
        <w:trPr>
          <w:trHeight w:val="1618"/>
        </w:trPr>
        <w:tc>
          <w:tcPr>
            <w:tcW w:w="1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072BFF" w14:textId="77777777" w:rsidR="00CD4A62" w:rsidRPr="00552DE0" w:rsidRDefault="00CD4A62" w:rsidP="00005D0B">
            <w:pPr>
              <w:pStyle w:val="NormalWeb"/>
              <w:spacing w:before="0" w:beforeAutospacing="0" w:after="0" w:afterAutospacing="0"/>
              <w:rPr>
                <w:rFonts w:cs="Arial"/>
                <w:color w:val="000000"/>
              </w:rPr>
            </w:pPr>
            <w:r w:rsidRPr="00552DE0">
              <w:rPr>
                <w:rFonts w:cs="Arial"/>
                <w:color w:val="000000"/>
              </w:rPr>
              <w:t>Apr 28 2020</w:t>
            </w:r>
          </w:p>
        </w:tc>
        <w:tc>
          <w:tcPr>
            <w:tcW w:w="7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2F8777" w14:textId="77777777" w:rsidR="00CD4A62" w:rsidRPr="00552DE0" w:rsidRDefault="00CD4A62" w:rsidP="00005D0B">
            <w:pPr>
              <w:pStyle w:val="NormalWeb"/>
              <w:spacing w:before="0" w:beforeAutospacing="0" w:after="0" w:afterAutospacing="0"/>
              <w:rPr>
                <w:rFonts w:cs="Arial"/>
                <w:color w:val="000000"/>
              </w:rPr>
            </w:pPr>
            <w:r w:rsidRPr="00552DE0">
              <w:rPr>
                <w:rFonts w:cs="Arial"/>
                <w:color w:val="000000"/>
              </w:rPr>
              <w:t>The documents from Philippines that listed 1.9bn allegedly held in two banks in the country, cannot be verified. Yet the CEO claims the EY will sign off the audit report of 2019 after the delay caused due to COVID-19</w:t>
            </w:r>
          </w:p>
        </w:tc>
      </w:tr>
      <w:tr w:rsidR="00CD4A62" w:rsidRPr="00552DE0" w14:paraId="3E9E4834" w14:textId="77777777" w:rsidTr="00A00601">
        <w:trPr>
          <w:trHeight w:val="1213"/>
        </w:trPr>
        <w:tc>
          <w:tcPr>
            <w:tcW w:w="1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F7840C" w14:textId="77777777" w:rsidR="00CD4A62" w:rsidRPr="00552DE0" w:rsidRDefault="00CD4A62" w:rsidP="00005D0B">
            <w:pPr>
              <w:pStyle w:val="NormalWeb"/>
              <w:spacing w:before="0" w:beforeAutospacing="0" w:after="0" w:afterAutospacing="0"/>
              <w:rPr>
                <w:rFonts w:cs="Arial"/>
                <w:color w:val="000000"/>
              </w:rPr>
            </w:pPr>
            <w:r w:rsidRPr="00552DE0">
              <w:rPr>
                <w:rFonts w:cs="Arial"/>
                <w:color w:val="000000"/>
              </w:rPr>
              <w:t>June 5, 2020</w:t>
            </w:r>
          </w:p>
        </w:tc>
        <w:tc>
          <w:tcPr>
            <w:tcW w:w="7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91ACC8" w14:textId="77777777" w:rsidR="00CD4A62" w:rsidRPr="00552DE0" w:rsidRDefault="00CD4A62" w:rsidP="00005D0B">
            <w:pPr>
              <w:pStyle w:val="NormalWeb"/>
              <w:spacing w:before="0" w:beforeAutospacing="0" w:after="0" w:afterAutospacing="0"/>
              <w:rPr>
                <w:rFonts w:cs="Arial"/>
                <w:color w:val="000000"/>
              </w:rPr>
            </w:pPr>
            <w:r w:rsidRPr="00552DE0">
              <w:rPr>
                <w:rFonts w:cs="Arial"/>
                <w:color w:val="000000"/>
              </w:rPr>
              <w:t xml:space="preserve">BaFin, Germany's financial watchdog submits a criminal complaint on the potential financial misstatements ahead of KPMG's special audit report </w:t>
            </w:r>
          </w:p>
        </w:tc>
      </w:tr>
      <w:tr w:rsidR="00CD4A62" w:rsidRPr="00552DE0" w14:paraId="4E3AAB0C" w14:textId="77777777" w:rsidTr="00A00601">
        <w:trPr>
          <w:trHeight w:val="1213"/>
        </w:trPr>
        <w:tc>
          <w:tcPr>
            <w:tcW w:w="1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44BAAC" w14:textId="77777777" w:rsidR="00CD4A62" w:rsidRPr="00552DE0" w:rsidRDefault="00CD4A62" w:rsidP="00005D0B">
            <w:pPr>
              <w:pStyle w:val="NormalWeb"/>
              <w:spacing w:before="0" w:beforeAutospacing="0" w:after="0" w:afterAutospacing="0"/>
              <w:rPr>
                <w:rFonts w:cs="Arial"/>
                <w:color w:val="000000"/>
              </w:rPr>
            </w:pPr>
            <w:r w:rsidRPr="00552DE0">
              <w:rPr>
                <w:rFonts w:cs="Arial"/>
                <w:color w:val="000000"/>
              </w:rPr>
              <w:t>June 18, 2020</w:t>
            </w:r>
          </w:p>
        </w:tc>
        <w:tc>
          <w:tcPr>
            <w:tcW w:w="7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BA32C6" w14:textId="77777777" w:rsidR="00CD4A62" w:rsidRPr="00552DE0" w:rsidRDefault="00CD4A62" w:rsidP="00005D0B">
            <w:pPr>
              <w:pStyle w:val="NormalWeb"/>
              <w:rPr>
                <w:rFonts w:cs="Arial"/>
                <w:color w:val="000000"/>
                <w:lang w:val="en-GB"/>
              </w:rPr>
            </w:pPr>
            <w:r w:rsidRPr="00527741">
              <w:rPr>
                <w:rFonts w:cs="Arial"/>
                <w:color w:val="000000"/>
                <w:lang w:val="en-GB"/>
              </w:rPr>
              <w:t>The Philippine banks BPI and BDO, where the 1.9bn were held were totally falsely informed to EY. The company announces that indeed the 1.9bn is 'Missing'.</w:t>
            </w:r>
          </w:p>
        </w:tc>
      </w:tr>
      <w:tr w:rsidR="00CD4A62" w:rsidRPr="00552DE0" w14:paraId="023BD5AD" w14:textId="77777777" w:rsidTr="00A00601">
        <w:trPr>
          <w:trHeight w:val="808"/>
        </w:trPr>
        <w:tc>
          <w:tcPr>
            <w:tcW w:w="1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C0D263" w14:textId="77777777" w:rsidR="00CD4A62" w:rsidRPr="00552DE0" w:rsidRDefault="00CD4A62" w:rsidP="00005D0B">
            <w:pPr>
              <w:pStyle w:val="NormalWeb"/>
              <w:spacing w:before="0" w:beforeAutospacing="0" w:after="0" w:afterAutospacing="0"/>
              <w:rPr>
                <w:rFonts w:cs="Arial"/>
                <w:color w:val="000000"/>
              </w:rPr>
            </w:pPr>
            <w:r w:rsidRPr="00552DE0">
              <w:rPr>
                <w:rFonts w:cs="Arial"/>
                <w:color w:val="000000"/>
              </w:rPr>
              <w:t>June 22, 2020</w:t>
            </w:r>
          </w:p>
        </w:tc>
        <w:tc>
          <w:tcPr>
            <w:tcW w:w="7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53F06F" w14:textId="77777777" w:rsidR="00CD4A62" w:rsidRPr="00552DE0" w:rsidRDefault="00CD4A62" w:rsidP="00005D0B">
            <w:pPr>
              <w:pStyle w:val="NormalWeb"/>
              <w:rPr>
                <w:rFonts w:cs="Arial"/>
                <w:color w:val="000000"/>
                <w:lang w:val="en-GB"/>
              </w:rPr>
            </w:pPr>
            <w:r w:rsidRPr="00552DE0">
              <w:rPr>
                <w:rFonts w:cs="Arial"/>
                <w:color w:val="000000"/>
                <w:lang w:val="en-GB"/>
              </w:rPr>
              <w:t>Wirecard actually owns up to the multiyear accounting fraud by the misleading financial discrepancies</w:t>
            </w:r>
          </w:p>
        </w:tc>
      </w:tr>
      <w:tr w:rsidR="00CD4A62" w:rsidRPr="00552DE0" w14:paraId="6FE279A5" w14:textId="77777777" w:rsidTr="00A00601">
        <w:trPr>
          <w:trHeight w:val="808"/>
        </w:trPr>
        <w:tc>
          <w:tcPr>
            <w:tcW w:w="1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81115C" w14:textId="77777777" w:rsidR="00CD4A62" w:rsidRPr="00552DE0" w:rsidRDefault="00CD4A62" w:rsidP="00005D0B">
            <w:pPr>
              <w:pStyle w:val="NormalWeb"/>
              <w:spacing w:before="0" w:beforeAutospacing="0" w:after="0" w:afterAutospacing="0"/>
              <w:rPr>
                <w:rFonts w:cs="Arial"/>
                <w:color w:val="000000"/>
              </w:rPr>
            </w:pPr>
            <w:r w:rsidRPr="00552DE0">
              <w:rPr>
                <w:rFonts w:cs="Arial"/>
                <w:color w:val="000000"/>
              </w:rPr>
              <w:t>June 23, 2020</w:t>
            </w:r>
          </w:p>
        </w:tc>
        <w:tc>
          <w:tcPr>
            <w:tcW w:w="7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E83C327" w14:textId="77777777" w:rsidR="00CD4A62" w:rsidRPr="00552DE0" w:rsidRDefault="00CD4A62" w:rsidP="00005D0B">
            <w:pPr>
              <w:pStyle w:val="NormalWeb"/>
              <w:rPr>
                <w:rFonts w:cs="Arial"/>
                <w:color w:val="000000"/>
                <w:lang w:val="en-GB"/>
              </w:rPr>
            </w:pPr>
            <w:r w:rsidRPr="00552DE0">
              <w:rPr>
                <w:rFonts w:cs="Arial"/>
                <w:color w:val="000000"/>
                <w:lang w:val="en-GB"/>
              </w:rPr>
              <w:t>June 23, 2020: Former CEO Markus Braun as a suspect to financial crimes</w:t>
            </w:r>
          </w:p>
        </w:tc>
      </w:tr>
      <w:tr w:rsidR="00CD4A62" w:rsidRPr="00552DE0" w14:paraId="61301EF1" w14:textId="77777777" w:rsidTr="00A00601">
        <w:trPr>
          <w:trHeight w:val="404"/>
        </w:trPr>
        <w:tc>
          <w:tcPr>
            <w:tcW w:w="1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619DE9" w14:textId="77777777" w:rsidR="00CD4A62" w:rsidRPr="00552DE0" w:rsidRDefault="00CD4A62" w:rsidP="00005D0B">
            <w:pPr>
              <w:pStyle w:val="NormalWeb"/>
              <w:spacing w:before="0" w:beforeAutospacing="0" w:after="0" w:afterAutospacing="0"/>
              <w:rPr>
                <w:rFonts w:cs="Arial"/>
                <w:color w:val="000000"/>
              </w:rPr>
            </w:pPr>
            <w:r w:rsidRPr="00552DE0">
              <w:rPr>
                <w:rFonts w:cs="Arial"/>
                <w:color w:val="000000"/>
              </w:rPr>
              <w:t>June 25, 2020</w:t>
            </w:r>
          </w:p>
        </w:tc>
        <w:tc>
          <w:tcPr>
            <w:tcW w:w="7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F3CDEE" w14:textId="77777777" w:rsidR="00CD4A62" w:rsidRPr="00552DE0" w:rsidRDefault="00CD4A62" w:rsidP="00005D0B">
            <w:pPr>
              <w:pStyle w:val="NormalWeb"/>
              <w:rPr>
                <w:rFonts w:cs="Arial"/>
                <w:color w:val="000000"/>
                <w:lang w:val="en-GB"/>
              </w:rPr>
            </w:pPr>
            <w:r w:rsidRPr="00552DE0">
              <w:rPr>
                <w:rFonts w:cs="Arial"/>
                <w:color w:val="000000"/>
                <w:lang w:val="en-GB"/>
              </w:rPr>
              <w:t>Wirecard files for insolvency.</w:t>
            </w:r>
          </w:p>
        </w:tc>
      </w:tr>
    </w:tbl>
    <w:p w14:paraId="3E7FC2CA" w14:textId="77777777" w:rsidR="00787312" w:rsidRPr="00787312" w:rsidRDefault="00787312" w:rsidP="00787312">
      <w:pPr>
        <w:rPr>
          <w:lang w:val="en-GB" w:eastAsia="en-US"/>
        </w:rPr>
      </w:pPr>
    </w:p>
    <w:p w14:paraId="68872FDF" w14:textId="6FEF867F" w:rsidR="00207E67" w:rsidRPr="00552DE0" w:rsidRDefault="00A07B2B" w:rsidP="00E54088">
      <w:pPr>
        <w:pStyle w:val="Heading4"/>
        <w:rPr>
          <w:rFonts w:ascii="Arial" w:hAnsi="Arial" w:cs="Arial"/>
          <w:i w:val="0"/>
          <w:iCs w:val="0"/>
          <w:sz w:val="24"/>
          <w:szCs w:val="24"/>
        </w:rPr>
      </w:pPr>
      <w:r w:rsidRPr="00552DE0">
        <w:rPr>
          <w:rFonts w:ascii="Arial" w:hAnsi="Arial" w:cs="Arial"/>
          <w:i w:val="0"/>
          <w:iCs w:val="0"/>
          <w:sz w:val="24"/>
          <w:szCs w:val="24"/>
        </w:rPr>
        <w:t xml:space="preserve">Appendix </w:t>
      </w:r>
      <w:r w:rsidR="00B70668" w:rsidRPr="00552DE0">
        <w:rPr>
          <w:rFonts w:ascii="Arial" w:hAnsi="Arial" w:cs="Arial"/>
          <w:i w:val="0"/>
          <w:iCs w:val="0"/>
          <w:sz w:val="24"/>
          <w:szCs w:val="24"/>
        </w:rPr>
        <w:t>3</w:t>
      </w:r>
      <w:r w:rsidR="00AE37A5">
        <w:rPr>
          <w:rFonts w:ascii="Arial" w:hAnsi="Arial" w:cs="Arial"/>
          <w:i w:val="0"/>
          <w:iCs w:val="0"/>
          <w:sz w:val="24"/>
          <w:szCs w:val="24"/>
        </w:rPr>
        <w:t xml:space="preserve"> </w:t>
      </w:r>
    </w:p>
    <w:p w14:paraId="61451013" w14:textId="77EF16B4" w:rsidR="00A07B2B" w:rsidRDefault="00A07B2B" w:rsidP="00A07B2B">
      <w:pPr>
        <w:pStyle w:val="Heading2"/>
      </w:pPr>
    </w:p>
    <w:p w14:paraId="7E3F4347" w14:textId="6C86E1A4" w:rsidR="00787312" w:rsidRDefault="00787312" w:rsidP="00787312">
      <w:pPr>
        <w:rPr>
          <w:lang w:val="en-GB" w:eastAsia="en-US"/>
        </w:rPr>
      </w:pPr>
      <w:r>
        <w:rPr>
          <w:lang w:val="en-GB" w:eastAsia="en-US"/>
        </w:rPr>
        <w:t>Wirecard’s governance/board structure.</w:t>
      </w:r>
    </w:p>
    <w:p w14:paraId="33568976" w14:textId="77777777" w:rsidR="00787312" w:rsidRPr="00787312" w:rsidRDefault="00787312" w:rsidP="00787312">
      <w:pPr>
        <w:rPr>
          <w:lang w:val="en-GB" w:eastAsia="en-US"/>
        </w:rPr>
      </w:pPr>
    </w:p>
    <w:p w14:paraId="318698D9" w14:textId="77777777" w:rsidR="00A07B2B" w:rsidRPr="002F74C2" w:rsidRDefault="00A07B2B" w:rsidP="00A07B2B">
      <w:pPr>
        <w:pStyle w:val="Heading2"/>
        <w:rPr>
          <w:b/>
          <w:bCs/>
        </w:rPr>
      </w:pPr>
      <w:bookmarkStart w:id="16" w:name="_Toc170075226"/>
      <w:bookmarkStart w:id="17" w:name="_Toc170080143"/>
      <w:r>
        <w:rPr>
          <w:noProof/>
        </w:rPr>
        <w:drawing>
          <wp:inline distT="0" distB="0" distL="0" distR="0" wp14:anchorId="5BDD7FCC" wp14:editId="79B5FE83">
            <wp:extent cx="5720485" cy="7363919"/>
            <wp:effectExtent l="0" t="12700" r="0" b="15240"/>
            <wp:docPr id="150543738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bookmarkEnd w:id="16"/>
      <w:bookmarkEnd w:id="17"/>
    </w:p>
    <w:p w14:paraId="13A27E8C" w14:textId="77777777" w:rsidR="00A07B2B" w:rsidRPr="001C5BDA" w:rsidRDefault="00A07B2B" w:rsidP="00A07B2B"/>
    <w:p w14:paraId="4F0FE479" w14:textId="77777777" w:rsidR="008F6BD5" w:rsidRPr="008F6BD5" w:rsidRDefault="008F6BD5" w:rsidP="008F6BD5">
      <w:pPr>
        <w:rPr>
          <w:lang w:val="en-GB" w:eastAsia="en-US"/>
        </w:rPr>
      </w:pPr>
    </w:p>
    <w:p w14:paraId="7AEDE3B5" w14:textId="0BB9C1E0" w:rsidR="008E2799" w:rsidRPr="00990F47" w:rsidRDefault="00AE37A5" w:rsidP="00990F47">
      <w:pPr>
        <w:pStyle w:val="Heading4"/>
        <w:rPr>
          <w:rFonts w:ascii="Arial" w:hAnsi="Arial" w:cs="Arial"/>
          <w:i w:val="0"/>
          <w:iCs w:val="0"/>
          <w:sz w:val="24"/>
          <w:szCs w:val="24"/>
        </w:rPr>
      </w:pPr>
      <w:r w:rsidRPr="008E2799">
        <w:rPr>
          <w:rFonts w:ascii="Arial" w:hAnsi="Arial" w:cs="Arial"/>
          <w:i w:val="0"/>
          <w:iCs w:val="0"/>
          <w:sz w:val="24"/>
          <w:szCs w:val="24"/>
        </w:rPr>
        <w:t>Appendix 4</w:t>
      </w:r>
    </w:p>
    <w:p w14:paraId="6E7DF507" w14:textId="77777777" w:rsidR="008E2799" w:rsidRPr="008E2799" w:rsidRDefault="008E2799" w:rsidP="008E2799">
      <w:pPr>
        <w:rPr>
          <w:lang w:val="en-GB" w:eastAsia="en-US"/>
        </w:rPr>
      </w:pPr>
    </w:p>
    <w:p w14:paraId="02D90E7B" w14:textId="68317EE5" w:rsidR="00532E64" w:rsidRDefault="00E7431B" w:rsidP="00D23076">
      <w:r>
        <w:t xml:space="preserve">Auditing standards published </w:t>
      </w:r>
      <w:hyperlink r:id="rId54" w:history="1">
        <w:r w:rsidR="00D23076" w:rsidRPr="00D23076">
          <w:rPr>
            <w:rStyle w:val="Hyperlink"/>
          </w:rPr>
          <w:t>International Auditing and Assurance Standards Board (2022)</w:t>
        </w:r>
      </w:hyperlink>
      <w:r w:rsidR="00D23076">
        <w:t xml:space="preserve"> </w:t>
      </w:r>
      <w:r w:rsidR="009F182E">
        <w:t>v</w:t>
      </w:r>
      <w:r w:rsidR="006718F0">
        <w:t xml:space="preserve">iolated by </w:t>
      </w:r>
      <w:r w:rsidR="00F674B9">
        <w:t>EY</w:t>
      </w:r>
      <w:r w:rsidR="006718F0">
        <w:t>:</w:t>
      </w:r>
    </w:p>
    <w:p w14:paraId="45827DEC" w14:textId="77777777" w:rsidR="006718F0" w:rsidRDefault="006718F0" w:rsidP="00B35949"/>
    <w:tbl>
      <w:tblPr>
        <w:tblStyle w:val="TableGrid"/>
        <w:tblW w:w="0" w:type="auto"/>
        <w:tblLook w:val="04A0" w:firstRow="1" w:lastRow="0" w:firstColumn="1" w:lastColumn="0" w:noHBand="0" w:noVBand="1"/>
      </w:tblPr>
      <w:tblGrid>
        <w:gridCol w:w="3168"/>
        <w:gridCol w:w="2943"/>
        <w:gridCol w:w="2943"/>
      </w:tblGrid>
      <w:tr w:rsidR="00E23853" w14:paraId="190C6060" w14:textId="495CB4DC" w:rsidTr="007A6283">
        <w:tc>
          <w:tcPr>
            <w:tcW w:w="3168" w:type="dxa"/>
          </w:tcPr>
          <w:p w14:paraId="687947D2" w14:textId="6BB038E1" w:rsidR="00E23853" w:rsidRPr="00DC3844" w:rsidRDefault="00E23853" w:rsidP="00B35949">
            <w:pPr>
              <w:rPr>
                <w:b/>
                <w:bCs/>
              </w:rPr>
            </w:pPr>
            <w:r w:rsidRPr="00DC3844">
              <w:rPr>
                <w:b/>
                <w:bCs/>
              </w:rPr>
              <w:t>Standard</w:t>
            </w:r>
          </w:p>
        </w:tc>
        <w:tc>
          <w:tcPr>
            <w:tcW w:w="2943" w:type="dxa"/>
          </w:tcPr>
          <w:p w14:paraId="0FC52440" w14:textId="2CFF562F" w:rsidR="00E23853" w:rsidRPr="00DC3844" w:rsidRDefault="00E23853" w:rsidP="00B35949">
            <w:pPr>
              <w:rPr>
                <w:b/>
                <w:bCs/>
              </w:rPr>
            </w:pPr>
            <w:r w:rsidRPr="00DC3844">
              <w:rPr>
                <w:b/>
                <w:bCs/>
              </w:rPr>
              <w:t>Violation</w:t>
            </w:r>
          </w:p>
        </w:tc>
        <w:tc>
          <w:tcPr>
            <w:tcW w:w="2943" w:type="dxa"/>
          </w:tcPr>
          <w:p w14:paraId="049338E9" w14:textId="534D27F1" w:rsidR="00E23853" w:rsidRPr="00DC3844" w:rsidRDefault="00DC3844" w:rsidP="00B35949">
            <w:pPr>
              <w:rPr>
                <w:b/>
                <w:bCs/>
              </w:rPr>
            </w:pPr>
            <w:r w:rsidRPr="00DC3844">
              <w:rPr>
                <w:b/>
                <w:bCs/>
              </w:rPr>
              <w:t>Effect</w:t>
            </w:r>
          </w:p>
        </w:tc>
      </w:tr>
      <w:tr w:rsidR="008C2F30" w14:paraId="3017F122" w14:textId="77777777" w:rsidTr="007C41D1">
        <w:trPr>
          <w:trHeight w:val="1266"/>
        </w:trPr>
        <w:tc>
          <w:tcPr>
            <w:tcW w:w="3168" w:type="dxa"/>
          </w:tcPr>
          <w:p w14:paraId="02DECDE8" w14:textId="77777777" w:rsidR="008C2F30" w:rsidRDefault="00DB3DE0" w:rsidP="003E6027">
            <w:pPr>
              <w:jc w:val="left"/>
              <w:rPr>
                <w:b/>
                <w:bCs/>
              </w:rPr>
            </w:pPr>
            <w:r>
              <w:rPr>
                <w:b/>
                <w:bCs/>
              </w:rPr>
              <w:t>ISQM</w:t>
            </w:r>
            <w:r w:rsidR="007C41D1">
              <w:rPr>
                <w:b/>
                <w:bCs/>
              </w:rPr>
              <w:t xml:space="preserve"> 2:</w:t>
            </w:r>
          </w:p>
          <w:p w14:paraId="3AAA3983" w14:textId="77777777" w:rsidR="007C41D1" w:rsidRDefault="007C41D1" w:rsidP="003E6027">
            <w:pPr>
              <w:jc w:val="left"/>
              <w:rPr>
                <w:b/>
                <w:bCs/>
              </w:rPr>
            </w:pPr>
          </w:p>
          <w:p w14:paraId="074B9170" w14:textId="1E910AFF" w:rsidR="007C41D1" w:rsidRPr="007C41D1" w:rsidRDefault="007C41D1" w:rsidP="003E6027">
            <w:pPr>
              <w:jc w:val="left"/>
            </w:pPr>
            <w:r>
              <w:t>Engagement Quality Reviews</w:t>
            </w:r>
          </w:p>
        </w:tc>
        <w:tc>
          <w:tcPr>
            <w:tcW w:w="2943" w:type="dxa"/>
          </w:tcPr>
          <w:p w14:paraId="79172BB5" w14:textId="585D3B97" w:rsidR="008C2F30" w:rsidRPr="004C1F17" w:rsidRDefault="00F674B9" w:rsidP="003E6027">
            <w:pPr>
              <w:jc w:val="left"/>
            </w:pPr>
            <w:r>
              <w:t>EY</w:t>
            </w:r>
            <w:r w:rsidR="00D4031F">
              <w:t xml:space="preserve"> </w:t>
            </w:r>
            <w:r w:rsidR="003E6027">
              <w:t>showed lack of professional skepticism, jeopardising the integrating of the audit</w:t>
            </w:r>
            <w:r w:rsidR="009E318E">
              <w:t>.</w:t>
            </w:r>
          </w:p>
        </w:tc>
        <w:tc>
          <w:tcPr>
            <w:tcW w:w="2943" w:type="dxa"/>
          </w:tcPr>
          <w:p w14:paraId="08F4BD89" w14:textId="6BFB9F00" w:rsidR="008C2F30" w:rsidRPr="00B4032B" w:rsidRDefault="00626DF2" w:rsidP="003E6027">
            <w:pPr>
              <w:jc w:val="left"/>
            </w:pPr>
            <w:r>
              <w:t>The audit quality was compromised as a result.</w:t>
            </w:r>
          </w:p>
        </w:tc>
      </w:tr>
      <w:tr w:rsidR="00B54F25" w:rsidRPr="00E23961" w14:paraId="1521BD45" w14:textId="77777777" w:rsidTr="007A6283">
        <w:tc>
          <w:tcPr>
            <w:tcW w:w="3168" w:type="dxa"/>
          </w:tcPr>
          <w:p w14:paraId="178D2331" w14:textId="77777777" w:rsidR="00B54F25" w:rsidRDefault="00B54F25" w:rsidP="003E6027">
            <w:pPr>
              <w:jc w:val="left"/>
              <w:rPr>
                <w:b/>
                <w:bCs/>
              </w:rPr>
            </w:pPr>
            <w:r w:rsidRPr="00E23961">
              <w:rPr>
                <w:b/>
                <w:bCs/>
              </w:rPr>
              <w:t>ISA 200</w:t>
            </w:r>
            <w:r>
              <w:rPr>
                <w:b/>
                <w:bCs/>
              </w:rPr>
              <w:t>:</w:t>
            </w:r>
          </w:p>
          <w:p w14:paraId="78BBFF71" w14:textId="77777777" w:rsidR="00B54F25" w:rsidRDefault="00B54F25" w:rsidP="003E6027">
            <w:pPr>
              <w:jc w:val="left"/>
              <w:rPr>
                <w:b/>
                <w:bCs/>
              </w:rPr>
            </w:pPr>
          </w:p>
          <w:p w14:paraId="6015DD0A" w14:textId="4FE440F1" w:rsidR="00B54F25" w:rsidRPr="00E23961" w:rsidRDefault="00B54F25" w:rsidP="003E6027">
            <w:pPr>
              <w:jc w:val="left"/>
            </w:pPr>
            <w:r>
              <w:t xml:space="preserve">Overall objective of independent auditor and the conduct of an audit in accordance with ISAs </w:t>
            </w:r>
          </w:p>
        </w:tc>
        <w:tc>
          <w:tcPr>
            <w:tcW w:w="2943" w:type="dxa"/>
          </w:tcPr>
          <w:p w14:paraId="41CDBC3F" w14:textId="7A167339" w:rsidR="00B54F25" w:rsidRPr="00E67EB7" w:rsidRDefault="00F674B9" w:rsidP="003E6027">
            <w:pPr>
              <w:jc w:val="left"/>
            </w:pPr>
            <w:r>
              <w:t>EY</w:t>
            </w:r>
            <w:r w:rsidR="00B54F25">
              <w:t xml:space="preserve"> failed to satisfy the overall objectives of an independent auditor</w:t>
            </w:r>
          </w:p>
        </w:tc>
        <w:tc>
          <w:tcPr>
            <w:tcW w:w="2943" w:type="dxa"/>
          </w:tcPr>
          <w:p w14:paraId="0CBBA125" w14:textId="602E6794" w:rsidR="00B54F25" w:rsidRPr="00E67EB7" w:rsidRDefault="00F674B9" w:rsidP="003E6027">
            <w:pPr>
              <w:jc w:val="left"/>
            </w:pPr>
            <w:r>
              <w:t>EY</w:t>
            </w:r>
            <w:r w:rsidR="00B54F25">
              <w:t xml:space="preserve"> compromised the audit quality and failed to identify the risks and material misstatements in the financial accounts</w:t>
            </w:r>
            <w:r w:rsidR="009E318E">
              <w:t>.</w:t>
            </w:r>
          </w:p>
        </w:tc>
      </w:tr>
      <w:tr w:rsidR="00B54F25" w:rsidRPr="00E23961" w14:paraId="62F7FEFA" w14:textId="77777777" w:rsidTr="007A6283">
        <w:tc>
          <w:tcPr>
            <w:tcW w:w="3168" w:type="dxa"/>
          </w:tcPr>
          <w:p w14:paraId="573F759E" w14:textId="77777777" w:rsidR="00B54F25" w:rsidRDefault="00B54F25" w:rsidP="003E6027">
            <w:pPr>
              <w:jc w:val="left"/>
              <w:rPr>
                <w:b/>
                <w:bCs/>
              </w:rPr>
            </w:pPr>
            <w:r w:rsidRPr="00E23961">
              <w:rPr>
                <w:b/>
                <w:bCs/>
              </w:rPr>
              <w:t>ISA 220</w:t>
            </w:r>
            <w:r>
              <w:rPr>
                <w:b/>
                <w:bCs/>
              </w:rPr>
              <w:t>:</w:t>
            </w:r>
          </w:p>
          <w:p w14:paraId="3F5FAD00" w14:textId="77777777" w:rsidR="00B54F25" w:rsidRDefault="00B54F25" w:rsidP="003E6027">
            <w:pPr>
              <w:jc w:val="left"/>
              <w:rPr>
                <w:b/>
                <w:bCs/>
              </w:rPr>
            </w:pPr>
          </w:p>
          <w:p w14:paraId="3159D4FA" w14:textId="42B17B88" w:rsidR="00B54F25" w:rsidRPr="0067233D" w:rsidRDefault="00B54F25" w:rsidP="003E6027">
            <w:pPr>
              <w:jc w:val="left"/>
            </w:pPr>
            <w:r>
              <w:t>Quality Management for an audit of financial statements</w:t>
            </w:r>
          </w:p>
        </w:tc>
        <w:tc>
          <w:tcPr>
            <w:tcW w:w="2943" w:type="dxa"/>
          </w:tcPr>
          <w:p w14:paraId="5E4C454C" w14:textId="4D35A9E1" w:rsidR="00B54F25" w:rsidRPr="00E67EB7" w:rsidRDefault="00E67D6B" w:rsidP="003E6027">
            <w:pPr>
              <w:jc w:val="left"/>
            </w:pPr>
            <w:r>
              <w:t>absenc</w:t>
            </w:r>
            <w:r w:rsidR="0008061A">
              <w:t xml:space="preserve">e of experienced staff </w:t>
            </w:r>
            <w:r w:rsidR="00186931">
              <w:t xml:space="preserve">in </w:t>
            </w:r>
            <w:r w:rsidR="00F674B9">
              <w:t>EY</w:t>
            </w:r>
            <w:r w:rsidR="00186931">
              <w:t>’s en</w:t>
            </w:r>
            <w:r w:rsidR="00C76960">
              <w:t xml:space="preserve">gagement team </w:t>
            </w:r>
            <w:r w:rsidR="0008061A">
              <w:t xml:space="preserve">to </w:t>
            </w:r>
            <w:r w:rsidR="00EA322C">
              <w:t xml:space="preserve">investigate the </w:t>
            </w:r>
            <w:r w:rsidR="00067E88">
              <w:t>allegations against the company</w:t>
            </w:r>
            <w:r w:rsidR="009E318E">
              <w:t>.</w:t>
            </w:r>
          </w:p>
        </w:tc>
        <w:tc>
          <w:tcPr>
            <w:tcW w:w="2943" w:type="dxa"/>
          </w:tcPr>
          <w:p w14:paraId="2F0B6394" w14:textId="6B7C7DBF" w:rsidR="00B54F25" w:rsidRPr="00E67EB7" w:rsidRDefault="00FD0233" w:rsidP="003E6027">
            <w:pPr>
              <w:jc w:val="left"/>
            </w:pPr>
            <w:r>
              <w:t xml:space="preserve">This increased </w:t>
            </w:r>
            <w:r w:rsidR="0025394D">
              <w:t xml:space="preserve">inherent risk </w:t>
            </w:r>
            <w:r w:rsidR="005D43C6">
              <w:t>at business leve</w:t>
            </w:r>
            <w:r w:rsidR="0029265D">
              <w:t>l i.e.</w:t>
            </w:r>
            <w:r w:rsidR="003B3AF0">
              <w:t xml:space="preserve"> history of the company and business environment </w:t>
            </w:r>
          </w:p>
        </w:tc>
      </w:tr>
      <w:tr w:rsidR="00B54F25" w:rsidRPr="00E23961" w14:paraId="7EE3525E" w14:textId="77777777" w:rsidTr="007A6283">
        <w:tc>
          <w:tcPr>
            <w:tcW w:w="3168" w:type="dxa"/>
          </w:tcPr>
          <w:p w14:paraId="4797B5FE" w14:textId="77777777" w:rsidR="00B54F25" w:rsidRDefault="00B54F25" w:rsidP="003E6027">
            <w:pPr>
              <w:jc w:val="left"/>
              <w:rPr>
                <w:b/>
                <w:bCs/>
              </w:rPr>
            </w:pPr>
            <w:r w:rsidRPr="00E23961">
              <w:rPr>
                <w:b/>
                <w:bCs/>
              </w:rPr>
              <w:t>ISA 240</w:t>
            </w:r>
            <w:r>
              <w:rPr>
                <w:b/>
                <w:bCs/>
              </w:rPr>
              <w:t>:</w:t>
            </w:r>
          </w:p>
          <w:p w14:paraId="4DA6A222" w14:textId="77777777" w:rsidR="00B54F25" w:rsidRDefault="00B54F25" w:rsidP="003E6027">
            <w:pPr>
              <w:jc w:val="left"/>
              <w:rPr>
                <w:b/>
                <w:bCs/>
              </w:rPr>
            </w:pPr>
          </w:p>
          <w:p w14:paraId="0722C81B" w14:textId="6CA46FFA" w:rsidR="00B54F25" w:rsidRPr="004E78FF" w:rsidRDefault="00B54F25" w:rsidP="003E6027">
            <w:pPr>
              <w:jc w:val="left"/>
            </w:pPr>
            <w:r>
              <w:t>The auditor’s responsibilities relating to fraud in an audit of Financial Statements</w:t>
            </w:r>
          </w:p>
        </w:tc>
        <w:tc>
          <w:tcPr>
            <w:tcW w:w="2943" w:type="dxa"/>
          </w:tcPr>
          <w:p w14:paraId="5C635C32" w14:textId="3A8B45A4" w:rsidR="00B54F25" w:rsidRPr="00E67EB7" w:rsidRDefault="00F674B9" w:rsidP="003E6027">
            <w:pPr>
              <w:jc w:val="left"/>
            </w:pPr>
            <w:r>
              <w:t>EY</w:t>
            </w:r>
            <w:r w:rsidR="00C76960">
              <w:t xml:space="preserve"> was u</w:t>
            </w:r>
            <w:r w:rsidR="002F7933">
              <w:t>nable to identify fraud risk</w:t>
            </w:r>
            <w:r w:rsidR="00C76960">
              <w:t xml:space="preserve"> in company’s financial statements.</w:t>
            </w:r>
          </w:p>
        </w:tc>
        <w:tc>
          <w:tcPr>
            <w:tcW w:w="2943" w:type="dxa"/>
          </w:tcPr>
          <w:p w14:paraId="6AD4C054" w14:textId="4B7551CD" w:rsidR="00B54F25" w:rsidRPr="00E67EB7" w:rsidRDefault="00F674B9" w:rsidP="003E6027">
            <w:pPr>
              <w:jc w:val="left"/>
            </w:pPr>
            <w:r>
              <w:t>EY</w:t>
            </w:r>
            <w:r w:rsidR="008946BD">
              <w:t xml:space="preserve">’s oversight in detection of fraud </w:t>
            </w:r>
            <w:r w:rsidR="00F7372A">
              <w:t xml:space="preserve">led to the company’s collapse and caused financial loss to the relied stakeholders </w:t>
            </w:r>
          </w:p>
        </w:tc>
      </w:tr>
      <w:tr w:rsidR="00B54F25" w:rsidRPr="00E23961" w14:paraId="10AFCC35" w14:textId="77777777" w:rsidTr="007A6283">
        <w:tc>
          <w:tcPr>
            <w:tcW w:w="3168" w:type="dxa"/>
          </w:tcPr>
          <w:p w14:paraId="159C9742" w14:textId="77777777" w:rsidR="00B54F25" w:rsidRDefault="00B54F25" w:rsidP="003E6027">
            <w:pPr>
              <w:jc w:val="left"/>
              <w:rPr>
                <w:b/>
                <w:bCs/>
              </w:rPr>
            </w:pPr>
            <w:r>
              <w:rPr>
                <w:b/>
                <w:bCs/>
              </w:rPr>
              <w:t>ISA 260:</w:t>
            </w:r>
          </w:p>
          <w:p w14:paraId="0A473103" w14:textId="77777777" w:rsidR="00B54F25" w:rsidRDefault="00B54F25" w:rsidP="003E6027">
            <w:pPr>
              <w:jc w:val="left"/>
              <w:rPr>
                <w:b/>
                <w:bCs/>
              </w:rPr>
            </w:pPr>
          </w:p>
          <w:p w14:paraId="489F7468" w14:textId="77777777" w:rsidR="00B54F25" w:rsidRDefault="00B54F25" w:rsidP="003E6027">
            <w:pPr>
              <w:jc w:val="left"/>
            </w:pPr>
            <w:r>
              <w:t>Communication with those charged with Governance</w:t>
            </w:r>
          </w:p>
          <w:p w14:paraId="76619116" w14:textId="77777777" w:rsidR="00B54F25" w:rsidRDefault="00B54F25" w:rsidP="003E6027">
            <w:pPr>
              <w:jc w:val="left"/>
            </w:pPr>
          </w:p>
          <w:p w14:paraId="38B2FE7C" w14:textId="77777777" w:rsidR="00B54F25" w:rsidRDefault="00B54F25" w:rsidP="003E6027">
            <w:pPr>
              <w:jc w:val="left"/>
              <w:rPr>
                <w:b/>
                <w:bCs/>
              </w:rPr>
            </w:pPr>
            <w:r>
              <w:rPr>
                <w:b/>
                <w:bCs/>
              </w:rPr>
              <w:t>ISA 265:</w:t>
            </w:r>
          </w:p>
          <w:p w14:paraId="49B89443" w14:textId="77777777" w:rsidR="00B54F25" w:rsidRDefault="00B54F25" w:rsidP="003E6027">
            <w:pPr>
              <w:jc w:val="left"/>
              <w:rPr>
                <w:b/>
                <w:bCs/>
              </w:rPr>
            </w:pPr>
          </w:p>
          <w:p w14:paraId="6188E42E" w14:textId="2A9E1815" w:rsidR="00B54F25" w:rsidRPr="00F83D3F" w:rsidRDefault="00B54F25" w:rsidP="003E6027">
            <w:pPr>
              <w:jc w:val="left"/>
            </w:pPr>
            <w:r>
              <w:t>Communicating deficiencies in internal control to those charged with governance and management.</w:t>
            </w:r>
          </w:p>
        </w:tc>
        <w:tc>
          <w:tcPr>
            <w:tcW w:w="2943" w:type="dxa"/>
          </w:tcPr>
          <w:p w14:paraId="5BA6AF06" w14:textId="3B0702CE" w:rsidR="00B54F25" w:rsidRPr="00E67EB7" w:rsidRDefault="00F674B9" w:rsidP="003E6027">
            <w:pPr>
              <w:jc w:val="left"/>
            </w:pPr>
            <w:r>
              <w:t>EY</w:t>
            </w:r>
            <w:r w:rsidR="00FE05CA">
              <w:t xml:space="preserve"> failed to communicate the deficiencies</w:t>
            </w:r>
            <w:r w:rsidR="009247A4">
              <w:t xml:space="preserve">, especially in the internal channel set up between the auditor and the supervisory </w:t>
            </w:r>
            <w:r w:rsidR="00A564F4">
              <w:t xml:space="preserve">board about the significant audit findings </w:t>
            </w:r>
          </w:p>
        </w:tc>
        <w:tc>
          <w:tcPr>
            <w:tcW w:w="2943" w:type="dxa"/>
          </w:tcPr>
          <w:p w14:paraId="24955A24" w14:textId="2F9EF4E5" w:rsidR="00B54F25" w:rsidRPr="00E67EB7" w:rsidRDefault="00A564F4" w:rsidP="003E6027">
            <w:pPr>
              <w:jc w:val="left"/>
            </w:pPr>
            <w:r>
              <w:t xml:space="preserve">The supervisory board did not act in the shareholders’ interests and </w:t>
            </w:r>
            <w:r w:rsidR="00A5489B">
              <w:t>were not able to take the necessary steps to detect and prevent the financial fraud.</w:t>
            </w:r>
          </w:p>
        </w:tc>
      </w:tr>
      <w:tr w:rsidR="00B54F25" w:rsidRPr="00E23961" w14:paraId="13F6F17B" w14:textId="77777777" w:rsidTr="007A6283">
        <w:tc>
          <w:tcPr>
            <w:tcW w:w="3168" w:type="dxa"/>
          </w:tcPr>
          <w:p w14:paraId="1C7DFA54" w14:textId="77777777" w:rsidR="00B54F25" w:rsidRDefault="00B54F25" w:rsidP="003E6027">
            <w:pPr>
              <w:jc w:val="left"/>
              <w:rPr>
                <w:b/>
                <w:bCs/>
              </w:rPr>
            </w:pPr>
            <w:r w:rsidRPr="00E23961">
              <w:rPr>
                <w:b/>
                <w:bCs/>
              </w:rPr>
              <w:t>ISA 315</w:t>
            </w:r>
            <w:r>
              <w:rPr>
                <w:b/>
                <w:bCs/>
              </w:rPr>
              <w:t xml:space="preserve">: </w:t>
            </w:r>
          </w:p>
          <w:p w14:paraId="7572EB4A" w14:textId="77777777" w:rsidR="00B54F25" w:rsidRDefault="00B54F25" w:rsidP="003E6027">
            <w:pPr>
              <w:jc w:val="left"/>
              <w:rPr>
                <w:b/>
                <w:bCs/>
              </w:rPr>
            </w:pPr>
          </w:p>
          <w:p w14:paraId="29D085B6" w14:textId="77777777" w:rsidR="00B54F25" w:rsidRDefault="00B54F25" w:rsidP="003E6027">
            <w:pPr>
              <w:jc w:val="left"/>
            </w:pPr>
            <w:r>
              <w:t>Identifying and assessing the risks of material misstatements</w:t>
            </w:r>
          </w:p>
          <w:p w14:paraId="6F147B00" w14:textId="77777777" w:rsidR="00A00601" w:rsidRDefault="00A00601" w:rsidP="003E6027">
            <w:pPr>
              <w:jc w:val="left"/>
            </w:pPr>
          </w:p>
          <w:p w14:paraId="773E34CF" w14:textId="77777777" w:rsidR="00A00601" w:rsidRDefault="00A00601" w:rsidP="003E6027">
            <w:pPr>
              <w:jc w:val="left"/>
            </w:pPr>
          </w:p>
          <w:p w14:paraId="58050957" w14:textId="77777777" w:rsidR="00A00601" w:rsidRDefault="00A00601" w:rsidP="003E6027">
            <w:pPr>
              <w:jc w:val="left"/>
            </w:pPr>
          </w:p>
          <w:p w14:paraId="71DBEA17" w14:textId="2EB4A179" w:rsidR="00A00601" w:rsidRPr="00C66F77" w:rsidRDefault="00A00601" w:rsidP="003E6027">
            <w:pPr>
              <w:jc w:val="left"/>
            </w:pPr>
          </w:p>
        </w:tc>
        <w:tc>
          <w:tcPr>
            <w:tcW w:w="2943" w:type="dxa"/>
          </w:tcPr>
          <w:p w14:paraId="4941E859" w14:textId="7B4A5D65" w:rsidR="00B54F25" w:rsidRDefault="00F674B9" w:rsidP="003E6027">
            <w:pPr>
              <w:jc w:val="left"/>
            </w:pPr>
            <w:r>
              <w:t>EY</w:t>
            </w:r>
            <w:r w:rsidR="00B25C41">
              <w:t xml:space="preserve"> was unable to assess the control and inherent risks that came because of the company’s complex business model</w:t>
            </w:r>
          </w:p>
          <w:p w14:paraId="1DE8C8B3" w14:textId="77777777" w:rsidR="001B4825" w:rsidRDefault="001B4825" w:rsidP="003E6027">
            <w:pPr>
              <w:jc w:val="left"/>
            </w:pPr>
          </w:p>
          <w:p w14:paraId="67457718" w14:textId="77777777" w:rsidR="001B4825" w:rsidRDefault="001B4825" w:rsidP="003E6027">
            <w:pPr>
              <w:jc w:val="left"/>
            </w:pPr>
          </w:p>
          <w:p w14:paraId="1CB05DA2" w14:textId="05AEE8AF" w:rsidR="001B4825" w:rsidRPr="00E67EB7" w:rsidRDefault="001B4825" w:rsidP="003E6027">
            <w:pPr>
              <w:jc w:val="left"/>
            </w:pPr>
          </w:p>
        </w:tc>
        <w:tc>
          <w:tcPr>
            <w:tcW w:w="2943" w:type="dxa"/>
          </w:tcPr>
          <w:p w14:paraId="3504CB45" w14:textId="370F927E" w:rsidR="00B54F25" w:rsidRPr="00E67EB7" w:rsidRDefault="00F674B9" w:rsidP="003E6027">
            <w:pPr>
              <w:jc w:val="left"/>
            </w:pPr>
            <w:r>
              <w:t>EY</w:t>
            </w:r>
            <w:r w:rsidR="009B38D5">
              <w:t xml:space="preserve"> did not apply adequate audit procedures to detect such risks that </w:t>
            </w:r>
            <w:r w:rsidR="001B4825">
              <w:t>permitted the financial fraud to persist over years</w:t>
            </w:r>
          </w:p>
        </w:tc>
      </w:tr>
      <w:tr w:rsidR="00B54F25" w:rsidRPr="00E23961" w14:paraId="03A62DDB" w14:textId="77777777" w:rsidTr="007A6283">
        <w:tc>
          <w:tcPr>
            <w:tcW w:w="3168" w:type="dxa"/>
          </w:tcPr>
          <w:p w14:paraId="5F835BD3" w14:textId="77777777" w:rsidR="00B54F25" w:rsidRDefault="00B54F25" w:rsidP="003E6027">
            <w:pPr>
              <w:jc w:val="left"/>
              <w:rPr>
                <w:b/>
                <w:bCs/>
              </w:rPr>
            </w:pPr>
            <w:r w:rsidRPr="00E23961">
              <w:rPr>
                <w:b/>
                <w:bCs/>
              </w:rPr>
              <w:t>ISA 500</w:t>
            </w:r>
            <w:r>
              <w:rPr>
                <w:b/>
                <w:bCs/>
              </w:rPr>
              <w:t>:</w:t>
            </w:r>
          </w:p>
          <w:p w14:paraId="68EE676E" w14:textId="77777777" w:rsidR="00B54F25" w:rsidRDefault="00B54F25" w:rsidP="003E6027">
            <w:pPr>
              <w:jc w:val="left"/>
              <w:rPr>
                <w:b/>
                <w:bCs/>
              </w:rPr>
            </w:pPr>
          </w:p>
          <w:p w14:paraId="7BC62B92" w14:textId="77777777" w:rsidR="00B54F25" w:rsidRDefault="00B54F25" w:rsidP="003E6027">
            <w:pPr>
              <w:jc w:val="left"/>
            </w:pPr>
            <w:r>
              <w:t>Audit Evidence</w:t>
            </w:r>
          </w:p>
          <w:p w14:paraId="3F8C8F17" w14:textId="77777777" w:rsidR="00C721F0" w:rsidRDefault="00C721F0" w:rsidP="003E6027">
            <w:pPr>
              <w:jc w:val="left"/>
            </w:pPr>
          </w:p>
          <w:p w14:paraId="7C8284CF" w14:textId="77777777" w:rsidR="00C721F0" w:rsidRDefault="00C721F0" w:rsidP="00C721F0">
            <w:pPr>
              <w:jc w:val="left"/>
              <w:rPr>
                <w:b/>
                <w:bCs/>
              </w:rPr>
            </w:pPr>
            <w:r w:rsidRPr="00E23961">
              <w:rPr>
                <w:b/>
                <w:bCs/>
              </w:rPr>
              <w:t>ISA 580</w:t>
            </w:r>
            <w:r>
              <w:rPr>
                <w:b/>
                <w:bCs/>
              </w:rPr>
              <w:t xml:space="preserve">: </w:t>
            </w:r>
          </w:p>
          <w:p w14:paraId="362DF44F" w14:textId="77777777" w:rsidR="00C721F0" w:rsidRDefault="00C721F0" w:rsidP="00C721F0">
            <w:pPr>
              <w:jc w:val="left"/>
              <w:rPr>
                <w:b/>
                <w:bCs/>
              </w:rPr>
            </w:pPr>
          </w:p>
          <w:p w14:paraId="039AC63E" w14:textId="1C023EF6" w:rsidR="00C721F0" w:rsidRPr="005961DC" w:rsidRDefault="00C721F0" w:rsidP="00C721F0">
            <w:pPr>
              <w:jc w:val="left"/>
            </w:pPr>
            <w:r>
              <w:t>Written Representations</w:t>
            </w:r>
          </w:p>
        </w:tc>
        <w:tc>
          <w:tcPr>
            <w:tcW w:w="2943" w:type="dxa"/>
          </w:tcPr>
          <w:p w14:paraId="63B3E1BB" w14:textId="52FDEEE1" w:rsidR="00B54F25" w:rsidRPr="00E67EB7" w:rsidRDefault="00F674B9" w:rsidP="003E6027">
            <w:pPr>
              <w:jc w:val="left"/>
            </w:pPr>
            <w:r>
              <w:t>EY</w:t>
            </w:r>
            <w:r w:rsidR="0012360E">
              <w:t xml:space="preserve"> relied heavily on verbal assurances of executives and </w:t>
            </w:r>
            <w:r w:rsidR="00A165CC">
              <w:t>fabricated documents</w:t>
            </w:r>
          </w:p>
        </w:tc>
        <w:tc>
          <w:tcPr>
            <w:tcW w:w="2943" w:type="dxa"/>
          </w:tcPr>
          <w:p w14:paraId="06E7BF65" w14:textId="1A4D378F" w:rsidR="00B54F25" w:rsidRPr="00E67EB7" w:rsidRDefault="00F674B9" w:rsidP="003E6027">
            <w:pPr>
              <w:jc w:val="left"/>
            </w:pPr>
            <w:r>
              <w:t>EY</w:t>
            </w:r>
            <w:r w:rsidR="0037306E">
              <w:t xml:space="preserve"> failed to gather </w:t>
            </w:r>
            <w:r w:rsidR="00D832C5">
              <w:t xml:space="preserve">adequate and appropriate evidence to </w:t>
            </w:r>
            <w:r w:rsidR="00CA3388">
              <w:t xml:space="preserve">give out </w:t>
            </w:r>
            <w:r w:rsidR="00EB5532">
              <w:t>accurate audit opinion.</w:t>
            </w:r>
          </w:p>
        </w:tc>
      </w:tr>
      <w:tr w:rsidR="00B54F25" w:rsidRPr="00E23961" w14:paraId="45C430E0" w14:textId="77777777" w:rsidTr="007A6283">
        <w:tc>
          <w:tcPr>
            <w:tcW w:w="3168" w:type="dxa"/>
          </w:tcPr>
          <w:p w14:paraId="62CDE9BC" w14:textId="77777777" w:rsidR="00B54F25" w:rsidRDefault="00B54F25" w:rsidP="003E6027">
            <w:pPr>
              <w:jc w:val="left"/>
              <w:rPr>
                <w:b/>
                <w:bCs/>
              </w:rPr>
            </w:pPr>
            <w:r>
              <w:rPr>
                <w:b/>
                <w:bCs/>
              </w:rPr>
              <w:t>ISA 570:</w:t>
            </w:r>
          </w:p>
          <w:p w14:paraId="3643A001" w14:textId="77777777" w:rsidR="00B54F25" w:rsidRDefault="00B54F25" w:rsidP="003E6027">
            <w:pPr>
              <w:jc w:val="left"/>
              <w:rPr>
                <w:b/>
                <w:bCs/>
              </w:rPr>
            </w:pPr>
          </w:p>
          <w:p w14:paraId="176A4CCA" w14:textId="7A98B93B" w:rsidR="00B54F25" w:rsidRPr="00990F47" w:rsidRDefault="00B54F25" w:rsidP="003E6027">
            <w:pPr>
              <w:jc w:val="left"/>
            </w:pPr>
            <w:r>
              <w:t>Going Concern</w:t>
            </w:r>
          </w:p>
        </w:tc>
        <w:tc>
          <w:tcPr>
            <w:tcW w:w="2943" w:type="dxa"/>
          </w:tcPr>
          <w:p w14:paraId="641096BB" w14:textId="3A64BF18" w:rsidR="00B54F25" w:rsidRPr="00E67EB7" w:rsidRDefault="00F674B9" w:rsidP="003E6027">
            <w:pPr>
              <w:jc w:val="left"/>
            </w:pPr>
            <w:r>
              <w:t>EY</w:t>
            </w:r>
            <w:r w:rsidR="008E18DB">
              <w:t xml:space="preserve"> failed to assess the company’s viability </w:t>
            </w:r>
            <w:r w:rsidR="00576A30">
              <w:t>as a going concern</w:t>
            </w:r>
          </w:p>
        </w:tc>
        <w:tc>
          <w:tcPr>
            <w:tcW w:w="2943" w:type="dxa"/>
          </w:tcPr>
          <w:p w14:paraId="6B736A5C" w14:textId="1D77D15D" w:rsidR="00B54F25" w:rsidRPr="00E67EB7" w:rsidRDefault="00F674B9" w:rsidP="003E6027">
            <w:pPr>
              <w:jc w:val="left"/>
            </w:pPr>
            <w:r>
              <w:t>EY</w:t>
            </w:r>
            <w:r w:rsidR="00576A30">
              <w:t xml:space="preserve">’s failure to detect material misstatements </w:t>
            </w:r>
            <w:r w:rsidR="00302374">
              <w:t>deceived stakeholders about the company’s financial health</w:t>
            </w:r>
          </w:p>
        </w:tc>
      </w:tr>
    </w:tbl>
    <w:p w14:paraId="6CD1E139" w14:textId="47A52988" w:rsidR="00EA0129" w:rsidRDefault="00EA0129" w:rsidP="003E6027">
      <w:pPr>
        <w:jc w:val="left"/>
      </w:pPr>
    </w:p>
    <w:sectPr w:rsidR="00EA0129" w:rsidSect="00F4051D">
      <w:headerReference w:type="default" r:id="rId55"/>
      <w:footerReference w:type="even" r:id="rId56"/>
      <w:footerReference w:type="default" r:id="rId57"/>
      <w:pgSz w:w="11900" w:h="16840"/>
      <w:pgMar w:top="1418" w:right="1418" w:bottom="1418" w:left="1418" w:header="709" w:footer="91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78741" w14:textId="77777777" w:rsidR="00FB3165" w:rsidRDefault="00FB3165" w:rsidP="00353751">
      <w:r>
        <w:separator/>
      </w:r>
    </w:p>
  </w:endnote>
  <w:endnote w:type="continuationSeparator" w:id="0">
    <w:p w14:paraId="009BFA37" w14:textId="77777777" w:rsidR="00FB3165" w:rsidRDefault="00FB3165" w:rsidP="00353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933416"/>
      <w:docPartObj>
        <w:docPartGallery w:val="Page Numbers (Bottom of Page)"/>
        <w:docPartUnique/>
      </w:docPartObj>
    </w:sdtPr>
    <w:sdtEndPr>
      <w:rPr>
        <w:rStyle w:val="PageNumber"/>
      </w:rPr>
    </w:sdtEndPr>
    <w:sdtContent>
      <w:p w14:paraId="1F941724" w14:textId="6D431531" w:rsidR="00245CCB" w:rsidRDefault="00245CCB" w:rsidP="006F03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8E4258" w14:textId="77777777" w:rsidR="00245CCB" w:rsidRDefault="00245CCB" w:rsidP="00245C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37858463"/>
      <w:docPartObj>
        <w:docPartGallery w:val="Page Numbers (Bottom of Page)"/>
        <w:docPartUnique/>
      </w:docPartObj>
    </w:sdtPr>
    <w:sdtEndPr>
      <w:rPr>
        <w:rStyle w:val="PageNumber"/>
      </w:rPr>
    </w:sdtEndPr>
    <w:sdtContent>
      <w:p w14:paraId="68F0ED80" w14:textId="03254121" w:rsidR="00245CCB" w:rsidRDefault="00245CCB" w:rsidP="006F03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582495EB" w14:textId="77777777" w:rsidR="000544AF" w:rsidRPr="000544AF" w:rsidRDefault="000544A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668E8" w14:textId="77777777" w:rsidR="00FB3165" w:rsidRDefault="00FB3165" w:rsidP="00353751">
      <w:r>
        <w:separator/>
      </w:r>
    </w:p>
  </w:footnote>
  <w:footnote w:type="continuationSeparator" w:id="0">
    <w:p w14:paraId="72D9F4C8" w14:textId="77777777" w:rsidR="00FB3165" w:rsidRDefault="00FB3165" w:rsidP="00353751">
      <w:r>
        <w:continuationSeparator/>
      </w:r>
    </w:p>
  </w:footnote>
  <w:footnote w:id="1">
    <w:p w14:paraId="08EBD471" w14:textId="6E173E40" w:rsidR="002A637D" w:rsidRPr="002A637D" w:rsidRDefault="002A637D">
      <w:pPr>
        <w:pStyle w:val="FootnoteText"/>
        <w:rPr>
          <w:lang w:val="en-US"/>
        </w:rPr>
      </w:pPr>
      <w:r>
        <w:rPr>
          <w:rStyle w:val="FootnoteReference"/>
        </w:rPr>
        <w:footnoteRef/>
      </w:r>
      <w:r>
        <w:t xml:space="preserve"> </w:t>
      </w:r>
      <w:r>
        <w:rPr>
          <w:lang w:val="en-US"/>
        </w:rPr>
        <w:t xml:space="preserve">AG: </w:t>
      </w:r>
      <w:r w:rsidR="001A716F" w:rsidRPr="001A716F">
        <w:rPr>
          <w:lang w:val="en-IN"/>
        </w:rPr>
        <w:t>Aktiengesellschaft</w:t>
      </w:r>
      <w:r w:rsidR="00662694">
        <w:rPr>
          <w:lang w:val="en-IN"/>
        </w:rPr>
        <w:t xml:space="preserve"> </w:t>
      </w:r>
      <w:r w:rsidR="001A716F">
        <w:rPr>
          <w:lang w:val="en-IN"/>
        </w:rPr>
        <w:t>translates to stock corporation.</w:t>
      </w:r>
    </w:p>
  </w:footnote>
  <w:footnote w:id="2">
    <w:p w14:paraId="347CD4B0" w14:textId="275D0572" w:rsidR="00946EB2" w:rsidRPr="00946EB2" w:rsidRDefault="00946EB2">
      <w:pPr>
        <w:pStyle w:val="FootnoteText"/>
        <w:rPr>
          <w:lang w:val="en-US"/>
        </w:rPr>
      </w:pPr>
      <w:r>
        <w:rPr>
          <w:rStyle w:val="FootnoteReference"/>
        </w:rPr>
        <w:footnoteRef/>
      </w:r>
      <w:r>
        <w:rPr>
          <w:lang w:val="en-US"/>
        </w:rPr>
        <w:t xml:space="preserve"> DAX 40</w:t>
      </w:r>
      <w:r w:rsidR="00B52FD0">
        <w:rPr>
          <w:lang w:val="en-US"/>
        </w:rPr>
        <w:t xml:space="preserve"> (formerly DAX 30) </w:t>
      </w:r>
      <w:r>
        <w:rPr>
          <w:lang w:val="en-US"/>
        </w:rPr>
        <w:t xml:space="preserve">is a </w:t>
      </w:r>
      <w:r w:rsidR="00E85EDA">
        <w:rPr>
          <w:lang w:val="en-US"/>
        </w:rPr>
        <w:t>German</w:t>
      </w:r>
      <w:r>
        <w:rPr>
          <w:lang w:val="en-US"/>
        </w:rPr>
        <w:t xml:space="preserve"> stock market consisting of 40 major </w:t>
      </w:r>
      <w:r w:rsidR="00E85EDA">
        <w:rPr>
          <w:lang w:val="en-US"/>
        </w:rPr>
        <w:t xml:space="preserve">German </w:t>
      </w:r>
      <w:r w:rsidR="00656704">
        <w:rPr>
          <w:lang w:val="en-US"/>
        </w:rPr>
        <w:t>blue-chip</w:t>
      </w:r>
      <w:r w:rsidR="00E85EDA">
        <w:rPr>
          <w:lang w:val="en-US"/>
        </w:rPr>
        <w:t xml:space="preserve"> companies</w:t>
      </w:r>
      <w:r w:rsidR="009F3209">
        <w:rPr>
          <w:lang w:val="en-US"/>
        </w:rPr>
        <w:t xml:space="preserve"> trading on the Frankfurt Stock </w:t>
      </w:r>
      <w:proofErr w:type="gramStart"/>
      <w:r w:rsidR="009F3209">
        <w:rPr>
          <w:lang w:val="en-US"/>
        </w:rPr>
        <w:t>Exchange</w:t>
      </w:r>
      <w:r w:rsidR="008C0F2C" w:rsidRPr="008C0F2C">
        <w:rPr>
          <w:lang w:val="en-IN"/>
        </w:rPr>
        <w:t>(</w:t>
      </w:r>
      <w:r w:rsidR="008C0F2C">
        <w:rPr>
          <w:lang w:val="en-IN"/>
        </w:rPr>
        <w:t xml:space="preserve"> </w:t>
      </w:r>
      <w:r w:rsidR="008C0F2C" w:rsidRPr="008C0F2C">
        <w:rPr>
          <w:i/>
          <w:iCs/>
          <w:lang w:val="en-IN"/>
        </w:rPr>
        <w:t>DAX</w:t>
      </w:r>
      <w:proofErr w:type="gramEnd"/>
      <w:r w:rsidR="008C0F2C" w:rsidRPr="008C0F2C">
        <w:rPr>
          <w:i/>
          <w:iCs/>
          <w:lang w:val="en-IN"/>
        </w:rPr>
        <w:t xml:space="preserve"> 40 (DAX 30) Index Today (GDAXI)</w:t>
      </w:r>
      <w:r w:rsidR="008C0F2C" w:rsidRPr="008C0F2C">
        <w:rPr>
          <w:lang w:val="en-IN"/>
        </w:rPr>
        <w:t>, 2024)</w:t>
      </w:r>
      <w:r w:rsidR="008C0F2C">
        <w:rPr>
          <w:lang w:val="en-IN"/>
        </w:rPr>
        <w:t>.</w:t>
      </w:r>
    </w:p>
  </w:footnote>
  <w:footnote w:id="3">
    <w:p w14:paraId="0FE01C98" w14:textId="0DECB723" w:rsidR="00564D33" w:rsidRPr="00564D33" w:rsidRDefault="00564D33">
      <w:pPr>
        <w:pStyle w:val="FootnoteText"/>
        <w:rPr>
          <w:lang w:val="en-US"/>
        </w:rPr>
      </w:pPr>
      <w:r>
        <w:rPr>
          <w:rStyle w:val="FootnoteReference"/>
        </w:rPr>
        <w:footnoteRef/>
      </w:r>
      <w:r>
        <w:t xml:space="preserve"> </w:t>
      </w:r>
      <w:r w:rsidRPr="00564D33">
        <w:rPr>
          <w:lang w:val="en-US"/>
        </w:rPr>
        <w:t>Ernst &amp; Young</w:t>
      </w:r>
    </w:p>
  </w:footnote>
  <w:footnote w:id="4">
    <w:p w14:paraId="5CA754AA" w14:textId="135F2EF4" w:rsidR="00895839" w:rsidRPr="00895839" w:rsidRDefault="00895839">
      <w:pPr>
        <w:pStyle w:val="FootnoteText"/>
        <w:rPr>
          <w:lang w:val="en-US"/>
        </w:rPr>
      </w:pPr>
      <w:r>
        <w:rPr>
          <w:rStyle w:val="FootnoteReference"/>
        </w:rPr>
        <w:footnoteRef/>
      </w:r>
      <w:r>
        <w:t xml:space="preserve"> </w:t>
      </w:r>
      <w:r>
        <w:rPr>
          <w:lang w:val="en-US"/>
        </w:rPr>
        <w:t>Chief Executive Officer</w:t>
      </w:r>
    </w:p>
  </w:footnote>
  <w:footnote w:id="5">
    <w:p w14:paraId="18EE2081" w14:textId="1A6B37A3" w:rsidR="00895839" w:rsidRPr="00895839" w:rsidRDefault="00895839">
      <w:pPr>
        <w:pStyle w:val="FootnoteText"/>
        <w:rPr>
          <w:lang w:val="en-US"/>
        </w:rPr>
      </w:pPr>
      <w:r>
        <w:rPr>
          <w:rStyle w:val="FootnoteReference"/>
        </w:rPr>
        <w:footnoteRef/>
      </w:r>
      <w:r>
        <w:t xml:space="preserve"> </w:t>
      </w:r>
      <w:r>
        <w:rPr>
          <w:lang w:val="en-US"/>
        </w:rPr>
        <w:t>Chief Operation</w:t>
      </w:r>
      <w:r w:rsidR="00A92977">
        <w:rPr>
          <w:lang w:val="en-US"/>
        </w:rPr>
        <w:t>s Officer</w:t>
      </w:r>
    </w:p>
  </w:footnote>
  <w:footnote w:id="6">
    <w:p w14:paraId="0155F149" w14:textId="4E330DA4" w:rsidR="00F3749D" w:rsidRPr="00F3749D" w:rsidRDefault="00F3749D">
      <w:pPr>
        <w:pStyle w:val="FootnoteText"/>
        <w:rPr>
          <w:lang w:val="en-US"/>
        </w:rPr>
      </w:pPr>
      <w:r>
        <w:rPr>
          <w:rStyle w:val="FootnoteReference"/>
        </w:rPr>
        <w:footnoteRef/>
      </w:r>
      <w:r>
        <w:t xml:space="preserve"> </w:t>
      </w:r>
      <w:r w:rsidR="00B420DD">
        <w:rPr>
          <w:lang w:val="en-US"/>
        </w:rPr>
        <w:t>Financial Times</w:t>
      </w:r>
    </w:p>
  </w:footnote>
  <w:footnote w:id="7">
    <w:p w14:paraId="2479B000" w14:textId="76C2ADF0" w:rsidR="003230DB" w:rsidRPr="003230DB" w:rsidRDefault="003230DB">
      <w:pPr>
        <w:pStyle w:val="FootnoteText"/>
        <w:rPr>
          <w:lang w:val="en-US"/>
        </w:rPr>
      </w:pPr>
      <w:r>
        <w:rPr>
          <w:rStyle w:val="FootnoteReference"/>
        </w:rPr>
        <w:footnoteRef/>
      </w:r>
      <w:r>
        <w:t xml:space="preserve"> </w:t>
      </w:r>
      <w:r w:rsidRPr="003230DB">
        <w:t>The Deutscher Corporate Governance Kodex (German Corporate Governance Code)</w:t>
      </w:r>
    </w:p>
  </w:footnote>
  <w:footnote w:id="8">
    <w:p w14:paraId="197EC9A9" w14:textId="5F0DE9B0" w:rsidR="001317DC" w:rsidRPr="001317DC" w:rsidRDefault="001317DC">
      <w:pPr>
        <w:pStyle w:val="FootnoteText"/>
        <w:rPr>
          <w:lang w:val="en-US"/>
        </w:rPr>
      </w:pPr>
      <w:r>
        <w:rPr>
          <w:rStyle w:val="FootnoteReference"/>
        </w:rPr>
        <w:footnoteRef/>
      </w:r>
      <w:r>
        <w:t xml:space="preserve"> </w:t>
      </w:r>
      <w:r>
        <w:rPr>
          <w:lang w:val="en-US"/>
        </w:rPr>
        <w:t xml:space="preserve">Non-Compliance </w:t>
      </w:r>
      <w:r w:rsidR="00662694">
        <w:rPr>
          <w:lang w:val="en-US"/>
        </w:rPr>
        <w:t>with</w:t>
      </w:r>
      <w:r>
        <w:rPr>
          <w:lang w:val="en-US"/>
        </w:rPr>
        <w:t xml:space="preserve"> Law and Regulations</w:t>
      </w:r>
    </w:p>
  </w:footnote>
  <w:footnote w:id="9">
    <w:p w14:paraId="51D7E5E7" w14:textId="49D6BCF8" w:rsidR="007724A6" w:rsidRPr="007724A6" w:rsidRDefault="007724A6">
      <w:pPr>
        <w:pStyle w:val="FootnoteText"/>
        <w:rPr>
          <w:lang w:val="en-US"/>
        </w:rPr>
      </w:pPr>
      <w:r>
        <w:rPr>
          <w:rStyle w:val="FootnoteReference"/>
        </w:rPr>
        <w:footnoteRef/>
      </w:r>
      <w:r>
        <w:t xml:space="preserve"> </w:t>
      </w:r>
      <w:r w:rsidR="009D5A10">
        <w:rPr>
          <w:lang w:val="en-US"/>
        </w:rPr>
        <w:t xml:space="preserve">Requires </w:t>
      </w:r>
      <w:r w:rsidR="000F17B2">
        <w:rPr>
          <w:lang w:val="en-US"/>
        </w:rPr>
        <w:t xml:space="preserve">an </w:t>
      </w:r>
      <w:r w:rsidR="000B7EE5">
        <w:rPr>
          <w:lang w:val="en-US"/>
        </w:rPr>
        <w:t xml:space="preserve">entity to disclose its </w:t>
      </w:r>
      <w:r w:rsidR="00A24664">
        <w:rPr>
          <w:lang w:val="en-US"/>
        </w:rPr>
        <w:t xml:space="preserve">transactions with related parties, regardless of the nature of </w:t>
      </w:r>
      <w:r w:rsidR="000F17B2">
        <w:rPr>
          <w:lang w:val="en-US"/>
        </w:rPr>
        <w:t xml:space="preserve">the </w:t>
      </w:r>
      <w:r w:rsidR="00A24664">
        <w:rPr>
          <w:lang w:val="en-US"/>
        </w:rPr>
        <w:t>transaction.</w:t>
      </w:r>
    </w:p>
  </w:footnote>
  <w:footnote w:id="10">
    <w:p w14:paraId="03C5D377" w14:textId="0525D4DE" w:rsidR="007E0AE1" w:rsidRPr="007E0AE1" w:rsidRDefault="00300ECE" w:rsidP="007E0AE1">
      <w:pPr>
        <w:pStyle w:val="claim"/>
        <w:spacing w:before="0" w:beforeAutospacing="0" w:after="0" w:afterAutospacing="0"/>
        <w:rPr>
          <w:color w:val="000000"/>
          <w:sz w:val="20"/>
          <w:szCs w:val="20"/>
        </w:rPr>
      </w:pPr>
      <w:r>
        <w:rPr>
          <w:rStyle w:val="FootnoteReference"/>
        </w:rPr>
        <w:footnoteRef/>
      </w:r>
      <w:r>
        <w:t xml:space="preserve"> </w:t>
      </w:r>
      <w:r w:rsidR="007E0AE1" w:rsidRPr="007E0AE1">
        <w:rPr>
          <w:color w:val="000000"/>
          <w:sz w:val="20"/>
          <w:szCs w:val="20"/>
        </w:rPr>
        <w:t>Bundesanstalt für Finanzdienstleistungsaufsicht</w:t>
      </w:r>
      <w:r w:rsidR="007E0AE1">
        <w:rPr>
          <w:color w:val="000000"/>
          <w:sz w:val="20"/>
          <w:szCs w:val="20"/>
        </w:rPr>
        <w:t xml:space="preserve">: Federal Institute for Financial </w:t>
      </w:r>
      <w:r w:rsidR="003E5B78">
        <w:rPr>
          <w:color w:val="000000"/>
          <w:sz w:val="20"/>
          <w:szCs w:val="20"/>
        </w:rPr>
        <w:t>Services</w:t>
      </w:r>
      <w:r w:rsidR="007E0AE1">
        <w:rPr>
          <w:color w:val="000000"/>
          <w:sz w:val="20"/>
          <w:szCs w:val="20"/>
        </w:rPr>
        <w:t xml:space="preserve"> Supervision</w:t>
      </w:r>
    </w:p>
    <w:p w14:paraId="574E37A6" w14:textId="77777777" w:rsidR="007E0AE1" w:rsidRPr="007E0AE1" w:rsidRDefault="007E0AE1" w:rsidP="007E0AE1">
      <w:pPr>
        <w:pBdr>
          <w:bottom w:val="single" w:sz="6" w:space="1" w:color="auto"/>
        </w:pBdr>
        <w:jc w:val="center"/>
        <w:rPr>
          <w:rFonts w:cs="Arial"/>
          <w:vanish/>
          <w:sz w:val="16"/>
          <w:szCs w:val="16"/>
        </w:rPr>
      </w:pPr>
      <w:r w:rsidRPr="007E0AE1">
        <w:rPr>
          <w:rFonts w:cs="Arial"/>
          <w:vanish/>
          <w:sz w:val="16"/>
          <w:szCs w:val="16"/>
        </w:rPr>
        <w:t>Top of Form</w:t>
      </w:r>
    </w:p>
    <w:p w14:paraId="6EB9B6B7" w14:textId="77777777" w:rsidR="007E0AE1" w:rsidRPr="007E0AE1" w:rsidRDefault="007E0AE1" w:rsidP="007E0AE1">
      <w:pPr>
        <w:pBdr>
          <w:top w:val="single" w:sz="6" w:space="1" w:color="auto"/>
        </w:pBdr>
        <w:jc w:val="center"/>
        <w:rPr>
          <w:rFonts w:cs="Arial"/>
          <w:vanish/>
          <w:sz w:val="16"/>
          <w:szCs w:val="16"/>
        </w:rPr>
      </w:pPr>
      <w:r w:rsidRPr="007E0AE1">
        <w:rPr>
          <w:rFonts w:cs="Arial"/>
          <w:vanish/>
          <w:sz w:val="16"/>
          <w:szCs w:val="16"/>
        </w:rPr>
        <w:t>Bottom of Form</w:t>
      </w:r>
    </w:p>
    <w:p w14:paraId="21A64FD5" w14:textId="65A37B65" w:rsidR="00300ECE" w:rsidRPr="007E0AE1" w:rsidRDefault="00300ECE">
      <w:pPr>
        <w:pStyle w:val="FootnoteText"/>
        <w:rPr>
          <w:b/>
          <w:bCs/>
          <w:lang w:val="en-US"/>
        </w:rPr>
      </w:pPr>
    </w:p>
  </w:footnote>
  <w:footnote w:id="11">
    <w:p w14:paraId="19007B2B" w14:textId="5AA941B2" w:rsidR="008D4572" w:rsidRPr="008D4572" w:rsidRDefault="008D4572">
      <w:pPr>
        <w:pStyle w:val="FootnoteText"/>
        <w:rPr>
          <w:lang w:val="en-US"/>
        </w:rPr>
      </w:pPr>
      <w:r>
        <w:rPr>
          <w:rStyle w:val="FootnoteReference"/>
        </w:rPr>
        <w:footnoteRef/>
      </w:r>
      <w:r>
        <w:t xml:space="preserve"> </w:t>
      </w:r>
      <w:r>
        <w:rPr>
          <w:lang w:val="en-US"/>
        </w:rPr>
        <w:t xml:space="preserve">Wirecard’s first in-house lawyer </w:t>
      </w:r>
      <w:r w:rsidR="00F413B1">
        <w:rPr>
          <w:lang w:val="en-US"/>
        </w:rPr>
        <w:t xml:space="preserve">who was </w:t>
      </w:r>
      <w:r>
        <w:rPr>
          <w:lang w:val="en-US"/>
        </w:rPr>
        <w:t>responsible for the Asia-Pacific region</w:t>
      </w:r>
      <w:r w:rsidR="00302FDA">
        <w:rPr>
          <w:lang w:val="en-US"/>
        </w:rPr>
        <w:t>, reporting directly to Munich headquarters</w:t>
      </w:r>
      <w:r w:rsidR="00F413B1">
        <w:rPr>
          <w:lang w:val="en-US"/>
        </w:rPr>
        <w:t>.</w:t>
      </w:r>
    </w:p>
  </w:footnote>
  <w:footnote w:id="12">
    <w:p w14:paraId="6F9FFA0A" w14:textId="3960B662" w:rsidR="00E862A7" w:rsidRPr="00E862A7" w:rsidRDefault="00E862A7">
      <w:pPr>
        <w:pStyle w:val="FootnoteText"/>
        <w:rPr>
          <w:lang w:val="en-US"/>
        </w:rPr>
      </w:pPr>
      <w:r>
        <w:rPr>
          <w:rStyle w:val="FootnoteReference"/>
        </w:rPr>
        <w:footnoteRef/>
      </w:r>
      <w:r>
        <w:t xml:space="preserve"> </w:t>
      </w:r>
      <w:r w:rsidR="00D97401">
        <w:rPr>
          <w:lang w:val="en-US"/>
        </w:rPr>
        <w:t xml:space="preserve">Inflation of revenues </w:t>
      </w:r>
      <w:r w:rsidR="002D55CC">
        <w:rPr>
          <w:lang w:val="en-US"/>
        </w:rPr>
        <w:t>through fictitious transactions</w:t>
      </w:r>
    </w:p>
  </w:footnote>
  <w:footnote w:id="13">
    <w:p w14:paraId="07733CD0" w14:textId="6EE4712F" w:rsidR="005D5905" w:rsidRPr="005D5905" w:rsidRDefault="005D5905">
      <w:pPr>
        <w:pStyle w:val="FootnoteText"/>
        <w:rPr>
          <w:lang w:val="en-US"/>
        </w:rPr>
      </w:pPr>
      <w:r>
        <w:rPr>
          <w:rStyle w:val="FootnoteReference"/>
        </w:rPr>
        <w:footnoteRef/>
      </w:r>
      <w:r>
        <w:t xml:space="preserve"> </w:t>
      </w:r>
      <w:r>
        <w:rPr>
          <w:lang w:val="en-US"/>
        </w:rPr>
        <w:t>Third-</w:t>
      </w:r>
      <w:r w:rsidR="00F07615">
        <w:rPr>
          <w:lang w:val="en-US"/>
        </w:rPr>
        <w:t>p</w:t>
      </w:r>
      <w:r>
        <w:rPr>
          <w:lang w:val="en-US"/>
        </w:rPr>
        <w:t>arty acquisitions</w:t>
      </w:r>
    </w:p>
  </w:footnote>
  <w:footnote w:id="14">
    <w:p w14:paraId="5C6AF27D" w14:textId="73BDB186" w:rsidR="002C47F8" w:rsidRPr="002C47F8" w:rsidRDefault="002C47F8">
      <w:pPr>
        <w:pStyle w:val="FootnoteText"/>
        <w:rPr>
          <w:lang w:val="en-US"/>
        </w:rPr>
      </w:pPr>
      <w:r>
        <w:rPr>
          <w:rStyle w:val="FootnoteReference"/>
        </w:rPr>
        <w:footnoteRef/>
      </w:r>
      <w:r>
        <w:t xml:space="preserve"> </w:t>
      </w:r>
      <w:r w:rsidR="00176F8F">
        <w:rPr>
          <w:lang w:val="en-US"/>
        </w:rPr>
        <w:t>German audit oversight body for maintaining the quality and professional standards of statutory audits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289EE" w14:textId="77777777" w:rsidR="00FA7FE7" w:rsidRDefault="00FA7FE7" w:rsidP="00FA7FE7">
    <w:pPr>
      <w:pStyle w:val="Footer"/>
      <w:ind w:right="360"/>
      <w:rPr>
        <w:lang w:val="en-US"/>
      </w:rPr>
    </w:pPr>
    <w:r>
      <w:rPr>
        <w:lang w:val="en-US"/>
      </w:rPr>
      <w:t>Student ID: 14524170</w:t>
    </w:r>
  </w:p>
  <w:p w14:paraId="55DF33E3" w14:textId="77777777" w:rsidR="00FA7FE7" w:rsidRDefault="00FA7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57B95"/>
    <w:multiLevelType w:val="multilevel"/>
    <w:tmpl w:val="8C7C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463AC"/>
    <w:multiLevelType w:val="hybridMultilevel"/>
    <w:tmpl w:val="DFD6BBA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D70A20"/>
    <w:multiLevelType w:val="hybridMultilevel"/>
    <w:tmpl w:val="09987BA0"/>
    <w:lvl w:ilvl="0" w:tplc="C62E585A">
      <w:start w:val="1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3653E6"/>
    <w:multiLevelType w:val="hybridMultilevel"/>
    <w:tmpl w:val="C1B85844"/>
    <w:lvl w:ilvl="0" w:tplc="A27AD090">
      <w:numFmt w:val="bullet"/>
      <w:lvlText w:val="-"/>
      <w:lvlJc w:val="left"/>
      <w:pPr>
        <w:ind w:left="4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2313ED"/>
    <w:multiLevelType w:val="multilevel"/>
    <w:tmpl w:val="3876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70DA7"/>
    <w:multiLevelType w:val="hybridMultilevel"/>
    <w:tmpl w:val="00146A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7A3D80"/>
    <w:multiLevelType w:val="hybridMultilevel"/>
    <w:tmpl w:val="D97ABEB4"/>
    <w:lvl w:ilvl="0" w:tplc="A27AD090">
      <w:numFmt w:val="bullet"/>
      <w:lvlText w:val="-"/>
      <w:lvlJc w:val="left"/>
      <w:pPr>
        <w:ind w:left="420" w:hanging="360"/>
      </w:pPr>
      <w:rPr>
        <w:rFonts w:ascii="Arial" w:eastAsia="Calibri" w:hAnsi="Arial" w:cs="Arial" w:hint="default"/>
      </w:rPr>
    </w:lvl>
    <w:lvl w:ilvl="1" w:tplc="08090003" w:tentative="1">
      <w:start w:val="1"/>
      <w:numFmt w:val="bullet"/>
      <w:lvlText w:val="o"/>
      <w:lvlJc w:val="left"/>
      <w:pPr>
        <w:ind w:left="1140" w:hanging="360"/>
      </w:pPr>
      <w:rPr>
        <w:rFonts w:ascii="Courier New" w:hAnsi="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59DA39A0"/>
    <w:multiLevelType w:val="hybridMultilevel"/>
    <w:tmpl w:val="E1DC3B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AB80B67"/>
    <w:multiLevelType w:val="hybridMultilevel"/>
    <w:tmpl w:val="2F52ACDA"/>
    <w:lvl w:ilvl="0" w:tplc="A7B2DF5A">
      <w:start w:val="1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C73F51"/>
    <w:multiLevelType w:val="hybridMultilevel"/>
    <w:tmpl w:val="64A6B802"/>
    <w:lvl w:ilvl="0" w:tplc="FCE6CBE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7C479A"/>
    <w:multiLevelType w:val="hybridMultilevel"/>
    <w:tmpl w:val="26BC5700"/>
    <w:lvl w:ilvl="0" w:tplc="A7B2DF5A">
      <w:start w:val="1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374F21"/>
    <w:multiLevelType w:val="hybridMultilevel"/>
    <w:tmpl w:val="EB7EFD20"/>
    <w:lvl w:ilvl="0" w:tplc="DA02F7E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5610762">
    <w:abstractNumId w:val="5"/>
  </w:num>
  <w:num w:numId="2" w16cid:durableId="638265028">
    <w:abstractNumId w:val="2"/>
  </w:num>
  <w:num w:numId="3" w16cid:durableId="1125125222">
    <w:abstractNumId w:val="10"/>
  </w:num>
  <w:num w:numId="4" w16cid:durableId="2045255130">
    <w:abstractNumId w:val="9"/>
  </w:num>
  <w:num w:numId="5" w16cid:durableId="1238980752">
    <w:abstractNumId w:val="8"/>
  </w:num>
  <w:num w:numId="6" w16cid:durableId="1865051809">
    <w:abstractNumId w:val="1"/>
  </w:num>
  <w:num w:numId="7" w16cid:durableId="1860660693">
    <w:abstractNumId w:val="7"/>
  </w:num>
  <w:num w:numId="8" w16cid:durableId="221065109">
    <w:abstractNumId w:val="4"/>
  </w:num>
  <w:num w:numId="9" w16cid:durableId="963075163">
    <w:abstractNumId w:val="0"/>
  </w:num>
  <w:num w:numId="10" w16cid:durableId="1240209681">
    <w:abstractNumId w:val="6"/>
  </w:num>
  <w:num w:numId="11" w16cid:durableId="1242527358">
    <w:abstractNumId w:val="3"/>
  </w:num>
  <w:num w:numId="12" w16cid:durableId="13888011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DB4"/>
    <w:rsid w:val="000024C9"/>
    <w:rsid w:val="00003694"/>
    <w:rsid w:val="0000765F"/>
    <w:rsid w:val="00007765"/>
    <w:rsid w:val="00010B6A"/>
    <w:rsid w:val="00012519"/>
    <w:rsid w:val="0001654A"/>
    <w:rsid w:val="00016AA4"/>
    <w:rsid w:val="00017553"/>
    <w:rsid w:val="0002394C"/>
    <w:rsid w:val="00025139"/>
    <w:rsid w:val="00026B7B"/>
    <w:rsid w:val="000308AD"/>
    <w:rsid w:val="00031AC8"/>
    <w:rsid w:val="00033D58"/>
    <w:rsid w:val="00034AA4"/>
    <w:rsid w:val="00035ECF"/>
    <w:rsid w:val="000401CC"/>
    <w:rsid w:val="0004052F"/>
    <w:rsid w:val="000409B3"/>
    <w:rsid w:val="00043354"/>
    <w:rsid w:val="000474EA"/>
    <w:rsid w:val="0005119F"/>
    <w:rsid w:val="0005428D"/>
    <w:rsid w:val="000544AF"/>
    <w:rsid w:val="00054C76"/>
    <w:rsid w:val="000553F5"/>
    <w:rsid w:val="00055670"/>
    <w:rsid w:val="000557E3"/>
    <w:rsid w:val="000558BD"/>
    <w:rsid w:val="00056B0A"/>
    <w:rsid w:val="00057803"/>
    <w:rsid w:val="00057D5C"/>
    <w:rsid w:val="000603C7"/>
    <w:rsid w:val="000621AE"/>
    <w:rsid w:val="000622BA"/>
    <w:rsid w:val="00062AD5"/>
    <w:rsid w:val="00065762"/>
    <w:rsid w:val="0006599F"/>
    <w:rsid w:val="00067E88"/>
    <w:rsid w:val="00070C79"/>
    <w:rsid w:val="00071EDB"/>
    <w:rsid w:val="000738BC"/>
    <w:rsid w:val="00074CCA"/>
    <w:rsid w:val="00075887"/>
    <w:rsid w:val="00076183"/>
    <w:rsid w:val="00076FF0"/>
    <w:rsid w:val="00077B1A"/>
    <w:rsid w:val="00077BAF"/>
    <w:rsid w:val="0008061A"/>
    <w:rsid w:val="00080745"/>
    <w:rsid w:val="000828C6"/>
    <w:rsid w:val="000829C0"/>
    <w:rsid w:val="00082DB0"/>
    <w:rsid w:val="0008335C"/>
    <w:rsid w:val="00087EF4"/>
    <w:rsid w:val="00092363"/>
    <w:rsid w:val="00093DF4"/>
    <w:rsid w:val="00097E6D"/>
    <w:rsid w:val="000A1E95"/>
    <w:rsid w:val="000A29DA"/>
    <w:rsid w:val="000A415C"/>
    <w:rsid w:val="000A6E95"/>
    <w:rsid w:val="000A72BC"/>
    <w:rsid w:val="000A7B0E"/>
    <w:rsid w:val="000A7B4C"/>
    <w:rsid w:val="000B023B"/>
    <w:rsid w:val="000B043B"/>
    <w:rsid w:val="000B2978"/>
    <w:rsid w:val="000B29BE"/>
    <w:rsid w:val="000B2BF1"/>
    <w:rsid w:val="000B3381"/>
    <w:rsid w:val="000B5130"/>
    <w:rsid w:val="000B6615"/>
    <w:rsid w:val="000B7142"/>
    <w:rsid w:val="000B7EE5"/>
    <w:rsid w:val="000C0D46"/>
    <w:rsid w:val="000C0E98"/>
    <w:rsid w:val="000C2901"/>
    <w:rsid w:val="000C4A2C"/>
    <w:rsid w:val="000C6A16"/>
    <w:rsid w:val="000D0607"/>
    <w:rsid w:val="000D45B2"/>
    <w:rsid w:val="000E0F2A"/>
    <w:rsid w:val="000E1AD1"/>
    <w:rsid w:val="000E2BE5"/>
    <w:rsid w:val="000E430E"/>
    <w:rsid w:val="000E5904"/>
    <w:rsid w:val="000E68D8"/>
    <w:rsid w:val="000F02E3"/>
    <w:rsid w:val="000F0B12"/>
    <w:rsid w:val="000F17B2"/>
    <w:rsid w:val="000F2357"/>
    <w:rsid w:val="000F2D10"/>
    <w:rsid w:val="000F2F09"/>
    <w:rsid w:val="000F3A50"/>
    <w:rsid w:val="000F7906"/>
    <w:rsid w:val="00102C8B"/>
    <w:rsid w:val="00103393"/>
    <w:rsid w:val="001062BC"/>
    <w:rsid w:val="001062E8"/>
    <w:rsid w:val="00107C53"/>
    <w:rsid w:val="00115EC2"/>
    <w:rsid w:val="001200A9"/>
    <w:rsid w:val="00120E77"/>
    <w:rsid w:val="0012128E"/>
    <w:rsid w:val="0012360E"/>
    <w:rsid w:val="00124600"/>
    <w:rsid w:val="001246E1"/>
    <w:rsid w:val="00125014"/>
    <w:rsid w:val="001252DF"/>
    <w:rsid w:val="001252F6"/>
    <w:rsid w:val="00125EF0"/>
    <w:rsid w:val="00126880"/>
    <w:rsid w:val="00131400"/>
    <w:rsid w:val="00131532"/>
    <w:rsid w:val="001317DC"/>
    <w:rsid w:val="0013254C"/>
    <w:rsid w:val="00134FDD"/>
    <w:rsid w:val="00135D2C"/>
    <w:rsid w:val="00136D2E"/>
    <w:rsid w:val="001375A8"/>
    <w:rsid w:val="00137B5B"/>
    <w:rsid w:val="0014057E"/>
    <w:rsid w:val="00140652"/>
    <w:rsid w:val="00143D1C"/>
    <w:rsid w:val="001441FF"/>
    <w:rsid w:val="00144D76"/>
    <w:rsid w:val="00145AAF"/>
    <w:rsid w:val="001461B6"/>
    <w:rsid w:val="001511F9"/>
    <w:rsid w:val="00151413"/>
    <w:rsid w:val="0015371E"/>
    <w:rsid w:val="0015596F"/>
    <w:rsid w:val="00161C34"/>
    <w:rsid w:val="0016292A"/>
    <w:rsid w:val="00162963"/>
    <w:rsid w:val="00162E30"/>
    <w:rsid w:val="00164193"/>
    <w:rsid w:val="00174866"/>
    <w:rsid w:val="00175714"/>
    <w:rsid w:val="001758FD"/>
    <w:rsid w:val="001768BC"/>
    <w:rsid w:val="00176F8F"/>
    <w:rsid w:val="00177EDA"/>
    <w:rsid w:val="00180EF2"/>
    <w:rsid w:val="0018648A"/>
    <w:rsid w:val="00186872"/>
    <w:rsid w:val="00186931"/>
    <w:rsid w:val="001869A8"/>
    <w:rsid w:val="001900D5"/>
    <w:rsid w:val="00190644"/>
    <w:rsid w:val="00190CF4"/>
    <w:rsid w:val="00192816"/>
    <w:rsid w:val="00193D9A"/>
    <w:rsid w:val="00194EDA"/>
    <w:rsid w:val="00194FB9"/>
    <w:rsid w:val="001958A1"/>
    <w:rsid w:val="001958E8"/>
    <w:rsid w:val="00196B66"/>
    <w:rsid w:val="00197063"/>
    <w:rsid w:val="001A06FD"/>
    <w:rsid w:val="001A2F25"/>
    <w:rsid w:val="001A499C"/>
    <w:rsid w:val="001A5088"/>
    <w:rsid w:val="001A61A9"/>
    <w:rsid w:val="001A7006"/>
    <w:rsid w:val="001A716F"/>
    <w:rsid w:val="001B280F"/>
    <w:rsid w:val="001B4825"/>
    <w:rsid w:val="001B68D3"/>
    <w:rsid w:val="001B7CB2"/>
    <w:rsid w:val="001C03D4"/>
    <w:rsid w:val="001C04AB"/>
    <w:rsid w:val="001C12B2"/>
    <w:rsid w:val="001C30E4"/>
    <w:rsid w:val="001C4D38"/>
    <w:rsid w:val="001C5BDA"/>
    <w:rsid w:val="001D0631"/>
    <w:rsid w:val="001D0BDF"/>
    <w:rsid w:val="001D1CBA"/>
    <w:rsid w:val="001D29CC"/>
    <w:rsid w:val="001D4603"/>
    <w:rsid w:val="001D5D3C"/>
    <w:rsid w:val="001D7139"/>
    <w:rsid w:val="001E0C78"/>
    <w:rsid w:val="001E0F79"/>
    <w:rsid w:val="001E236F"/>
    <w:rsid w:val="001E2CF9"/>
    <w:rsid w:val="001E34ED"/>
    <w:rsid w:val="001E3EE0"/>
    <w:rsid w:val="001E5320"/>
    <w:rsid w:val="001E6592"/>
    <w:rsid w:val="001F1143"/>
    <w:rsid w:val="001F307B"/>
    <w:rsid w:val="001F334A"/>
    <w:rsid w:val="001F5E57"/>
    <w:rsid w:val="001F6342"/>
    <w:rsid w:val="00200D29"/>
    <w:rsid w:val="00205567"/>
    <w:rsid w:val="002068BA"/>
    <w:rsid w:val="002072A2"/>
    <w:rsid w:val="00207813"/>
    <w:rsid w:val="002078C2"/>
    <w:rsid w:val="00207E67"/>
    <w:rsid w:val="00210A7E"/>
    <w:rsid w:val="00211877"/>
    <w:rsid w:val="00214515"/>
    <w:rsid w:val="00215DBB"/>
    <w:rsid w:val="00215F35"/>
    <w:rsid w:val="0021602D"/>
    <w:rsid w:val="00217587"/>
    <w:rsid w:val="0022057B"/>
    <w:rsid w:val="00222D70"/>
    <w:rsid w:val="00224D1F"/>
    <w:rsid w:val="002259E4"/>
    <w:rsid w:val="002270D0"/>
    <w:rsid w:val="002317BE"/>
    <w:rsid w:val="00232051"/>
    <w:rsid w:val="00232F73"/>
    <w:rsid w:val="00233819"/>
    <w:rsid w:val="00234DD8"/>
    <w:rsid w:val="00235B86"/>
    <w:rsid w:val="00236A9A"/>
    <w:rsid w:val="00237352"/>
    <w:rsid w:val="00237FAB"/>
    <w:rsid w:val="00241576"/>
    <w:rsid w:val="00242D8D"/>
    <w:rsid w:val="00244B40"/>
    <w:rsid w:val="00245CCB"/>
    <w:rsid w:val="00246263"/>
    <w:rsid w:val="0024664D"/>
    <w:rsid w:val="00250312"/>
    <w:rsid w:val="0025350D"/>
    <w:rsid w:val="0025394D"/>
    <w:rsid w:val="00253ECF"/>
    <w:rsid w:val="00255085"/>
    <w:rsid w:val="0025708B"/>
    <w:rsid w:val="00260736"/>
    <w:rsid w:val="0026074A"/>
    <w:rsid w:val="00261DE0"/>
    <w:rsid w:val="00263456"/>
    <w:rsid w:val="0026359C"/>
    <w:rsid w:val="00264E70"/>
    <w:rsid w:val="00265B28"/>
    <w:rsid w:val="00270A96"/>
    <w:rsid w:val="00270C84"/>
    <w:rsid w:val="00271866"/>
    <w:rsid w:val="00271D0F"/>
    <w:rsid w:val="00275D3F"/>
    <w:rsid w:val="00275DB8"/>
    <w:rsid w:val="00275E45"/>
    <w:rsid w:val="002779CC"/>
    <w:rsid w:val="00281005"/>
    <w:rsid w:val="00284863"/>
    <w:rsid w:val="00284933"/>
    <w:rsid w:val="0028522A"/>
    <w:rsid w:val="00285954"/>
    <w:rsid w:val="00285AC3"/>
    <w:rsid w:val="00285CCC"/>
    <w:rsid w:val="00290B46"/>
    <w:rsid w:val="0029265D"/>
    <w:rsid w:val="002928AA"/>
    <w:rsid w:val="002939A3"/>
    <w:rsid w:val="002944BF"/>
    <w:rsid w:val="00295058"/>
    <w:rsid w:val="002957A6"/>
    <w:rsid w:val="00295EC3"/>
    <w:rsid w:val="002963D9"/>
    <w:rsid w:val="002A135C"/>
    <w:rsid w:val="002A1C94"/>
    <w:rsid w:val="002A1CC5"/>
    <w:rsid w:val="002A245D"/>
    <w:rsid w:val="002A44A9"/>
    <w:rsid w:val="002A5369"/>
    <w:rsid w:val="002A5BB1"/>
    <w:rsid w:val="002A637D"/>
    <w:rsid w:val="002A692D"/>
    <w:rsid w:val="002A730A"/>
    <w:rsid w:val="002A7F76"/>
    <w:rsid w:val="002B241E"/>
    <w:rsid w:val="002B2902"/>
    <w:rsid w:val="002B4250"/>
    <w:rsid w:val="002B42D2"/>
    <w:rsid w:val="002B545B"/>
    <w:rsid w:val="002B6354"/>
    <w:rsid w:val="002B6E8D"/>
    <w:rsid w:val="002C4549"/>
    <w:rsid w:val="002C47F8"/>
    <w:rsid w:val="002C6256"/>
    <w:rsid w:val="002D4661"/>
    <w:rsid w:val="002D4987"/>
    <w:rsid w:val="002D534D"/>
    <w:rsid w:val="002D55CC"/>
    <w:rsid w:val="002D6B33"/>
    <w:rsid w:val="002D7AC6"/>
    <w:rsid w:val="002F1445"/>
    <w:rsid w:val="002F1EFD"/>
    <w:rsid w:val="002F746B"/>
    <w:rsid w:val="002F74C2"/>
    <w:rsid w:val="002F7933"/>
    <w:rsid w:val="00300C7E"/>
    <w:rsid w:val="00300ECE"/>
    <w:rsid w:val="00302115"/>
    <w:rsid w:val="00302374"/>
    <w:rsid w:val="00302600"/>
    <w:rsid w:val="00302FDA"/>
    <w:rsid w:val="00304E49"/>
    <w:rsid w:val="003051E8"/>
    <w:rsid w:val="00311F13"/>
    <w:rsid w:val="00314B6F"/>
    <w:rsid w:val="00315D84"/>
    <w:rsid w:val="0032130E"/>
    <w:rsid w:val="003230DB"/>
    <w:rsid w:val="0032466A"/>
    <w:rsid w:val="00324D49"/>
    <w:rsid w:val="00325390"/>
    <w:rsid w:val="00325769"/>
    <w:rsid w:val="0032606B"/>
    <w:rsid w:val="00326EA5"/>
    <w:rsid w:val="00327693"/>
    <w:rsid w:val="00331350"/>
    <w:rsid w:val="00332534"/>
    <w:rsid w:val="00333AC4"/>
    <w:rsid w:val="00335574"/>
    <w:rsid w:val="0033602E"/>
    <w:rsid w:val="003373A4"/>
    <w:rsid w:val="0034147F"/>
    <w:rsid w:val="00342B1C"/>
    <w:rsid w:val="0034397A"/>
    <w:rsid w:val="003439FB"/>
    <w:rsid w:val="00345A77"/>
    <w:rsid w:val="00346378"/>
    <w:rsid w:val="00350C22"/>
    <w:rsid w:val="003512DC"/>
    <w:rsid w:val="00352F64"/>
    <w:rsid w:val="0035318F"/>
    <w:rsid w:val="00353751"/>
    <w:rsid w:val="00354A92"/>
    <w:rsid w:val="00354ADC"/>
    <w:rsid w:val="00354F13"/>
    <w:rsid w:val="003564ED"/>
    <w:rsid w:val="00356F37"/>
    <w:rsid w:val="00356F97"/>
    <w:rsid w:val="003629A6"/>
    <w:rsid w:val="00366312"/>
    <w:rsid w:val="0037306E"/>
    <w:rsid w:val="003740F6"/>
    <w:rsid w:val="003752D6"/>
    <w:rsid w:val="0038153D"/>
    <w:rsid w:val="00381DB5"/>
    <w:rsid w:val="0038246A"/>
    <w:rsid w:val="00383684"/>
    <w:rsid w:val="00383DB4"/>
    <w:rsid w:val="00385095"/>
    <w:rsid w:val="00390934"/>
    <w:rsid w:val="00390BD5"/>
    <w:rsid w:val="00392EC3"/>
    <w:rsid w:val="00392F53"/>
    <w:rsid w:val="00393EEC"/>
    <w:rsid w:val="0039434C"/>
    <w:rsid w:val="003947E8"/>
    <w:rsid w:val="00394E30"/>
    <w:rsid w:val="0039504D"/>
    <w:rsid w:val="00396B30"/>
    <w:rsid w:val="003A0515"/>
    <w:rsid w:val="003A29BB"/>
    <w:rsid w:val="003A3B3E"/>
    <w:rsid w:val="003A4B5F"/>
    <w:rsid w:val="003A5C90"/>
    <w:rsid w:val="003A607A"/>
    <w:rsid w:val="003A64F9"/>
    <w:rsid w:val="003A67C5"/>
    <w:rsid w:val="003A72C9"/>
    <w:rsid w:val="003B2D33"/>
    <w:rsid w:val="003B33E9"/>
    <w:rsid w:val="003B3426"/>
    <w:rsid w:val="003B34E3"/>
    <w:rsid w:val="003B365F"/>
    <w:rsid w:val="003B3AF0"/>
    <w:rsid w:val="003B3B5C"/>
    <w:rsid w:val="003B3C9A"/>
    <w:rsid w:val="003B3CB8"/>
    <w:rsid w:val="003B4272"/>
    <w:rsid w:val="003B4969"/>
    <w:rsid w:val="003B6644"/>
    <w:rsid w:val="003B75A6"/>
    <w:rsid w:val="003C3EB9"/>
    <w:rsid w:val="003C5F1A"/>
    <w:rsid w:val="003D0861"/>
    <w:rsid w:val="003D08F1"/>
    <w:rsid w:val="003D0AE3"/>
    <w:rsid w:val="003D0DD1"/>
    <w:rsid w:val="003D1B93"/>
    <w:rsid w:val="003D49B0"/>
    <w:rsid w:val="003D4D85"/>
    <w:rsid w:val="003D7B78"/>
    <w:rsid w:val="003E0A80"/>
    <w:rsid w:val="003E1B86"/>
    <w:rsid w:val="003E444B"/>
    <w:rsid w:val="003E52A0"/>
    <w:rsid w:val="003E5B78"/>
    <w:rsid w:val="003E6027"/>
    <w:rsid w:val="003F2E10"/>
    <w:rsid w:val="003F3ECA"/>
    <w:rsid w:val="003F57ED"/>
    <w:rsid w:val="003F74AA"/>
    <w:rsid w:val="004008E8"/>
    <w:rsid w:val="004015A9"/>
    <w:rsid w:val="00401B58"/>
    <w:rsid w:val="00402B10"/>
    <w:rsid w:val="004035CD"/>
    <w:rsid w:val="004037E3"/>
    <w:rsid w:val="004049C0"/>
    <w:rsid w:val="0040656F"/>
    <w:rsid w:val="00407751"/>
    <w:rsid w:val="00410496"/>
    <w:rsid w:val="00411841"/>
    <w:rsid w:val="004122B5"/>
    <w:rsid w:val="004131D2"/>
    <w:rsid w:val="00416BD5"/>
    <w:rsid w:val="00417F34"/>
    <w:rsid w:val="0042016F"/>
    <w:rsid w:val="00420630"/>
    <w:rsid w:val="004216F2"/>
    <w:rsid w:val="0042180A"/>
    <w:rsid w:val="004230B7"/>
    <w:rsid w:val="00424621"/>
    <w:rsid w:val="00424B8D"/>
    <w:rsid w:val="004266DB"/>
    <w:rsid w:val="00426848"/>
    <w:rsid w:val="0042690D"/>
    <w:rsid w:val="0042749E"/>
    <w:rsid w:val="00431E56"/>
    <w:rsid w:val="004325BA"/>
    <w:rsid w:val="00432F36"/>
    <w:rsid w:val="00434008"/>
    <w:rsid w:val="00434088"/>
    <w:rsid w:val="00434615"/>
    <w:rsid w:val="004351C2"/>
    <w:rsid w:val="0043554F"/>
    <w:rsid w:val="0044027B"/>
    <w:rsid w:val="00441406"/>
    <w:rsid w:val="0044293D"/>
    <w:rsid w:val="00442FC9"/>
    <w:rsid w:val="00445683"/>
    <w:rsid w:val="00445CBC"/>
    <w:rsid w:val="00447556"/>
    <w:rsid w:val="00447662"/>
    <w:rsid w:val="00447B15"/>
    <w:rsid w:val="00450A5E"/>
    <w:rsid w:val="00450A60"/>
    <w:rsid w:val="00453015"/>
    <w:rsid w:val="00454196"/>
    <w:rsid w:val="00454FA6"/>
    <w:rsid w:val="00456036"/>
    <w:rsid w:val="00457524"/>
    <w:rsid w:val="00457A8E"/>
    <w:rsid w:val="00460D0F"/>
    <w:rsid w:val="00461B17"/>
    <w:rsid w:val="00462C56"/>
    <w:rsid w:val="0046355F"/>
    <w:rsid w:val="0046452F"/>
    <w:rsid w:val="0047121E"/>
    <w:rsid w:val="00473A73"/>
    <w:rsid w:val="00473E60"/>
    <w:rsid w:val="0048036C"/>
    <w:rsid w:val="00481D4F"/>
    <w:rsid w:val="00482EAA"/>
    <w:rsid w:val="004833F9"/>
    <w:rsid w:val="00484E55"/>
    <w:rsid w:val="00485804"/>
    <w:rsid w:val="00486766"/>
    <w:rsid w:val="0048681D"/>
    <w:rsid w:val="00486CD7"/>
    <w:rsid w:val="00486E24"/>
    <w:rsid w:val="0048714C"/>
    <w:rsid w:val="00487BC2"/>
    <w:rsid w:val="0049012F"/>
    <w:rsid w:val="00492162"/>
    <w:rsid w:val="004929EA"/>
    <w:rsid w:val="0049333F"/>
    <w:rsid w:val="00493E67"/>
    <w:rsid w:val="00493EA7"/>
    <w:rsid w:val="00494D86"/>
    <w:rsid w:val="004954CA"/>
    <w:rsid w:val="004A0745"/>
    <w:rsid w:val="004A076C"/>
    <w:rsid w:val="004A4087"/>
    <w:rsid w:val="004A4598"/>
    <w:rsid w:val="004A46FA"/>
    <w:rsid w:val="004A4CCB"/>
    <w:rsid w:val="004A72D2"/>
    <w:rsid w:val="004B0095"/>
    <w:rsid w:val="004B0218"/>
    <w:rsid w:val="004B107D"/>
    <w:rsid w:val="004B320E"/>
    <w:rsid w:val="004B3D64"/>
    <w:rsid w:val="004B5DE6"/>
    <w:rsid w:val="004B5DF6"/>
    <w:rsid w:val="004B7719"/>
    <w:rsid w:val="004C0BDF"/>
    <w:rsid w:val="004C1DFF"/>
    <w:rsid w:val="004C1F17"/>
    <w:rsid w:val="004C688F"/>
    <w:rsid w:val="004D36AF"/>
    <w:rsid w:val="004D4DC1"/>
    <w:rsid w:val="004D732B"/>
    <w:rsid w:val="004E3589"/>
    <w:rsid w:val="004E62AD"/>
    <w:rsid w:val="004E70E5"/>
    <w:rsid w:val="004E78FF"/>
    <w:rsid w:val="004F0A56"/>
    <w:rsid w:val="004F1CE5"/>
    <w:rsid w:val="004F2371"/>
    <w:rsid w:val="004F2F7B"/>
    <w:rsid w:val="004F3F0A"/>
    <w:rsid w:val="004F64E4"/>
    <w:rsid w:val="004F6C36"/>
    <w:rsid w:val="004F6ED4"/>
    <w:rsid w:val="004F74C0"/>
    <w:rsid w:val="00502F7D"/>
    <w:rsid w:val="00505128"/>
    <w:rsid w:val="00505726"/>
    <w:rsid w:val="00507260"/>
    <w:rsid w:val="00510158"/>
    <w:rsid w:val="005101D9"/>
    <w:rsid w:val="0051058A"/>
    <w:rsid w:val="00511E9B"/>
    <w:rsid w:val="005121C3"/>
    <w:rsid w:val="00514FF7"/>
    <w:rsid w:val="005154F6"/>
    <w:rsid w:val="005210E8"/>
    <w:rsid w:val="005219E9"/>
    <w:rsid w:val="00522A9A"/>
    <w:rsid w:val="00523A6F"/>
    <w:rsid w:val="00524593"/>
    <w:rsid w:val="0052589C"/>
    <w:rsid w:val="00526B4A"/>
    <w:rsid w:val="00527202"/>
    <w:rsid w:val="00527741"/>
    <w:rsid w:val="005279EF"/>
    <w:rsid w:val="00527EEA"/>
    <w:rsid w:val="005307A2"/>
    <w:rsid w:val="00532152"/>
    <w:rsid w:val="00532E64"/>
    <w:rsid w:val="00534077"/>
    <w:rsid w:val="00534C80"/>
    <w:rsid w:val="00535248"/>
    <w:rsid w:val="00536014"/>
    <w:rsid w:val="00541B88"/>
    <w:rsid w:val="00541BD8"/>
    <w:rsid w:val="00541F67"/>
    <w:rsid w:val="00542504"/>
    <w:rsid w:val="00542C1C"/>
    <w:rsid w:val="005430F7"/>
    <w:rsid w:val="00544077"/>
    <w:rsid w:val="00545AE7"/>
    <w:rsid w:val="00546691"/>
    <w:rsid w:val="00546F3C"/>
    <w:rsid w:val="0054797F"/>
    <w:rsid w:val="005505FA"/>
    <w:rsid w:val="00552BC5"/>
    <w:rsid w:val="00552DE0"/>
    <w:rsid w:val="00552F12"/>
    <w:rsid w:val="00552FC0"/>
    <w:rsid w:val="00554F84"/>
    <w:rsid w:val="00555428"/>
    <w:rsid w:val="00557122"/>
    <w:rsid w:val="00557CA5"/>
    <w:rsid w:val="005605B6"/>
    <w:rsid w:val="0056257F"/>
    <w:rsid w:val="00562918"/>
    <w:rsid w:val="00564D33"/>
    <w:rsid w:val="005667BF"/>
    <w:rsid w:val="0056705D"/>
    <w:rsid w:val="005702D6"/>
    <w:rsid w:val="00574066"/>
    <w:rsid w:val="00574A2F"/>
    <w:rsid w:val="00575140"/>
    <w:rsid w:val="00576A30"/>
    <w:rsid w:val="00580F10"/>
    <w:rsid w:val="00583FD1"/>
    <w:rsid w:val="005853A7"/>
    <w:rsid w:val="00591114"/>
    <w:rsid w:val="00592EAF"/>
    <w:rsid w:val="00592F84"/>
    <w:rsid w:val="0059316E"/>
    <w:rsid w:val="00594CF7"/>
    <w:rsid w:val="005961DC"/>
    <w:rsid w:val="0059632E"/>
    <w:rsid w:val="00596541"/>
    <w:rsid w:val="005A12AF"/>
    <w:rsid w:val="005A4964"/>
    <w:rsid w:val="005A5F5F"/>
    <w:rsid w:val="005A6F4C"/>
    <w:rsid w:val="005A74A9"/>
    <w:rsid w:val="005B2054"/>
    <w:rsid w:val="005B2C17"/>
    <w:rsid w:val="005B3ABD"/>
    <w:rsid w:val="005B71DF"/>
    <w:rsid w:val="005C0474"/>
    <w:rsid w:val="005C0835"/>
    <w:rsid w:val="005C0B13"/>
    <w:rsid w:val="005C1794"/>
    <w:rsid w:val="005C37D9"/>
    <w:rsid w:val="005C38D7"/>
    <w:rsid w:val="005C48EC"/>
    <w:rsid w:val="005C679D"/>
    <w:rsid w:val="005C70B1"/>
    <w:rsid w:val="005D1A39"/>
    <w:rsid w:val="005D1EB0"/>
    <w:rsid w:val="005D2D4F"/>
    <w:rsid w:val="005D43C6"/>
    <w:rsid w:val="005D5905"/>
    <w:rsid w:val="005D5C04"/>
    <w:rsid w:val="005D6935"/>
    <w:rsid w:val="005D70D5"/>
    <w:rsid w:val="005E2EF0"/>
    <w:rsid w:val="005E32AE"/>
    <w:rsid w:val="005E3895"/>
    <w:rsid w:val="005E4B3B"/>
    <w:rsid w:val="005E4B80"/>
    <w:rsid w:val="005F0DFA"/>
    <w:rsid w:val="005F1F39"/>
    <w:rsid w:val="005F39AF"/>
    <w:rsid w:val="005F51FD"/>
    <w:rsid w:val="005F619D"/>
    <w:rsid w:val="00602644"/>
    <w:rsid w:val="00603E2F"/>
    <w:rsid w:val="00604D00"/>
    <w:rsid w:val="00605066"/>
    <w:rsid w:val="0061030B"/>
    <w:rsid w:val="0061056E"/>
    <w:rsid w:val="00611C93"/>
    <w:rsid w:val="00613BB9"/>
    <w:rsid w:val="00614106"/>
    <w:rsid w:val="0061522F"/>
    <w:rsid w:val="006171F0"/>
    <w:rsid w:val="00620FFB"/>
    <w:rsid w:val="0062220E"/>
    <w:rsid w:val="00626DF2"/>
    <w:rsid w:val="006315B4"/>
    <w:rsid w:val="00634845"/>
    <w:rsid w:val="00635B7B"/>
    <w:rsid w:val="00640592"/>
    <w:rsid w:val="00640749"/>
    <w:rsid w:val="00640930"/>
    <w:rsid w:val="0064109F"/>
    <w:rsid w:val="00641ED8"/>
    <w:rsid w:val="00644ACF"/>
    <w:rsid w:val="00644BD3"/>
    <w:rsid w:val="00644CAF"/>
    <w:rsid w:val="00646467"/>
    <w:rsid w:val="00646DBA"/>
    <w:rsid w:val="00646EEC"/>
    <w:rsid w:val="00651118"/>
    <w:rsid w:val="00651B17"/>
    <w:rsid w:val="00652458"/>
    <w:rsid w:val="0065378F"/>
    <w:rsid w:val="00653B95"/>
    <w:rsid w:val="00656704"/>
    <w:rsid w:val="00656BA7"/>
    <w:rsid w:val="00656F27"/>
    <w:rsid w:val="006602F0"/>
    <w:rsid w:val="00662694"/>
    <w:rsid w:val="0066290E"/>
    <w:rsid w:val="00664195"/>
    <w:rsid w:val="00666E18"/>
    <w:rsid w:val="006718F0"/>
    <w:rsid w:val="0067233D"/>
    <w:rsid w:val="006768F4"/>
    <w:rsid w:val="00676990"/>
    <w:rsid w:val="00681FA3"/>
    <w:rsid w:val="0068675A"/>
    <w:rsid w:val="006868BA"/>
    <w:rsid w:val="006870AC"/>
    <w:rsid w:val="0069031A"/>
    <w:rsid w:val="006921A0"/>
    <w:rsid w:val="00692DE3"/>
    <w:rsid w:val="006938FB"/>
    <w:rsid w:val="00693F75"/>
    <w:rsid w:val="0069475F"/>
    <w:rsid w:val="00695D2F"/>
    <w:rsid w:val="006A0601"/>
    <w:rsid w:val="006A0DFA"/>
    <w:rsid w:val="006A1380"/>
    <w:rsid w:val="006A176D"/>
    <w:rsid w:val="006A5FFC"/>
    <w:rsid w:val="006B0ED7"/>
    <w:rsid w:val="006B1DEF"/>
    <w:rsid w:val="006B227F"/>
    <w:rsid w:val="006B30C9"/>
    <w:rsid w:val="006B4218"/>
    <w:rsid w:val="006B5069"/>
    <w:rsid w:val="006B7326"/>
    <w:rsid w:val="006B7C04"/>
    <w:rsid w:val="006C0FF7"/>
    <w:rsid w:val="006C1C35"/>
    <w:rsid w:val="006C36C7"/>
    <w:rsid w:val="006C50BE"/>
    <w:rsid w:val="006C54B3"/>
    <w:rsid w:val="006C5B1D"/>
    <w:rsid w:val="006C741A"/>
    <w:rsid w:val="006D46F9"/>
    <w:rsid w:val="006D4ADA"/>
    <w:rsid w:val="006D55DF"/>
    <w:rsid w:val="006D5904"/>
    <w:rsid w:val="006D596E"/>
    <w:rsid w:val="006D6BA9"/>
    <w:rsid w:val="006E0611"/>
    <w:rsid w:val="006E1930"/>
    <w:rsid w:val="006E3228"/>
    <w:rsid w:val="006E42E3"/>
    <w:rsid w:val="006E45CC"/>
    <w:rsid w:val="006E7AB0"/>
    <w:rsid w:val="006F0578"/>
    <w:rsid w:val="006F1139"/>
    <w:rsid w:val="006F12B2"/>
    <w:rsid w:val="006F287B"/>
    <w:rsid w:val="006F4A4B"/>
    <w:rsid w:val="006F4DD3"/>
    <w:rsid w:val="006F68B9"/>
    <w:rsid w:val="006F6EA4"/>
    <w:rsid w:val="0070138C"/>
    <w:rsid w:val="007018E6"/>
    <w:rsid w:val="00704426"/>
    <w:rsid w:val="007048BF"/>
    <w:rsid w:val="00706265"/>
    <w:rsid w:val="00707A44"/>
    <w:rsid w:val="007108FF"/>
    <w:rsid w:val="00710C71"/>
    <w:rsid w:val="007121CE"/>
    <w:rsid w:val="00714F51"/>
    <w:rsid w:val="00717515"/>
    <w:rsid w:val="0071775A"/>
    <w:rsid w:val="00720821"/>
    <w:rsid w:val="0072313C"/>
    <w:rsid w:val="00726533"/>
    <w:rsid w:val="0072705F"/>
    <w:rsid w:val="00731758"/>
    <w:rsid w:val="00731788"/>
    <w:rsid w:val="00736105"/>
    <w:rsid w:val="00736371"/>
    <w:rsid w:val="00736D97"/>
    <w:rsid w:val="0073714A"/>
    <w:rsid w:val="0074039B"/>
    <w:rsid w:val="007416E2"/>
    <w:rsid w:val="00743DCA"/>
    <w:rsid w:val="00747592"/>
    <w:rsid w:val="0075237C"/>
    <w:rsid w:val="007536CF"/>
    <w:rsid w:val="007537B4"/>
    <w:rsid w:val="00753E51"/>
    <w:rsid w:val="00755FB4"/>
    <w:rsid w:val="00757BF0"/>
    <w:rsid w:val="007618B0"/>
    <w:rsid w:val="00763EDD"/>
    <w:rsid w:val="00764B0A"/>
    <w:rsid w:val="00766BB7"/>
    <w:rsid w:val="00767ABC"/>
    <w:rsid w:val="00770248"/>
    <w:rsid w:val="007702A5"/>
    <w:rsid w:val="007724A6"/>
    <w:rsid w:val="00772C47"/>
    <w:rsid w:val="00772E13"/>
    <w:rsid w:val="007732C6"/>
    <w:rsid w:val="007745FA"/>
    <w:rsid w:val="00775425"/>
    <w:rsid w:val="00776353"/>
    <w:rsid w:val="007769F9"/>
    <w:rsid w:val="00777238"/>
    <w:rsid w:val="00781646"/>
    <w:rsid w:val="00781A9A"/>
    <w:rsid w:val="007835D3"/>
    <w:rsid w:val="00783EC1"/>
    <w:rsid w:val="00784055"/>
    <w:rsid w:val="00784B4F"/>
    <w:rsid w:val="00785220"/>
    <w:rsid w:val="00785A92"/>
    <w:rsid w:val="00787312"/>
    <w:rsid w:val="007912F4"/>
    <w:rsid w:val="00791D3F"/>
    <w:rsid w:val="00792527"/>
    <w:rsid w:val="0079300A"/>
    <w:rsid w:val="00793428"/>
    <w:rsid w:val="007946BD"/>
    <w:rsid w:val="00795CA4"/>
    <w:rsid w:val="0079618C"/>
    <w:rsid w:val="0079679E"/>
    <w:rsid w:val="007A6283"/>
    <w:rsid w:val="007B26CA"/>
    <w:rsid w:val="007B44BB"/>
    <w:rsid w:val="007C2C48"/>
    <w:rsid w:val="007C324B"/>
    <w:rsid w:val="007C41D1"/>
    <w:rsid w:val="007C43DE"/>
    <w:rsid w:val="007D57F7"/>
    <w:rsid w:val="007D5A08"/>
    <w:rsid w:val="007D6B8C"/>
    <w:rsid w:val="007D777E"/>
    <w:rsid w:val="007D7B75"/>
    <w:rsid w:val="007E0112"/>
    <w:rsid w:val="007E0386"/>
    <w:rsid w:val="007E0AE1"/>
    <w:rsid w:val="007E20FB"/>
    <w:rsid w:val="007E2817"/>
    <w:rsid w:val="007E2DEA"/>
    <w:rsid w:val="007E52AD"/>
    <w:rsid w:val="007E5BCB"/>
    <w:rsid w:val="007E6D79"/>
    <w:rsid w:val="007F044B"/>
    <w:rsid w:val="007F1028"/>
    <w:rsid w:val="007F1985"/>
    <w:rsid w:val="007F1F99"/>
    <w:rsid w:val="007F4AF8"/>
    <w:rsid w:val="007F71AE"/>
    <w:rsid w:val="00800236"/>
    <w:rsid w:val="00802453"/>
    <w:rsid w:val="008034B2"/>
    <w:rsid w:val="008040AF"/>
    <w:rsid w:val="00804C83"/>
    <w:rsid w:val="008067BE"/>
    <w:rsid w:val="00807249"/>
    <w:rsid w:val="00810C8C"/>
    <w:rsid w:val="008115F7"/>
    <w:rsid w:val="00814693"/>
    <w:rsid w:val="0081487A"/>
    <w:rsid w:val="00815CE0"/>
    <w:rsid w:val="00816205"/>
    <w:rsid w:val="00820FF0"/>
    <w:rsid w:val="00821D6B"/>
    <w:rsid w:val="00827B7C"/>
    <w:rsid w:val="0083313A"/>
    <w:rsid w:val="008338BA"/>
    <w:rsid w:val="00834E41"/>
    <w:rsid w:val="008351E2"/>
    <w:rsid w:val="008364D8"/>
    <w:rsid w:val="00837B7F"/>
    <w:rsid w:val="00840876"/>
    <w:rsid w:val="00840D23"/>
    <w:rsid w:val="00841E9A"/>
    <w:rsid w:val="008422F2"/>
    <w:rsid w:val="008427B4"/>
    <w:rsid w:val="00842866"/>
    <w:rsid w:val="008436D9"/>
    <w:rsid w:val="008440DE"/>
    <w:rsid w:val="00844D2B"/>
    <w:rsid w:val="008471E0"/>
    <w:rsid w:val="00850AB5"/>
    <w:rsid w:val="0085292A"/>
    <w:rsid w:val="00852A7A"/>
    <w:rsid w:val="00854962"/>
    <w:rsid w:val="00854E67"/>
    <w:rsid w:val="00855C19"/>
    <w:rsid w:val="008565AC"/>
    <w:rsid w:val="00856DE6"/>
    <w:rsid w:val="0085768E"/>
    <w:rsid w:val="00857994"/>
    <w:rsid w:val="008579D4"/>
    <w:rsid w:val="00861C15"/>
    <w:rsid w:val="00863F9F"/>
    <w:rsid w:val="0086401D"/>
    <w:rsid w:val="00864DF5"/>
    <w:rsid w:val="00865571"/>
    <w:rsid w:val="00870516"/>
    <w:rsid w:val="00872EAA"/>
    <w:rsid w:val="00875F26"/>
    <w:rsid w:val="00880496"/>
    <w:rsid w:val="00880610"/>
    <w:rsid w:val="00884D66"/>
    <w:rsid w:val="00886C3E"/>
    <w:rsid w:val="0088749D"/>
    <w:rsid w:val="00890B5F"/>
    <w:rsid w:val="00892B72"/>
    <w:rsid w:val="00893E5E"/>
    <w:rsid w:val="008946BD"/>
    <w:rsid w:val="0089574F"/>
    <w:rsid w:val="00895839"/>
    <w:rsid w:val="00895D7F"/>
    <w:rsid w:val="008A01D7"/>
    <w:rsid w:val="008A175A"/>
    <w:rsid w:val="008A206E"/>
    <w:rsid w:val="008A410D"/>
    <w:rsid w:val="008A545D"/>
    <w:rsid w:val="008B5329"/>
    <w:rsid w:val="008B596E"/>
    <w:rsid w:val="008C06CB"/>
    <w:rsid w:val="008C0DC8"/>
    <w:rsid w:val="008C0F2C"/>
    <w:rsid w:val="008C1F20"/>
    <w:rsid w:val="008C2E0B"/>
    <w:rsid w:val="008C2F30"/>
    <w:rsid w:val="008C30C2"/>
    <w:rsid w:val="008C3FD9"/>
    <w:rsid w:val="008C5186"/>
    <w:rsid w:val="008C5AF2"/>
    <w:rsid w:val="008C6208"/>
    <w:rsid w:val="008C6A95"/>
    <w:rsid w:val="008C774A"/>
    <w:rsid w:val="008D1B56"/>
    <w:rsid w:val="008D1FAC"/>
    <w:rsid w:val="008D299B"/>
    <w:rsid w:val="008D2E1A"/>
    <w:rsid w:val="008D4572"/>
    <w:rsid w:val="008E18DB"/>
    <w:rsid w:val="008E2590"/>
    <w:rsid w:val="008E2799"/>
    <w:rsid w:val="008E2F08"/>
    <w:rsid w:val="008E4ACF"/>
    <w:rsid w:val="008E5A10"/>
    <w:rsid w:val="008E5BBB"/>
    <w:rsid w:val="008E6205"/>
    <w:rsid w:val="008E625B"/>
    <w:rsid w:val="008E65C9"/>
    <w:rsid w:val="008E7027"/>
    <w:rsid w:val="008F0771"/>
    <w:rsid w:val="008F0B9F"/>
    <w:rsid w:val="008F0CBE"/>
    <w:rsid w:val="008F2EA8"/>
    <w:rsid w:val="008F3075"/>
    <w:rsid w:val="008F50A3"/>
    <w:rsid w:val="008F5A66"/>
    <w:rsid w:val="008F5B55"/>
    <w:rsid w:val="008F6898"/>
    <w:rsid w:val="008F6BD5"/>
    <w:rsid w:val="008F736F"/>
    <w:rsid w:val="00902EBF"/>
    <w:rsid w:val="009051B5"/>
    <w:rsid w:val="0090625F"/>
    <w:rsid w:val="00906647"/>
    <w:rsid w:val="00907960"/>
    <w:rsid w:val="00910413"/>
    <w:rsid w:val="00911197"/>
    <w:rsid w:val="009138CB"/>
    <w:rsid w:val="00916AA1"/>
    <w:rsid w:val="0092204A"/>
    <w:rsid w:val="00923575"/>
    <w:rsid w:val="00923CD9"/>
    <w:rsid w:val="009243A2"/>
    <w:rsid w:val="009247A4"/>
    <w:rsid w:val="00926200"/>
    <w:rsid w:val="00931D48"/>
    <w:rsid w:val="00932DC1"/>
    <w:rsid w:val="00933B61"/>
    <w:rsid w:val="009349A8"/>
    <w:rsid w:val="009357C5"/>
    <w:rsid w:val="0093681E"/>
    <w:rsid w:val="0094066F"/>
    <w:rsid w:val="00941C95"/>
    <w:rsid w:val="00942381"/>
    <w:rsid w:val="00942F11"/>
    <w:rsid w:val="00946EB2"/>
    <w:rsid w:val="009502B2"/>
    <w:rsid w:val="00950E88"/>
    <w:rsid w:val="00951E51"/>
    <w:rsid w:val="00951F04"/>
    <w:rsid w:val="00952BCB"/>
    <w:rsid w:val="009530BE"/>
    <w:rsid w:val="0095519A"/>
    <w:rsid w:val="00955A2D"/>
    <w:rsid w:val="00956C58"/>
    <w:rsid w:val="00960D59"/>
    <w:rsid w:val="00962C44"/>
    <w:rsid w:val="0096366D"/>
    <w:rsid w:val="00964AB2"/>
    <w:rsid w:val="009671B5"/>
    <w:rsid w:val="00970B12"/>
    <w:rsid w:val="00970B7C"/>
    <w:rsid w:val="00970D52"/>
    <w:rsid w:val="009717D2"/>
    <w:rsid w:val="00971DE9"/>
    <w:rsid w:val="00974E0D"/>
    <w:rsid w:val="009768CC"/>
    <w:rsid w:val="0097789D"/>
    <w:rsid w:val="009829A4"/>
    <w:rsid w:val="00983366"/>
    <w:rsid w:val="009845E0"/>
    <w:rsid w:val="00984652"/>
    <w:rsid w:val="00987FEE"/>
    <w:rsid w:val="009905B8"/>
    <w:rsid w:val="00990ED7"/>
    <w:rsid w:val="00990F47"/>
    <w:rsid w:val="00992B74"/>
    <w:rsid w:val="00995130"/>
    <w:rsid w:val="00995374"/>
    <w:rsid w:val="0099595C"/>
    <w:rsid w:val="009963D2"/>
    <w:rsid w:val="009971FF"/>
    <w:rsid w:val="009A0D1E"/>
    <w:rsid w:val="009A1364"/>
    <w:rsid w:val="009A2F68"/>
    <w:rsid w:val="009A34D7"/>
    <w:rsid w:val="009A4E61"/>
    <w:rsid w:val="009A4F96"/>
    <w:rsid w:val="009A642C"/>
    <w:rsid w:val="009B2569"/>
    <w:rsid w:val="009B2C08"/>
    <w:rsid w:val="009B38D5"/>
    <w:rsid w:val="009B6AE9"/>
    <w:rsid w:val="009C1B11"/>
    <w:rsid w:val="009C34A1"/>
    <w:rsid w:val="009C581B"/>
    <w:rsid w:val="009C6A88"/>
    <w:rsid w:val="009C6E56"/>
    <w:rsid w:val="009C6EE2"/>
    <w:rsid w:val="009C79C4"/>
    <w:rsid w:val="009D11D4"/>
    <w:rsid w:val="009D37BA"/>
    <w:rsid w:val="009D4B6E"/>
    <w:rsid w:val="009D5A10"/>
    <w:rsid w:val="009D5C22"/>
    <w:rsid w:val="009D6CCC"/>
    <w:rsid w:val="009D6EAF"/>
    <w:rsid w:val="009D770A"/>
    <w:rsid w:val="009E0669"/>
    <w:rsid w:val="009E24CE"/>
    <w:rsid w:val="009E318E"/>
    <w:rsid w:val="009E3701"/>
    <w:rsid w:val="009E3D63"/>
    <w:rsid w:val="009F182E"/>
    <w:rsid w:val="009F2F9F"/>
    <w:rsid w:val="009F3209"/>
    <w:rsid w:val="009F486C"/>
    <w:rsid w:val="00A00601"/>
    <w:rsid w:val="00A02EEB"/>
    <w:rsid w:val="00A050E1"/>
    <w:rsid w:val="00A07B2B"/>
    <w:rsid w:val="00A10C37"/>
    <w:rsid w:val="00A11104"/>
    <w:rsid w:val="00A12892"/>
    <w:rsid w:val="00A12D03"/>
    <w:rsid w:val="00A1358D"/>
    <w:rsid w:val="00A13648"/>
    <w:rsid w:val="00A1364E"/>
    <w:rsid w:val="00A165CC"/>
    <w:rsid w:val="00A16FBA"/>
    <w:rsid w:val="00A211EE"/>
    <w:rsid w:val="00A21707"/>
    <w:rsid w:val="00A24664"/>
    <w:rsid w:val="00A249C0"/>
    <w:rsid w:val="00A24D6C"/>
    <w:rsid w:val="00A30185"/>
    <w:rsid w:val="00A3058B"/>
    <w:rsid w:val="00A31246"/>
    <w:rsid w:val="00A34C5D"/>
    <w:rsid w:val="00A36A5C"/>
    <w:rsid w:val="00A37C95"/>
    <w:rsid w:val="00A41691"/>
    <w:rsid w:val="00A41A26"/>
    <w:rsid w:val="00A4254B"/>
    <w:rsid w:val="00A436D2"/>
    <w:rsid w:val="00A44DFC"/>
    <w:rsid w:val="00A451C5"/>
    <w:rsid w:val="00A452C7"/>
    <w:rsid w:val="00A45463"/>
    <w:rsid w:val="00A456C6"/>
    <w:rsid w:val="00A45F7D"/>
    <w:rsid w:val="00A46EB6"/>
    <w:rsid w:val="00A508C7"/>
    <w:rsid w:val="00A50D00"/>
    <w:rsid w:val="00A5308A"/>
    <w:rsid w:val="00A54024"/>
    <w:rsid w:val="00A541D6"/>
    <w:rsid w:val="00A5489B"/>
    <w:rsid w:val="00A557B6"/>
    <w:rsid w:val="00A55942"/>
    <w:rsid w:val="00A559DF"/>
    <w:rsid w:val="00A564F4"/>
    <w:rsid w:val="00A57619"/>
    <w:rsid w:val="00A57621"/>
    <w:rsid w:val="00A60F18"/>
    <w:rsid w:val="00A60F64"/>
    <w:rsid w:val="00A629B9"/>
    <w:rsid w:val="00A6311F"/>
    <w:rsid w:val="00A6356D"/>
    <w:rsid w:val="00A63CCD"/>
    <w:rsid w:val="00A643AC"/>
    <w:rsid w:val="00A65D06"/>
    <w:rsid w:val="00A720E8"/>
    <w:rsid w:val="00A74166"/>
    <w:rsid w:val="00A759B6"/>
    <w:rsid w:val="00A772D1"/>
    <w:rsid w:val="00A77DDB"/>
    <w:rsid w:val="00A878BF"/>
    <w:rsid w:val="00A87D39"/>
    <w:rsid w:val="00A903EE"/>
    <w:rsid w:val="00A91057"/>
    <w:rsid w:val="00A922E6"/>
    <w:rsid w:val="00A92977"/>
    <w:rsid w:val="00A939D0"/>
    <w:rsid w:val="00A93A55"/>
    <w:rsid w:val="00AA1759"/>
    <w:rsid w:val="00AA28B3"/>
    <w:rsid w:val="00AA2FF6"/>
    <w:rsid w:val="00AA46A0"/>
    <w:rsid w:val="00AA76B9"/>
    <w:rsid w:val="00AB1F11"/>
    <w:rsid w:val="00AB20CA"/>
    <w:rsid w:val="00AB4A27"/>
    <w:rsid w:val="00AB4E22"/>
    <w:rsid w:val="00AB5DAC"/>
    <w:rsid w:val="00AB6F8F"/>
    <w:rsid w:val="00AB7399"/>
    <w:rsid w:val="00AC04C5"/>
    <w:rsid w:val="00AC403B"/>
    <w:rsid w:val="00AC471F"/>
    <w:rsid w:val="00AC55C0"/>
    <w:rsid w:val="00AD02F9"/>
    <w:rsid w:val="00AD2E34"/>
    <w:rsid w:val="00AD5412"/>
    <w:rsid w:val="00AD662B"/>
    <w:rsid w:val="00AD6B30"/>
    <w:rsid w:val="00AD6C17"/>
    <w:rsid w:val="00AE2CCC"/>
    <w:rsid w:val="00AE37A5"/>
    <w:rsid w:val="00AE55F1"/>
    <w:rsid w:val="00AE571D"/>
    <w:rsid w:val="00AE6B4D"/>
    <w:rsid w:val="00AF074A"/>
    <w:rsid w:val="00AF1412"/>
    <w:rsid w:val="00AF5102"/>
    <w:rsid w:val="00AF67F1"/>
    <w:rsid w:val="00B00E93"/>
    <w:rsid w:val="00B01AA9"/>
    <w:rsid w:val="00B03357"/>
    <w:rsid w:val="00B04B3B"/>
    <w:rsid w:val="00B0526E"/>
    <w:rsid w:val="00B0548F"/>
    <w:rsid w:val="00B06B06"/>
    <w:rsid w:val="00B0722B"/>
    <w:rsid w:val="00B07C8B"/>
    <w:rsid w:val="00B10B9D"/>
    <w:rsid w:val="00B124A9"/>
    <w:rsid w:val="00B15C09"/>
    <w:rsid w:val="00B164FA"/>
    <w:rsid w:val="00B22529"/>
    <w:rsid w:val="00B22B00"/>
    <w:rsid w:val="00B2444A"/>
    <w:rsid w:val="00B25C41"/>
    <w:rsid w:val="00B35949"/>
    <w:rsid w:val="00B37A4F"/>
    <w:rsid w:val="00B4032B"/>
    <w:rsid w:val="00B420DD"/>
    <w:rsid w:val="00B423DC"/>
    <w:rsid w:val="00B43810"/>
    <w:rsid w:val="00B44D08"/>
    <w:rsid w:val="00B467BC"/>
    <w:rsid w:val="00B511C2"/>
    <w:rsid w:val="00B52FD0"/>
    <w:rsid w:val="00B5326F"/>
    <w:rsid w:val="00B54F25"/>
    <w:rsid w:val="00B56741"/>
    <w:rsid w:val="00B5699D"/>
    <w:rsid w:val="00B57FC2"/>
    <w:rsid w:val="00B67168"/>
    <w:rsid w:val="00B6771A"/>
    <w:rsid w:val="00B7040D"/>
    <w:rsid w:val="00B70668"/>
    <w:rsid w:val="00B708F2"/>
    <w:rsid w:val="00B731F7"/>
    <w:rsid w:val="00B74CDD"/>
    <w:rsid w:val="00B75573"/>
    <w:rsid w:val="00B7775C"/>
    <w:rsid w:val="00B80623"/>
    <w:rsid w:val="00B81B51"/>
    <w:rsid w:val="00B833E8"/>
    <w:rsid w:val="00B85994"/>
    <w:rsid w:val="00B862A0"/>
    <w:rsid w:val="00B91B43"/>
    <w:rsid w:val="00B9263C"/>
    <w:rsid w:val="00B9510C"/>
    <w:rsid w:val="00B96DB9"/>
    <w:rsid w:val="00B9710A"/>
    <w:rsid w:val="00BA4890"/>
    <w:rsid w:val="00BA494E"/>
    <w:rsid w:val="00BB0864"/>
    <w:rsid w:val="00BB0CA4"/>
    <w:rsid w:val="00BB1C73"/>
    <w:rsid w:val="00BB534D"/>
    <w:rsid w:val="00BB6E00"/>
    <w:rsid w:val="00BB6F15"/>
    <w:rsid w:val="00BC037F"/>
    <w:rsid w:val="00BC0E9F"/>
    <w:rsid w:val="00BC2365"/>
    <w:rsid w:val="00BC2F6A"/>
    <w:rsid w:val="00BC37B4"/>
    <w:rsid w:val="00BC4605"/>
    <w:rsid w:val="00BC4DC2"/>
    <w:rsid w:val="00BC56D2"/>
    <w:rsid w:val="00BC6E85"/>
    <w:rsid w:val="00BC7DA5"/>
    <w:rsid w:val="00BD0F58"/>
    <w:rsid w:val="00BD1174"/>
    <w:rsid w:val="00BD3BF5"/>
    <w:rsid w:val="00BD41DA"/>
    <w:rsid w:val="00BD618A"/>
    <w:rsid w:val="00BD6768"/>
    <w:rsid w:val="00BE0A96"/>
    <w:rsid w:val="00BE3A5D"/>
    <w:rsid w:val="00BE3E6F"/>
    <w:rsid w:val="00BE47BF"/>
    <w:rsid w:val="00BF026A"/>
    <w:rsid w:val="00BF1163"/>
    <w:rsid w:val="00BF2E77"/>
    <w:rsid w:val="00BF395C"/>
    <w:rsid w:val="00BF3B6B"/>
    <w:rsid w:val="00BF4927"/>
    <w:rsid w:val="00BF54FF"/>
    <w:rsid w:val="00BF5D52"/>
    <w:rsid w:val="00C00785"/>
    <w:rsid w:val="00C01A11"/>
    <w:rsid w:val="00C01F00"/>
    <w:rsid w:val="00C04378"/>
    <w:rsid w:val="00C04BDE"/>
    <w:rsid w:val="00C072F5"/>
    <w:rsid w:val="00C10874"/>
    <w:rsid w:val="00C16B95"/>
    <w:rsid w:val="00C1798A"/>
    <w:rsid w:val="00C204C3"/>
    <w:rsid w:val="00C20A1F"/>
    <w:rsid w:val="00C23886"/>
    <w:rsid w:val="00C25563"/>
    <w:rsid w:val="00C25E51"/>
    <w:rsid w:val="00C27533"/>
    <w:rsid w:val="00C30441"/>
    <w:rsid w:val="00C32F5C"/>
    <w:rsid w:val="00C3481E"/>
    <w:rsid w:val="00C35802"/>
    <w:rsid w:val="00C364DF"/>
    <w:rsid w:val="00C41904"/>
    <w:rsid w:val="00C42103"/>
    <w:rsid w:val="00C4244E"/>
    <w:rsid w:val="00C44ACC"/>
    <w:rsid w:val="00C4510D"/>
    <w:rsid w:val="00C46A17"/>
    <w:rsid w:val="00C46A9F"/>
    <w:rsid w:val="00C5079B"/>
    <w:rsid w:val="00C510C8"/>
    <w:rsid w:val="00C51250"/>
    <w:rsid w:val="00C51C50"/>
    <w:rsid w:val="00C51E39"/>
    <w:rsid w:val="00C52562"/>
    <w:rsid w:val="00C53808"/>
    <w:rsid w:val="00C548BC"/>
    <w:rsid w:val="00C55196"/>
    <w:rsid w:val="00C56B1B"/>
    <w:rsid w:val="00C57668"/>
    <w:rsid w:val="00C577B5"/>
    <w:rsid w:val="00C60F36"/>
    <w:rsid w:val="00C615EF"/>
    <w:rsid w:val="00C61739"/>
    <w:rsid w:val="00C6444F"/>
    <w:rsid w:val="00C64B65"/>
    <w:rsid w:val="00C66F77"/>
    <w:rsid w:val="00C71AA8"/>
    <w:rsid w:val="00C71C94"/>
    <w:rsid w:val="00C721F0"/>
    <w:rsid w:val="00C754F0"/>
    <w:rsid w:val="00C76960"/>
    <w:rsid w:val="00C81DED"/>
    <w:rsid w:val="00C85732"/>
    <w:rsid w:val="00C921EE"/>
    <w:rsid w:val="00C929A0"/>
    <w:rsid w:val="00C938FD"/>
    <w:rsid w:val="00C9423C"/>
    <w:rsid w:val="00CA09B1"/>
    <w:rsid w:val="00CA0A01"/>
    <w:rsid w:val="00CA1385"/>
    <w:rsid w:val="00CA2ED5"/>
    <w:rsid w:val="00CA3388"/>
    <w:rsid w:val="00CA396C"/>
    <w:rsid w:val="00CA4098"/>
    <w:rsid w:val="00CA4F88"/>
    <w:rsid w:val="00CA763E"/>
    <w:rsid w:val="00CB3AB6"/>
    <w:rsid w:val="00CC4490"/>
    <w:rsid w:val="00CC46CF"/>
    <w:rsid w:val="00CC5D47"/>
    <w:rsid w:val="00CC603B"/>
    <w:rsid w:val="00CC7AA2"/>
    <w:rsid w:val="00CC7E41"/>
    <w:rsid w:val="00CD0ECC"/>
    <w:rsid w:val="00CD10C2"/>
    <w:rsid w:val="00CD1378"/>
    <w:rsid w:val="00CD1D67"/>
    <w:rsid w:val="00CD228D"/>
    <w:rsid w:val="00CD4A62"/>
    <w:rsid w:val="00CD6060"/>
    <w:rsid w:val="00CD6629"/>
    <w:rsid w:val="00CE0D33"/>
    <w:rsid w:val="00CE1B2B"/>
    <w:rsid w:val="00CE6B9D"/>
    <w:rsid w:val="00CE746E"/>
    <w:rsid w:val="00CF1EB1"/>
    <w:rsid w:val="00CF1FB1"/>
    <w:rsid w:val="00CF2085"/>
    <w:rsid w:val="00CF4451"/>
    <w:rsid w:val="00CF5C24"/>
    <w:rsid w:val="00CF677C"/>
    <w:rsid w:val="00CF7972"/>
    <w:rsid w:val="00D0021C"/>
    <w:rsid w:val="00D0175B"/>
    <w:rsid w:val="00D01B59"/>
    <w:rsid w:val="00D020F8"/>
    <w:rsid w:val="00D04E1C"/>
    <w:rsid w:val="00D10D47"/>
    <w:rsid w:val="00D11510"/>
    <w:rsid w:val="00D11D5D"/>
    <w:rsid w:val="00D131D8"/>
    <w:rsid w:val="00D15782"/>
    <w:rsid w:val="00D17D56"/>
    <w:rsid w:val="00D20254"/>
    <w:rsid w:val="00D21639"/>
    <w:rsid w:val="00D23076"/>
    <w:rsid w:val="00D2347D"/>
    <w:rsid w:val="00D252A9"/>
    <w:rsid w:val="00D27209"/>
    <w:rsid w:val="00D307B5"/>
    <w:rsid w:val="00D3212F"/>
    <w:rsid w:val="00D33FB9"/>
    <w:rsid w:val="00D34B06"/>
    <w:rsid w:val="00D34D48"/>
    <w:rsid w:val="00D35305"/>
    <w:rsid w:val="00D35C49"/>
    <w:rsid w:val="00D362D3"/>
    <w:rsid w:val="00D364A4"/>
    <w:rsid w:val="00D4031F"/>
    <w:rsid w:val="00D406D5"/>
    <w:rsid w:val="00D421E0"/>
    <w:rsid w:val="00D42A49"/>
    <w:rsid w:val="00D4526A"/>
    <w:rsid w:val="00D45284"/>
    <w:rsid w:val="00D4703E"/>
    <w:rsid w:val="00D47BBC"/>
    <w:rsid w:val="00D50B6A"/>
    <w:rsid w:val="00D53AFF"/>
    <w:rsid w:val="00D54BD1"/>
    <w:rsid w:val="00D570C3"/>
    <w:rsid w:val="00D5779A"/>
    <w:rsid w:val="00D57E13"/>
    <w:rsid w:val="00D614CE"/>
    <w:rsid w:val="00D62E19"/>
    <w:rsid w:val="00D63298"/>
    <w:rsid w:val="00D65536"/>
    <w:rsid w:val="00D65C95"/>
    <w:rsid w:val="00D6715C"/>
    <w:rsid w:val="00D70F46"/>
    <w:rsid w:val="00D711EB"/>
    <w:rsid w:val="00D7404D"/>
    <w:rsid w:val="00D741C3"/>
    <w:rsid w:val="00D74873"/>
    <w:rsid w:val="00D7666E"/>
    <w:rsid w:val="00D832C5"/>
    <w:rsid w:val="00D83EC7"/>
    <w:rsid w:val="00D86E41"/>
    <w:rsid w:val="00D86FE5"/>
    <w:rsid w:val="00D8707A"/>
    <w:rsid w:val="00D901EB"/>
    <w:rsid w:val="00D90969"/>
    <w:rsid w:val="00D923AB"/>
    <w:rsid w:val="00D92CFB"/>
    <w:rsid w:val="00D92F0C"/>
    <w:rsid w:val="00D947CD"/>
    <w:rsid w:val="00D95716"/>
    <w:rsid w:val="00D9584C"/>
    <w:rsid w:val="00D9715D"/>
    <w:rsid w:val="00D97401"/>
    <w:rsid w:val="00D97479"/>
    <w:rsid w:val="00D97BE0"/>
    <w:rsid w:val="00DA2ACF"/>
    <w:rsid w:val="00DA3E87"/>
    <w:rsid w:val="00DA6E73"/>
    <w:rsid w:val="00DA7D83"/>
    <w:rsid w:val="00DB0175"/>
    <w:rsid w:val="00DB09D7"/>
    <w:rsid w:val="00DB1376"/>
    <w:rsid w:val="00DB2171"/>
    <w:rsid w:val="00DB2E4F"/>
    <w:rsid w:val="00DB3DE0"/>
    <w:rsid w:val="00DB5774"/>
    <w:rsid w:val="00DB5D7B"/>
    <w:rsid w:val="00DB5E6D"/>
    <w:rsid w:val="00DB66C1"/>
    <w:rsid w:val="00DB74AB"/>
    <w:rsid w:val="00DC000B"/>
    <w:rsid w:val="00DC3844"/>
    <w:rsid w:val="00DC7BFB"/>
    <w:rsid w:val="00DD26C1"/>
    <w:rsid w:val="00DD3832"/>
    <w:rsid w:val="00DD4BD9"/>
    <w:rsid w:val="00DD4E50"/>
    <w:rsid w:val="00DE41BC"/>
    <w:rsid w:val="00DE4C67"/>
    <w:rsid w:val="00DE7840"/>
    <w:rsid w:val="00DE7BD7"/>
    <w:rsid w:val="00DF08B0"/>
    <w:rsid w:val="00DF165B"/>
    <w:rsid w:val="00DF173A"/>
    <w:rsid w:val="00DF23DF"/>
    <w:rsid w:val="00DF27F3"/>
    <w:rsid w:val="00DF3490"/>
    <w:rsid w:val="00DF5C1E"/>
    <w:rsid w:val="00DF5C98"/>
    <w:rsid w:val="00DF7489"/>
    <w:rsid w:val="00E01091"/>
    <w:rsid w:val="00E0189D"/>
    <w:rsid w:val="00E01A02"/>
    <w:rsid w:val="00E0399C"/>
    <w:rsid w:val="00E045CE"/>
    <w:rsid w:val="00E05373"/>
    <w:rsid w:val="00E05A2F"/>
    <w:rsid w:val="00E062E5"/>
    <w:rsid w:val="00E10119"/>
    <w:rsid w:val="00E106DC"/>
    <w:rsid w:val="00E10F5C"/>
    <w:rsid w:val="00E119D6"/>
    <w:rsid w:val="00E16B88"/>
    <w:rsid w:val="00E17078"/>
    <w:rsid w:val="00E17AB5"/>
    <w:rsid w:val="00E21F6F"/>
    <w:rsid w:val="00E23853"/>
    <w:rsid w:val="00E23961"/>
    <w:rsid w:val="00E24043"/>
    <w:rsid w:val="00E27858"/>
    <w:rsid w:val="00E3278F"/>
    <w:rsid w:val="00E330AC"/>
    <w:rsid w:val="00E34B32"/>
    <w:rsid w:val="00E36DD7"/>
    <w:rsid w:val="00E36F8B"/>
    <w:rsid w:val="00E3711C"/>
    <w:rsid w:val="00E37831"/>
    <w:rsid w:val="00E40943"/>
    <w:rsid w:val="00E40FE8"/>
    <w:rsid w:val="00E43B61"/>
    <w:rsid w:val="00E47D83"/>
    <w:rsid w:val="00E50A75"/>
    <w:rsid w:val="00E50C0A"/>
    <w:rsid w:val="00E53E98"/>
    <w:rsid w:val="00E54088"/>
    <w:rsid w:val="00E55701"/>
    <w:rsid w:val="00E55973"/>
    <w:rsid w:val="00E57C81"/>
    <w:rsid w:val="00E61070"/>
    <w:rsid w:val="00E64907"/>
    <w:rsid w:val="00E6668F"/>
    <w:rsid w:val="00E67761"/>
    <w:rsid w:val="00E678DF"/>
    <w:rsid w:val="00E67ABA"/>
    <w:rsid w:val="00E67D6B"/>
    <w:rsid w:val="00E67EB7"/>
    <w:rsid w:val="00E67EC0"/>
    <w:rsid w:val="00E70333"/>
    <w:rsid w:val="00E70618"/>
    <w:rsid w:val="00E71EFF"/>
    <w:rsid w:val="00E727C9"/>
    <w:rsid w:val="00E72A17"/>
    <w:rsid w:val="00E7431B"/>
    <w:rsid w:val="00E76C66"/>
    <w:rsid w:val="00E802AD"/>
    <w:rsid w:val="00E80307"/>
    <w:rsid w:val="00E80893"/>
    <w:rsid w:val="00E82EF1"/>
    <w:rsid w:val="00E83ACF"/>
    <w:rsid w:val="00E84A48"/>
    <w:rsid w:val="00E84C16"/>
    <w:rsid w:val="00E858DA"/>
    <w:rsid w:val="00E85EDA"/>
    <w:rsid w:val="00E861F4"/>
    <w:rsid w:val="00E862A7"/>
    <w:rsid w:val="00E86426"/>
    <w:rsid w:val="00E87116"/>
    <w:rsid w:val="00E90EA1"/>
    <w:rsid w:val="00E95D10"/>
    <w:rsid w:val="00E97114"/>
    <w:rsid w:val="00EA0129"/>
    <w:rsid w:val="00EA322C"/>
    <w:rsid w:val="00EA3750"/>
    <w:rsid w:val="00EA388E"/>
    <w:rsid w:val="00EB25EE"/>
    <w:rsid w:val="00EB2893"/>
    <w:rsid w:val="00EB2BD9"/>
    <w:rsid w:val="00EB50CD"/>
    <w:rsid w:val="00EB5532"/>
    <w:rsid w:val="00EB56E4"/>
    <w:rsid w:val="00EC3182"/>
    <w:rsid w:val="00EC4102"/>
    <w:rsid w:val="00EC4582"/>
    <w:rsid w:val="00EC46C8"/>
    <w:rsid w:val="00EC5042"/>
    <w:rsid w:val="00EC5457"/>
    <w:rsid w:val="00EC5C73"/>
    <w:rsid w:val="00EC5F2F"/>
    <w:rsid w:val="00EC6560"/>
    <w:rsid w:val="00EC6EB7"/>
    <w:rsid w:val="00ED151C"/>
    <w:rsid w:val="00ED4277"/>
    <w:rsid w:val="00EE0BB3"/>
    <w:rsid w:val="00EE1516"/>
    <w:rsid w:val="00EE1BD5"/>
    <w:rsid w:val="00EE21C0"/>
    <w:rsid w:val="00EE32F6"/>
    <w:rsid w:val="00EE3850"/>
    <w:rsid w:val="00EE4FA9"/>
    <w:rsid w:val="00EE55D2"/>
    <w:rsid w:val="00EF0640"/>
    <w:rsid w:val="00EF0664"/>
    <w:rsid w:val="00EF223E"/>
    <w:rsid w:val="00EF28D2"/>
    <w:rsid w:val="00EF2CDB"/>
    <w:rsid w:val="00EF4468"/>
    <w:rsid w:val="00EF4FAB"/>
    <w:rsid w:val="00EF5B15"/>
    <w:rsid w:val="00EF67B3"/>
    <w:rsid w:val="00EF7093"/>
    <w:rsid w:val="00F038E1"/>
    <w:rsid w:val="00F07615"/>
    <w:rsid w:val="00F11372"/>
    <w:rsid w:val="00F11551"/>
    <w:rsid w:val="00F12C53"/>
    <w:rsid w:val="00F1420E"/>
    <w:rsid w:val="00F16305"/>
    <w:rsid w:val="00F1706F"/>
    <w:rsid w:val="00F2050E"/>
    <w:rsid w:val="00F230B9"/>
    <w:rsid w:val="00F23F5E"/>
    <w:rsid w:val="00F253C5"/>
    <w:rsid w:val="00F25D43"/>
    <w:rsid w:val="00F268C1"/>
    <w:rsid w:val="00F26D09"/>
    <w:rsid w:val="00F30408"/>
    <w:rsid w:val="00F30958"/>
    <w:rsid w:val="00F32F82"/>
    <w:rsid w:val="00F33664"/>
    <w:rsid w:val="00F3475E"/>
    <w:rsid w:val="00F35D98"/>
    <w:rsid w:val="00F35EA8"/>
    <w:rsid w:val="00F35EB4"/>
    <w:rsid w:val="00F3749D"/>
    <w:rsid w:val="00F40263"/>
    <w:rsid w:val="00F4051D"/>
    <w:rsid w:val="00F40546"/>
    <w:rsid w:val="00F40F20"/>
    <w:rsid w:val="00F413B1"/>
    <w:rsid w:val="00F41905"/>
    <w:rsid w:val="00F41D7A"/>
    <w:rsid w:val="00F42D7B"/>
    <w:rsid w:val="00F42E50"/>
    <w:rsid w:val="00F4457F"/>
    <w:rsid w:val="00F46D39"/>
    <w:rsid w:val="00F47A4C"/>
    <w:rsid w:val="00F50EF5"/>
    <w:rsid w:val="00F5117E"/>
    <w:rsid w:val="00F51414"/>
    <w:rsid w:val="00F51D4E"/>
    <w:rsid w:val="00F51E35"/>
    <w:rsid w:val="00F536E2"/>
    <w:rsid w:val="00F56954"/>
    <w:rsid w:val="00F573F6"/>
    <w:rsid w:val="00F575B0"/>
    <w:rsid w:val="00F57C41"/>
    <w:rsid w:val="00F60A9C"/>
    <w:rsid w:val="00F61AFA"/>
    <w:rsid w:val="00F6674F"/>
    <w:rsid w:val="00F674B9"/>
    <w:rsid w:val="00F67A59"/>
    <w:rsid w:val="00F72A56"/>
    <w:rsid w:val="00F73506"/>
    <w:rsid w:val="00F7372A"/>
    <w:rsid w:val="00F74A7F"/>
    <w:rsid w:val="00F76891"/>
    <w:rsid w:val="00F80266"/>
    <w:rsid w:val="00F82E17"/>
    <w:rsid w:val="00F83D3F"/>
    <w:rsid w:val="00F846A0"/>
    <w:rsid w:val="00F8675A"/>
    <w:rsid w:val="00F86F16"/>
    <w:rsid w:val="00F874EA"/>
    <w:rsid w:val="00F87869"/>
    <w:rsid w:val="00F906F6"/>
    <w:rsid w:val="00F911B1"/>
    <w:rsid w:val="00F92A68"/>
    <w:rsid w:val="00F9380C"/>
    <w:rsid w:val="00F95C39"/>
    <w:rsid w:val="00F966CB"/>
    <w:rsid w:val="00FA2146"/>
    <w:rsid w:val="00FA4B7A"/>
    <w:rsid w:val="00FA629E"/>
    <w:rsid w:val="00FA7FE7"/>
    <w:rsid w:val="00FB0A54"/>
    <w:rsid w:val="00FB2D0B"/>
    <w:rsid w:val="00FB3165"/>
    <w:rsid w:val="00FB54B2"/>
    <w:rsid w:val="00FB591F"/>
    <w:rsid w:val="00FC029F"/>
    <w:rsid w:val="00FC0402"/>
    <w:rsid w:val="00FC19CF"/>
    <w:rsid w:val="00FC1C09"/>
    <w:rsid w:val="00FC2B31"/>
    <w:rsid w:val="00FC4A47"/>
    <w:rsid w:val="00FD0233"/>
    <w:rsid w:val="00FD52D8"/>
    <w:rsid w:val="00FD6319"/>
    <w:rsid w:val="00FD65C9"/>
    <w:rsid w:val="00FD684A"/>
    <w:rsid w:val="00FE05CA"/>
    <w:rsid w:val="00FE2208"/>
    <w:rsid w:val="00FE2723"/>
    <w:rsid w:val="00FE4D5A"/>
    <w:rsid w:val="00FE5246"/>
    <w:rsid w:val="00FF0A5A"/>
    <w:rsid w:val="00FF1041"/>
    <w:rsid w:val="00FF1069"/>
    <w:rsid w:val="00FF112D"/>
    <w:rsid w:val="00FF2810"/>
    <w:rsid w:val="00FF2AD2"/>
    <w:rsid w:val="00FF67B8"/>
    <w:rsid w:val="00FF6884"/>
    <w:rsid w:val="00FF68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C072DD"/>
  <w14:defaultImageDpi w14:val="300"/>
  <w15:docId w15:val="{8DF6C678-0FC9-4A2A-82DE-FCA09802D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FD1"/>
    <w:pPr>
      <w:jc w:val="both"/>
    </w:pPr>
    <w:rPr>
      <w:rFonts w:ascii="Arial" w:eastAsia="Times New Roman" w:hAnsi="Arial" w:cs="Times New Roman"/>
      <w:lang w:val="en-IN" w:eastAsia="en-GB"/>
    </w:rPr>
  </w:style>
  <w:style w:type="paragraph" w:styleId="Heading1">
    <w:name w:val="heading 1"/>
    <w:basedOn w:val="Normal"/>
    <w:next w:val="Normal"/>
    <w:link w:val="Heading1Char"/>
    <w:uiPriority w:val="9"/>
    <w:rsid w:val="00FF68AF"/>
    <w:pPr>
      <w:keepNext/>
      <w:keepLines/>
      <w:spacing w:before="240" w:line="276" w:lineRule="auto"/>
      <w:outlineLvl w:val="0"/>
    </w:pPr>
    <w:rPr>
      <w:rFonts w:asciiTheme="majorHAnsi" w:eastAsiaTheme="majorEastAsia" w:hAnsiTheme="majorHAnsi" w:cstheme="majorBidi"/>
      <w:b/>
      <w:color w:val="8064A2" w:themeColor="accent4"/>
      <w:sz w:val="32"/>
      <w:szCs w:val="32"/>
      <w:lang w:val="en-GB" w:eastAsia="en-US"/>
    </w:rPr>
  </w:style>
  <w:style w:type="paragraph" w:styleId="Heading2">
    <w:name w:val="heading 2"/>
    <w:basedOn w:val="Normal"/>
    <w:next w:val="Normal"/>
    <w:link w:val="Heading2Char"/>
    <w:uiPriority w:val="9"/>
    <w:unhideWhenUsed/>
    <w:qFormat/>
    <w:rsid w:val="00736105"/>
    <w:pPr>
      <w:keepNext/>
      <w:keepLines/>
      <w:spacing w:before="40" w:line="276" w:lineRule="auto"/>
      <w:outlineLvl w:val="1"/>
    </w:pPr>
    <w:rPr>
      <w:rFonts w:asciiTheme="majorHAnsi" w:eastAsiaTheme="majorEastAsia" w:hAnsiTheme="majorHAnsi" w:cstheme="majorBidi"/>
      <w:color w:val="C0504D"/>
      <w:sz w:val="40"/>
      <w:szCs w:val="26"/>
      <w:lang w:val="en-GB" w:eastAsia="en-US"/>
    </w:rPr>
  </w:style>
  <w:style w:type="paragraph" w:styleId="Heading3">
    <w:name w:val="heading 3"/>
    <w:basedOn w:val="Normal"/>
    <w:next w:val="Normal"/>
    <w:link w:val="Heading3Char"/>
    <w:uiPriority w:val="9"/>
    <w:unhideWhenUsed/>
    <w:qFormat/>
    <w:rsid w:val="00245CCB"/>
    <w:pPr>
      <w:keepNext/>
      <w:keepLines/>
      <w:spacing w:before="40" w:line="276" w:lineRule="auto"/>
      <w:outlineLvl w:val="2"/>
    </w:pPr>
    <w:rPr>
      <w:rFonts w:asciiTheme="majorHAnsi" w:eastAsiaTheme="majorEastAsia" w:hAnsiTheme="majorHAnsi" w:cstheme="majorBidi"/>
      <w:b/>
      <w:color w:val="C0504D"/>
      <w:sz w:val="32"/>
      <w:lang w:val="en-GB" w:eastAsia="en-US"/>
    </w:rPr>
  </w:style>
  <w:style w:type="paragraph" w:styleId="Heading4">
    <w:name w:val="heading 4"/>
    <w:basedOn w:val="Normal"/>
    <w:next w:val="Normal"/>
    <w:link w:val="Heading4Char"/>
    <w:uiPriority w:val="9"/>
    <w:unhideWhenUsed/>
    <w:qFormat/>
    <w:rsid w:val="00457524"/>
    <w:pPr>
      <w:keepNext/>
      <w:keepLines/>
      <w:spacing w:before="40" w:line="276" w:lineRule="auto"/>
      <w:outlineLvl w:val="3"/>
    </w:pPr>
    <w:rPr>
      <w:rFonts w:asciiTheme="majorHAnsi" w:eastAsiaTheme="majorEastAsia" w:hAnsiTheme="majorHAnsi" w:cstheme="majorBidi"/>
      <w:i/>
      <w:iCs/>
      <w:color w:val="C00000"/>
      <w:sz w:val="22"/>
      <w:szCs w:val="22"/>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DB4"/>
    <w:pPr>
      <w:tabs>
        <w:tab w:val="center" w:pos="4513"/>
        <w:tab w:val="right" w:pos="9026"/>
      </w:tabs>
    </w:pPr>
    <w:rPr>
      <w:rFonts w:eastAsia="Calibri"/>
      <w:sz w:val="22"/>
      <w:szCs w:val="22"/>
      <w:lang w:val="en-GB" w:eastAsia="en-US"/>
    </w:rPr>
  </w:style>
  <w:style w:type="character" w:customStyle="1" w:styleId="HeaderChar">
    <w:name w:val="Header Char"/>
    <w:basedOn w:val="DefaultParagraphFont"/>
    <w:link w:val="Header"/>
    <w:uiPriority w:val="99"/>
    <w:rsid w:val="00383DB4"/>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383DB4"/>
    <w:rPr>
      <w:rFonts w:ascii="Lucida Grande" w:eastAsia="Calibri" w:hAnsi="Lucida Grande" w:cs="Lucida Grande"/>
      <w:sz w:val="18"/>
      <w:szCs w:val="18"/>
      <w:lang w:val="en-GB" w:eastAsia="en-US"/>
    </w:rPr>
  </w:style>
  <w:style w:type="character" w:customStyle="1" w:styleId="BalloonTextChar">
    <w:name w:val="Balloon Text Char"/>
    <w:basedOn w:val="DefaultParagraphFont"/>
    <w:link w:val="BalloonText"/>
    <w:uiPriority w:val="99"/>
    <w:semiHidden/>
    <w:rsid w:val="00383DB4"/>
    <w:rPr>
      <w:rFonts w:ascii="Lucida Grande" w:eastAsia="Calibri" w:hAnsi="Lucida Grande" w:cs="Lucida Grande"/>
      <w:sz w:val="18"/>
      <w:szCs w:val="18"/>
    </w:rPr>
  </w:style>
  <w:style w:type="paragraph" w:styleId="Footer">
    <w:name w:val="footer"/>
    <w:basedOn w:val="Normal"/>
    <w:link w:val="FooterChar"/>
    <w:uiPriority w:val="99"/>
    <w:unhideWhenUsed/>
    <w:rsid w:val="00353751"/>
    <w:pPr>
      <w:tabs>
        <w:tab w:val="center" w:pos="4320"/>
        <w:tab w:val="right" w:pos="8640"/>
      </w:tabs>
    </w:pPr>
    <w:rPr>
      <w:rFonts w:eastAsia="Calibri"/>
      <w:sz w:val="22"/>
      <w:szCs w:val="22"/>
      <w:lang w:val="en-GB" w:eastAsia="en-US"/>
    </w:rPr>
  </w:style>
  <w:style w:type="character" w:customStyle="1" w:styleId="FooterChar">
    <w:name w:val="Footer Char"/>
    <w:basedOn w:val="DefaultParagraphFont"/>
    <w:link w:val="Footer"/>
    <w:uiPriority w:val="99"/>
    <w:rsid w:val="00353751"/>
    <w:rPr>
      <w:rFonts w:ascii="Calibri" w:eastAsia="Calibri" w:hAnsi="Calibri" w:cs="Times New Roman"/>
      <w:sz w:val="22"/>
      <w:szCs w:val="22"/>
    </w:rPr>
  </w:style>
  <w:style w:type="table" w:styleId="TableGrid">
    <w:name w:val="Table Grid"/>
    <w:basedOn w:val="TableNormal"/>
    <w:uiPriority w:val="59"/>
    <w:rsid w:val="00353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C1C09"/>
    <w:rPr>
      <w:sz w:val="16"/>
      <w:szCs w:val="16"/>
    </w:rPr>
  </w:style>
  <w:style w:type="paragraph" w:styleId="CommentText">
    <w:name w:val="annotation text"/>
    <w:basedOn w:val="Normal"/>
    <w:link w:val="CommentTextChar"/>
    <w:uiPriority w:val="99"/>
    <w:semiHidden/>
    <w:unhideWhenUsed/>
    <w:rsid w:val="00FC1C09"/>
    <w:pPr>
      <w:spacing w:after="200"/>
    </w:pPr>
    <w:rPr>
      <w:rFonts w:eastAsia="Calibri"/>
      <w:sz w:val="20"/>
      <w:szCs w:val="20"/>
      <w:lang w:val="en-GB" w:eastAsia="en-US"/>
    </w:rPr>
  </w:style>
  <w:style w:type="character" w:customStyle="1" w:styleId="CommentTextChar">
    <w:name w:val="Comment Text Char"/>
    <w:basedOn w:val="DefaultParagraphFont"/>
    <w:link w:val="CommentText"/>
    <w:uiPriority w:val="99"/>
    <w:semiHidden/>
    <w:rsid w:val="00FC1C0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C1C09"/>
    <w:rPr>
      <w:b/>
      <w:bCs/>
    </w:rPr>
  </w:style>
  <w:style w:type="character" w:customStyle="1" w:styleId="CommentSubjectChar">
    <w:name w:val="Comment Subject Char"/>
    <w:basedOn w:val="CommentTextChar"/>
    <w:link w:val="CommentSubject"/>
    <w:uiPriority w:val="99"/>
    <w:semiHidden/>
    <w:rsid w:val="00FC1C09"/>
    <w:rPr>
      <w:rFonts w:ascii="Calibri" w:eastAsia="Calibri" w:hAnsi="Calibri" w:cs="Times New Roman"/>
      <w:b/>
      <w:bCs/>
      <w:sz w:val="20"/>
      <w:szCs w:val="20"/>
    </w:rPr>
  </w:style>
  <w:style w:type="character" w:customStyle="1" w:styleId="Heading1Char">
    <w:name w:val="Heading 1 Char"/>
    <w:basedOn w:val="DefaultParagraphFont"/>
    <w:link w:val="Heading1"/>
    <w:uiPriority w:val="9"/>
    <w:rsid w:val="00FF68AF"/>
    <w:rPr>
      <w:rFonts w:asciiTheme="majorHAnsi" w:eastAsiaTheme="majorEastAsia" w:hAnsiTheme="majorHAnsi" w:cstheme="majorBidi"/>
      <w:b/>
      <w:color w:val="8064A2" w:themeColor="accent4"/>
      <w:sz w:val="32"/>
      <w:szCs w:val="32"/>
    </w:rPr>
  </w:style>
  <w:style w:type="paragraph" w:styleId="NoSpacing">
    <w:name w:val="No Spacing"/>
    <w:link w:val="NoSpacingChar"/>
    <w:uiPriority w:val="1"/>
    <w:qFormat/>
    <w:rsid w:val="00481D4F"/>
    <w:rPr>
      <w:rFonts w:ascii="Calibri" w:eastAsia="Calibri" w:hAnsi="Calibri" w:cs="Times New Roman"/>
      <w:sz w:val="22"/>
      <w:szCs w:val="22"/>
    </w:rPr>
  </w:style>
  <w:style w:type="paragraph" w:styleId="ListParagraph">
    <w:name w:val="List Paragraph"/>
    <w:basedOn w:val="Normal"/>
    <w:uiPriority w:val="34"/>
    <w:qFormat/>
    <w:rsid w:val="00D57E13"/>
    <w:pPr>
      <w:spacing w:after="200" w:line="276" w:lineRule="auto"/>
      <w:ind w:left="720"/>
      <w:contextualSpacing/>
    </w:pPr>
    <w:rPr>
      <w:rFonts w:eastAsia="Calibri"/>
      <w:sz w:val="22"/>
      <w:szCs w:val="22"/>
      <w:lang w:val="en-GB" w:eastAsia="en-US"/>
    </w:rPr>
  </w:style>
  <w:style w:type="character" w:styleId="Hyperlink">
    <w:name w:val="Hyperlink"/>
    <w:basedOn w:val="DefaultParagraphFont"/>
    <w:uiPriority w:val="99"/>
    <w:unhideWhenUsed/>
    <w:rsid w:val="00AC471F"/>
    <w:rPr>
      <w:color w:val="0000FF" w:themeColor="hyperlink"/>
      <w:u w:val="single"/>
    </w:rPr>
  </w:style>
  <w:style w:type="character" w:styleId="UnresolvedMention">
    <w:name w:val="Unresolved Mention"/>
    <w:basedOn w:val="DefaultParagraphFont"/>
    <w:uiPriority w:val="99"/>
    <w:semiHidden/>
    <w:unhideWhenUsed/>
    <w:rsid w:val="00AC471F"/>
    <w:rPr>
      <w:color w:val="605E5C"/>
      <w:shd w:val="clear" w:color="auto" w:fill="E1DFDD"/>
    </w:rPr>
  </w:style>
  <w:style w:type="character" w:customStyle="1" w:styleId="NoSpacingChar">
    <w:name w:val="No Spacing Char"/>
    <w:basedOn w:val="DefaultParagraphFont"/>
    <w:link w:val="NoSpacing"/>
    <w:uiPriority w:val="1"/>
    <w:rsid w:val="00676990"/>
    <w:rPr>
      <w:rFonts w:ascii="Calibri" w:eastAsia="Calibri" w:hAnsi="Calibri" w:cs="Times New Roman"/>
      <w:sz w:val="22"/>
      <w:szCs w:val="22"/>
    </w:rPr>
  </w:style>
  <w:style w:type="paragraph" w:styleId="TOCHeading">
    <w:name w:val="TOC Heading"/>
    <w:basedOn w:val="Heading1"/>
    <w:next w:val="Normal"/>
    <w:uiPriority w:val="39"/>
    <w:unhideWhenUsed/>
    <w:qFormat/>
    <w:rsid w:val="00FE2723"/>
    <w:pPr>
      <w:spacing w:before="480"/>
      <w:outlineLvl w:val="9"/>
    </w:pPr>
    <w:rPr>
      <w:bCs/>
      <w:color w:val="365F91" w:themeColor="accent1" w:themeShade="BF"/>
      <w:sz w:val="28"/>
      <w:szCs w:val="28"/>
      <w:lang w:val="en-US"/>
    </w:rPr>
  </w:style>
  <w:style w:type="paragraph" w:styleId="TOC1">
    <w:name w:val="toc 1"/>
    <w:basedOn w:val="Normal"/>
    <w:next w:val="Normal"/>
    <w:autoRedefine/>
    <w:uiPriority w:val="39"/>
    <w:unhideWhenUsed/>
    <w:rsid w:val="00FE2723"/>
    <w:pPr>
      <w:spacing w:before="120" w:line="276" w:lineRule="auto"/>
    </w:pPr>
    <w:rPr>
      <w:rFonts w:asciiTheme="minorHAnsi" w:eastAsia="Calibri" w:hAnsiTheme="minorHAnsi"/>
      <w:b/>
      <w:bCs/>
      <w:i/>
      <w:iCs/>
      <w:lang w:val="en-GB" w:eastAsia="en-US"/>
    </w:rPr>
  </w:style>
  <w:style w:type="paragraph" w:styleId="TOC2">
    <w:name w:val="toc 2"/>
    <w:basedOn w:val="Normal"/>
    <w:next w:val="Normal"/>
    <w:autoRedefine/>
    <w:uiPriority w:val="39"/>
    <w:unhideWhenUsed/>
    <w:rsid w:val="00FE2723"/>
    <w:pPr>
      <w:spacing w:before="120" w:line="276" w:lineRule="auto"/>
      <w:ind w:left="220"/>
    </w:pPr>
    <w:rPr>
      <w:rFonts w:asciiTheme="minorHAnsi" w:eastAsia="Calibri" w:hAnsiTheme="minorHAnsi"/>
      <w:b/>
      <w:bCs/>
      <w:sz w:val="22"/>
      <w:szCs w:val="22"/>
      <w:lang w:val="en-GB" w:eastAsia="en-US"/>
    </w:rPr>
  </w:style>
  <w:style w:type="paragraph" w:styleId="TOC3">
    <w:name w:val="toc 3"/>
    <w:basedOn w:val="Normal"/>
    <w:next w:val="Normal"/>
    <w:autoRedefine/>
    <w:uiPriority w:val="39"/>
    <w:unhideWhenUsed/>
    <w:rsid w:val="00FE2723"/>
    <w:pPr>
      <w:spacing w:line="276" w:lineRule="auto"/>
      <w:ind w:left="440"/>
    </w:pPr>
    <w:rPr>
      <w:rFonts w:asciiTheme="minorHAnsi" w:eastAsia="Calibri" w:hAnsiTheme="minorHAnsi"/>
      <w:sz w:val="20"/>
      <w:szCs w:val="20"/>
      <w:lang w:val="en-GB" w:eastAsia="en-US"/>
    </w:rPr>
  </w:style>
  <w:style w:type="paragraph" w:styleId="TOC4">
    <w:name w:val="toc 4"/>
    <w:basedOn w:val="Normal"/>
    <w:next w:val="Normal"/>
    <w:autoRedefine/>
    <w:uiPriority w:val="39"/>
    <w:semiHidden/>
    <w:unhideWhenUsed/>
    <w:rsid w:val="00FE2723"/>
    <w:pPr>
      <w:spacing w:line="276" w:lineRule="auto"/>
      <w:ind w:left="660"/>
    </w:pPr>
    <w:rPr>
      <w:rFonts w:asciiTheme="minorHAnsi" w:eastAsia="Calibri" w:hAnsiTheme="minorHAnsi"/>
      <w:sz w:val="20"/>
      <w:szCs w:val="20"/>
      <w:lang w:val="en-GB" w:eastAsia="en-US"/>
    </w:rPr>
  </w:style>
  <w:style w:type="paragraph" w:styleId="TOC5">
    <w:name w:val="toc 5"/>
    <w:basedOn w:val="Normal"/>
    <w:next w:val="Normal"/>
    <w:autoRedefine/>
    <w:uiPriority w:val="39"/>
    <w:semiHidden/>
    <w:unhideWhenUsed/>
    <w:rsid w:val="00FE2723"/>
    <w:pPr>
      <w:spacing w:line="276" w:lineRule="auto"/>
      <w:ind w:left="880"/>
    </w:pPr>
    <w:rPr>
      <w:rFonts w:asciiTheme="minorHAnsi" w:eastAsia="Calibri" w:hAnsiTheme="minorHAnsi"/>
      <w:sz w:val="20"/>
      <w:szCs w:val="20"/>
      <w:lang w:val="en-GB" w:eastAsia="en-US"/>
    </w:rPr>
  </w:style>
  <w:style w:type="paragraph" w:styleId="TOC6">
    <w:name w:val="toc 6"/>
    <w:basedOn w:val="Normal"/>
    <w:next w:val="Normal"/>
    <w:autoRedefine/>
    <w:uiPriority w:val="39"/>
    <w:semiHidden/>
    <w:unhideWhenUsed/>
    <w:rsid w:val="00FE2723"/>
    <w:pPr>
      <w:spacing w:line="276" w:lineRule="auto"/>
      <w:ind w:left="1100"/>
    </w:pPr>
    <w:rPr>
      <w:rFonts w:asciiTheme="minorHAnsi" w:eastAsia="Calibri" w:hAnsiTheme="minorHAnsi"/>
      <w:sz w:val="20"/>
      <w:szCs w:val="20"/>
      <w:lang w:val="en-GB" w:eastAsia="en-US"/>
    </w:rPr>
  </w:style>
  <w:style w:type="paragraph" w:styleId="TOC7">
    <w:name w:val="toc 7"/>
    <w:basedOn w:val="Normal"/>
    <w:next w:val="Normal"/>
    <w:autoRedefine/>
    <w:uiPriority w:val="39"/>
    <w:semiHidden/>
    <w:unhideWhenUsed/>
    <w:rsid w:val="00FE2723"/>
    <w:pPr>
      <w:spacing w:line="276" w:lineRule="auto"/>
      <w:ind w:left="1320"/>
    </w:pPr>
    <w:rPr>
      <w:rFonts w:asciiTheme="minorHAnsi" w:eastAsia="Calibri" w:hAnsiTheme="minorHAnsi"/>
      <w:sz w:val="20"/>
      <w:szCs w:val="20"/>
      <w:lang w:val="en-GB" w:eastAsia="en-US"/>
    </w:rPr>
  </w:style>
  <w:style w:type="paragraph" w:styleId="TOC8">
    <w:name w:val="toc 8"/>
    <w:basedOn w:val="Normal"/>
    <w:next w:val="Normal"/>
    <w:autoRedefine/>
    <w:uiPriority w:val="39"/>
    <w:semiHidden/>
    <w:unhideWhenUsed/>
    <w:rsid w:val="00FE2723"/>
    <w:pPr>
      <w:spacing w:line="276" w:lineRule="auto"/>
      <w:ind w:left="1540"/>
    </w:pPr>
    <w:rPr>
      <w:rFonts w:asciiTheme="minorHAnsi" w:eastAsia="Calibri" w:hAnsiTheme="minorHAnsi"/>
      <w:sz w:val="20"/>
      <w:szCs w:val="20"/>
      <w:lang w:val="en-GB" w:eastAsia="en-US"/>
    </w:rPr>
  </w:style>
  <w:style w:type="paragraph" w:styleId="TOC9">
    <w:name w:val="toc 9"/>
    <w:basedOn w:val="Normal"/>
    <w:next w:val="Normal"/>
    <w:autoRedefine/>
    <w:uiPriority w:val="39"/>
    <w:semiHidden/>
    <w:unhideWhenUsed/>
    <w:rsid w:val="00FE2723"/>
    <w:pPr>
      <w:spacing w:line="276" w:lineRule="auto"/>
      <w:ind w:left="1760"/>
    </w:pPr>
    <w:rPr>
      <w:rFonts w:asciiTheme="minorHAnsi" w:eastAsia="Calibri" w:hAnsiTheme="minorHAnsi"/>
      <w:sz w:val="20"/>
      <w:szCs w:val="20"/>
      <w:lang w:val="en-GB" w:eastAsia="en-US"/>
    </w:rPr>
  </w:style>
  <w:style w:type="character" w:customStyle="1" w:styleId="Heading2Char">
    <w:name w:val="Heading 2 Char"/>
    <w:basedOn w:val="DefaultParagraphFont"/>
    <w:link w:val="Heading2"/>
    <w:uiPriority w:val="9"/>
    <w:rsid w:val="00736105"/>
    <w:rPr>
      <w:rFonts w:asciiTheme="majorHAnsi" w:eastAsiaTheme="majorEastAsia" w:hAnsiTheme="majorHAnsi" w:cstheme="majorBidi"/>
      <w:color w:val="C0504D"/>
      <w:sz w:val="40"/>
      <w:szCs w:val="26"/>
    </w:rPr>
  </w:style>
  <w:style w:type="character" w:customStyle="1" w:styleId="Heading3Char">
    <w:name w:val="Heading 3 Char"/>
    <w:basedOn w:val="DefaultParagraphFont"/>
    <w:link w:val="Heading3"/>
    <w:uiPriority w:val="9"/>
    <w:rsid w:val="00245CCB"/>
    <w:rPr>
      <w:rFonts w:asciiTheme="majorHAnsi" w:eastAsiaTheme="majorEastAsia" w:hAnsiTheme="majorHAnsi" w:cstheme="majorBidi"/>
      <w:b/>
      <w:color w:val="C0504D"/>
      <w:sz w:val="32"/>
    </w:rPr>
  </w:style>
  <w:style w:type="character" w:customStyle="1" w:styleId="Heading4Char">
    <w:name w:val="Heading 4 Char"/>
    <w:basedOn w:val="DefaultParagraphFont"/>
    <w:link w:val="Heading4"/>
    <w:uiPriority w:val="9"/>
    <w:rsid w:val="00457524"/>
    <w:rPr>
      <w:rFonts w:asciiTheme="majorHAnsi" w:eastAsiaTheme="majorEastAsia" w:hAnsiTheme="majorHAnsi" w:cstheme="majorBidi"/>
      <w:i/>
      <w:iCs/>
      <w:color w:val="C00000"/>
      <w:sz w:val="22"/>
      <w:szCs w:val="22"/>
    </w:rPr>
  </w:style>
  <w:style w:type="character" w:styleId="PageNumber">
    <w:name w:val="page number"/>
    <w:basedOn w:val="DefaultParagraphFont"/>
    <w:uiPriority w:val="99"/>
    <w:semiHidden/>
    <w:unhideWhenUsed/>
    <w:rsid w:val="00245CCB"/>
  </w:style>
  <w:style w:type="paragraph" w:styleId="FootnoteText">
    <w:name w:val="footnote text"/>
    <w:basedOn w:val="Normal"/>
    <w:link w:val="FootnoteTextChar"/>
    <w:uiPriority w:val="99"/>
    <w:semiHidden/>
    <w:unhideWhenUsed/>
    <w:rsid w:val="005C1794"/>
    <w:rPr>
      <w:rFonts w:eastAsia="Calibri"/>
      <w:sz w:val="20"/>
      <w:szCs w:val="20"/>
      <w:lang w:val="en-GB" w:eastAsia="en-US"/>
    </w:rPr>
  </w:style>
  <w:style w:type="character" w:customStyle="1" w:styleId="FootnoteTextChar">
    <w:name w:val="Footnote Text Char"/>
    <w:basedOn w:val="DefaultParagraphFont"/>
    <w:link w:val="FootnoteText"/>
    <w:uiPriority w:val="99"/>
    <w:semiHidden/>
    <w:rsid w:val="005C1794"/>
    <w:rPr>
      <w:rFonts w:ascii="Arial" w:eastAsia="Calibri" w:hAnsi="Arial" w:cs="Times New Roman"/>
      <w:sz w:val="20"/>
      <w:szCs w:val="20"/>
    </w:rPr>
  </w:style>
  <w:style w:type="character" w:styleId="FootnoteReference">
    <w:name w:val="footnote reference"/>
    <w:basedOn w:val="DefaultParagraphFont"/>
    <w:uiPriority w:val="99"/>
    <w:semiHidden/>
    <w:unhideWhenUsed/>
    <w:rsid w:val="005C1794"/>
    <w:rPr>
      <w:vertAlign w:val="superscript"/>
    </w:rPr>
  </w:style>
  <w:style w:type="paragraph" w:styleId="NormalWeb">
    <w:name w:val="Normal (Web)"/>
    <w:basedOn w:val="Normal"/>
    <w:uiPriority w:val="99"/>
    <w:unhideWhenUsed/>
    <w:rsid w:val="0021602D"/>
    <w:pPr>
      <w:spacing w:before="100" w:beforeAutospacing="1" w:after="100" w:afterAutospacing="1"/>
    </w:pPr>
  </w:style>
  <w:style w:type="character" w:customStyle="1" w:styleId="apple-converted-space">
    <w:name w:val="apple-converted-space"/>
    <w:basedOn w:val="DefaultParagraphFont"/>
    <w:rsid w:val="0021602D"/>
  </w:style>
  <w:style w:type="character" w:styleId="FollowedHyperlink">
    <w:name w:val="FollowedHyperlink"/>
    <w:basedOn w:val="DefaultParagraphFont"/>
    <w:uiPriority w:val="99"/>
    <w:semiHidden/>
    <w:unhideWhenUsed/>
    <w:rsid w:val="00767ABC"/>
    <w:rPr>
      <w:color w:val="800080" w:themeColor="followedHyperlink"/>
      <w:u w:val="single"/>
    </w:rPr>
  </w:style>
  <w:style w:type="paragraph" w:customStyle="1" w:styleId="claim">
    <w:name w:val="claim"/>
    <w:basedOn w:val="Normal"/>
    <w:rsid w:val="007E0AE1"/>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7E0AE1"/>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rsid w:val="007E0AE1"/>
    <w:rPr>
      <w:rFonts w:ascii="Arial" w:eastAsia="Times New Roman" w:hAnsi="Arial" w:cs="Arial"/>
      <w:vanish/>
      <w:sz w:val="16"/>
      <w:szCs w:val="16"/>
      <w:lang w:val="en-IN" w:eastAsia="en-GB"/>
    </w:rPr>
  </w:style>
  <w:style w:type="paragraph" w:styleId="z-BottomofForm">
    <w:name w:val="HTML Bottom of Form"/>
    <w:basedOn w:val="Normal"/>
    <w:next w:val="Normal"/>
    <w:link w:val="z-BottomofFormChar"/>
    <w:hidden/>
    <w:uiPriority w:val="99"/>
    <w:semiHidden/>
    <w:unhideWhenUsed/>
    <w:rsid w:val="007E0AE1"/>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7E0AE1"/>
    <w:rPr>
      <w:rFonts w:ascii="Arial" w:eastAsia="Times New Roman" w:hAnsi="Arial" w:cs="Arial"/>
      <w:vanish/>
      <w:sz w:val="16"/>
      <w:szCs w:val="16"/>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98910">
      <w:bodyDiv w:val="1"/>
      <w:marLeft w:val="0"/>
      <w:marRight w:val="0"/>
      <w:marTop w:val="0"/>
      <w:marBottom w:val="0"/>
      <w:divBdr>
        <w:top w:val="none" w:sz="0" w:space="0" w:color="auto"/>
        <w:left w:val="none" w:sz="0" w:space="0" w:color="auto"/>
        <w:bottom w:val="none" w:sz="0" w:space="0" w:color="auto"/>
        <w:right w:val="none" w:sz="0" w:space="0" w:color="auto"/>
      </w:divBdr>
      <w:divsChild>
        <w:div w:id="1281716839">
          <w:marLeft w:val="-720"/>
          <w:marRight w:val="0"/>
          <w:marTop w:val="0"/>
          <w:marBottom w:val="0"/>
          <w:divBdr>
            <w:top w:val="none" w:sz="0" w:space="0" w:color="auto"/>
            <w:left w:val="none" w:sz="0" w:space="0" w:color="auto"/>
            <w:bottom w:val="none" w:sz="0" w:space="0" w:color="auto"/>
            <w:right w:val="none" w:sz="0" w:space="0" w:color="auto"/>
          </w:divBdr>
        </w:div>
      </w:divsChild>
    </w:div>
    <w:div w:id="117309784">
      <w:bodyDiv w:val="1"/>
      <w:marLeft w:val="0"/>
      <w:marRight w:val="0"/>
      <w:marTop w:val="0"/>
      <w:marBottom w:val="0"/>
      <w:divBdr>
        <w:top w:val="none" w:sz="0" w:space="0" w:color="auto"/>
        <w:left w:val="none" w:sz="0" w:space="0" w:color="auto"/>
        <w:bottom w:val="none" w:sz="0" w:space="0" w:color="auto"/>
        <w:right w:val="none" w:sz="0" w:space="0" w:color="auto"/>
      </w:divBdr>
      <w:divsChild>
        <w:div w:id="885293045">
          <w:marLeft w:val="-720"/>
          <w:marRight w:val="0"/>
          <w:marTop w:val="0"/>
          <w:marBottom w:val="0"/>
          <w:divBdr>
            <w:top w:val="none" w:sz="0" w:space="0" w:color="auto"/>
            <w:left w:val="none" w:sz="0" w:space="0" w:color="auto"/>
            <w:bottom w:val="none" w:sz="0" w:space="0" w:color="auto"/>
            <w:right w:val="none" w:sz="0" w:space="0" w:color="auto"/>
          </w:divBdr>
        </w:div>
      </w:divsChild>
    </w:div>
    <w:div w:id="179394810">
      <w:bodyDiv w:val="1"/>
      <w:marLeft w:val="0"/>
      <w:marRight w:val="0"/>
      <w:marTop w:val="0"/>
      <w:marBottom w:val="0"/>
      <w:divBdr>
        <w:top w:val="none" w:sz="0" w:space="0" w:color="auto"/>
        <w:left w:val="none" w:sz="0" w:space="0" w:color="auto"/>
        <w:bottom w:val="none" w:sz="0" w:space="0" w:color="auto"/>
        <w:right w:val="none" w:sz="0" w:space="0" w:color="auto"/>
      </w:divBdr>
      <w:divsChild>
        <w:div w:id="104471487">
          <w:marLeft w:val="-720"/>
          <w:marRight w:val="0"/>
          <w:marTop w:val="0"/>
          <w:marBottom w:val="0"/>
          <w:divBdr>
            <w:top w:val="none" w:sz="0" w:space="0" w:color="auto"/>
            <w:left w:val="none" w:sz="0" w:space="0" w:color="auto"/>
            <w:bottom w:val="none" w:sz="0" w:space="0" w:color="auto"/>
            <w:right w:val="none" w:sz="0" w:space="0" w:color="auto"/>
          </w:divBdr>
        </w:div>
      </w:divsChild>
    </w:div>
    <w:div w:id="238683143">
      <w:bodyDiv w:val="1"/>
      <w:marLeft w:val="0"/>
      <w:marRight w:val="0"/>
      <w:marTop w:val="0"/>
      <w:marBottom w:val="0"/>
      <w:divBdr>
        <w:top w:val="none" w:sz="0" w:space="0" w:color="auto"/>
        <w:left w:val="none" w:sz="0" w:space="0" w:color="auto"/>
        <w:bottom w:val="none" w:sz="0" w:space="0" w:color="auto"/>
        <w:right w:val="none" w:sz="0" w:space="0" w:color="auto"/>
      </w:divBdr>
      <w:divsChild>
        <w:div w:id="1681815978">
          <w:marLeft w:val="0"/>
          <w:marRight w:val="0"/>
          <w:marTop w:val="0"/>
          <w:marBottom w:val="0"/>
          <w:divBdr>
            <w:top w:val="none" w:sz="0" w:space="0" w:color="auto"/>
            <w:left w:val="none" w:sz="0" w:space="0" w:color="auto"/>
            <w:bottom w:val="none" w:sz="0" w:space="0" w:color="auto"/>
            <w:right w:val="none" w:sz="0" w:space="0" w:color="auto"/>
          </w:divBdr>
        </w:div>
      </w:divsChild>
    </w:div>
    <w:div w:id="243806902">
      <w:bodyDiv w:val="1"/>
      <w:marLeft w:val="0"/>
      <w:marRight w:val="0"/>
      <w:marTop w:val="0"/>
      <w:marBottom w:val="0"/>
      <w:divBdr>
        <w:top w:val="none" w:sz="0" w:space="0" w:color="auto"/>
        <w:left w:val="none" w:sz="0" w:space="0" w:color="auto"/>
        <w:bottom w:val="none" w:sz="0" w:space="0" w:color="auto"/>
        <w:right w:val="none" w:sz="0" w:space="0" w:color="auto"/>
      </w:divBdr>
      <w:divsChild>
        <w:div w:id="1791432446">
          <w:marLeft w:val="-720"/>
          <w:marRight w:val="0"/>
          <w:marTop w:val="0"/>
          <w:marBottom w:val="0"/>
          <w:divBdr>
            <w:top w:val="none" w:sz="0" w:space="0" w:color="auto"/>
            <w:left w:val="none" w:sz="0" w:space="0" w:color="auto"/>
            <w:bottom w:val="none" w:sz="0" w:space="0" w:color="auto"/>
            <w:right w:val="none" w:sz="0" w:space="0" w:color="auto"/>
          </w:divBdr>
        </w:div>
      </w:divsChild>
    </w:div>
    <w:div w:id="247740397">
      <w:bodyDiv w:val="1"/>
      <w:marLeft w:val="0"/>
      <w:marRight w:val="0"/>
      <w:marTop w:val="0"/>
      <w:marBottom w:val="0"/>
      <w:divBdr>
        <w:top w:val="none" w:sz="0" w:space="0" w:color="auto"/>
        <w:left w:val="none" w:sz="0" w:space="0" w:color="auto"/>
        <w:bottom w:val="none" w:sz="0" w:space="0" w:color="auto"/>
        <w:right w:val="none" w:sz="0" w:space="0" w:color="auto"/>
      </w:divBdr>
    </w:div>
    <w:div w:id="280038033">
      <w:bodyDiv w:val="1"/>
      <w:marLeft w:val="0"/>
      <w:marRight w:val="0"/>
      <w:marTop w:val="0"/>
      <w:marBottom w:val="0"/>
      <w:divBdr>
        <w:top w:val="none" w:sz="0" w:space="0" w:color="auto"/>
        <w:left w:val="none" w:sz="0" w:space="0" w:color="auto"/>
        <w:bottom w:val="none" w:sz="0" w:space="0" w:color="auto"/>
        <w:right w:val="none" w:sz="0" w:space="0" w:color="auto"/>
      </w:divBdr>
      <w:divsChild>
        <w:div w:id="127628707">
          <w:marLeft w:val="-720"/>
          <w:marRight w:val="0"/>
          <w:marTop w:val="0"/>
          <w:marBottom w:val="0"/>
          <w:divBdr>
            <w:top w:val="none" w:sz="0" w:space="0" w:color="auto"/>
            <w:left w:val="none" w:sz="0" w:space="0" w:color="auto"/>
            <w:bottom w:val="none" w:sz="0" w:space="0" w:color="auto"/>
            <w:right w:val="none" w:sz="0" w:space="0" w:color="auto"/>
          </w:divBdr>
        </w:div>
      </w:divsChild>
    </w:div>
    <w:div w:id="297299266">
      <w:bodyDiv w:val="1"/>
      <w:marLeft w:val="0"/>
      <w:marRight w:val="0"/>
      <w:marTop w:val="0"/>
      <w:marBottom w:val="0"/>
      <w:divBdr>
        <w:top w:val="none" w:sz="0" w:space="0" w:color="auto"/>
        <w:left w:val="none" w:sz="0" w:space="0" w:color="auto"/>
        <w:bottom w:val="none" w:sz="0" w:space="0" w:color="auto"/>
        <w:right w:val="none" w:sz="0" w:space="0" w:color="auto"/>
      </w:divBdr>
      <w:divsChild>
        <w:div w:id="93743195">
          <w:marLeft w:val="-720"/>
          <w:marRight w:val="0"/>
          <w:marTop w:val="0"/>
          <w:marBottom w:val="0"/>
          <w:divBdr>
            <w:top w:val="none" w:sz="0" w:space="0" w:color="auto"/>
            <w:left w:val="none" w:sz="0" w:space="0" w:color="auto"/>
            <w:bottom w:val="none" w:sz="0" w:space="0" w:color="auto"/>
            <w:right w:val="none" w:sz="0" w:space="0" w:color="auto"/>
          </w:divBdr>
        </w:div>
      </w:divsChild>
    </w:div>
    <w:div w:id="342319952">
      <w:bodyDiv w:val="1"/>
      <w:marLeft w:val="0"/>
      <w:marRight w:val="0"/>
      <w:marTop w:val="0"/>
      <w:marBottom w:val="0"/>
      <w:divBdr>
        <w:top w:val="none" w:sz="0" w:space="0" w:color="auto"/>
        <w:left w:val="none" w:sz="0" w:space="0" w:color="auto"/>
        <w:bottom w:val="none" w:sz="0" w:space="0" w:color="auto"/>
        <w:right w:val="none" w:sz="0" w:space="0" w:color="auto"/>
      </w:divBdr>
      <w:divsChild>
        <w:div w:id="636834742">
          <w:marLeft w:val="0"/>
          <w:marRight w:val="0"/>
          <w:marTop w:val="0"/>
          <w:marBottom w:val="0"/>
          <w:divBdr>
            <w:top w:val="none" w:sz="0" w:space="0" w:color="auto"/>
            <w:left w:val="none" w:sz="0" w:space="0" w:color="auto"/>
            <w:bottom w:val="none" w:sz="0" w:space="0" w:color="auto"/>
            <w:right w:val="none" w:sz="0" w:space="0" w:color="auto"/>
          </w:divBdr>
        </w:div>
      </w:divsChild>
    </w:div>
    <w:div w:id="390350395">
      <w:bodyDiv w:val="1"/>
      <w:marLeft w:val="0"/>
      <w:marRight w:val="0"/>
      <w:marTop w:val="0"/>
      <w:marBottom w:val="0"/>
      <w:divBdr>
        <w:top w:val="none" w:sz="0" w:space="0" w:color="auto"/>
        <w:left w:val="none" w:sz="0" w:space="0" w:color="auto"/>
        <w:bottom w:val="none" w:sz="0" w:space="0" w:color="auto"/>
        <w:right w:val="none" w:sz="0" w:space="0" w:color="auto"/>
      </w:divBdr>
      <w:divsChild>
        <w:div w:id="674385092">
          <w:marLeft w:val="-720"/>
          <w:marRight w:val="0"/>
          <w:marTop w:val="0"/>
          <w:marBottom w:val="0"/>
          <w:divBdr>
            <w:top w:val="none" w:sz="0" w:space="0" w:color="auto"/>
            <w:left w:val="none" w:sz="0" w:space="0" w:color="auto"/>
            <w:bottom w:val="none" w:sz="0" w:space="0" w:color="auto"/>
            <w:right w:val="none" w:sz="0" w:space="0" w:color="auto"/>
          </w:divBdr>
        </w:div>
      </w:divsChild>
    </w:div>
    <w:div w:id="472530918">
      <w:bodyDiv w:val="1"/>
      <w:marLeft w:val="0"/>
      <w:marRight w:val="0"/>
      <w:marTop w:val="0"/>
      <w:marBottom w:val="0"/>
      <w:divBdr>
        <w:top w:val="none" w:sz="0" w:space="0" w:color="auto"/>
        <w:left w:val="none" w:sz="0" w:space="0" w:color="auto"/>
        <w:bottom w:val="none" w:sz="0" w:space="0" w:color="auto"/>
        <w:right w:val="none" w:sz="0" w:space="0" w:color="auto"/>
      </w:divBdr>
      <w:divsChild>
        <w:div w:id="121535110">
          <w:marLeft w:val="-720"/>
          <w:marRight w:val="0"/>
          <w:marTop w:val="0"/>
          <w:marBottom w:val="0"/>
          <w:divBdr>
            <w:top w:val="none" w:sz="0" w:space="0" w:color="auto"/>
            <w:left w:val="none" w:sz="0" w:space="0" w:color="auto"/>
            <w:bottom w:val="none" w:sz="0" w:space="0" w:color="auto"/>
            <w:right w:val="none" w:sz="0" w:space="0" w:color="auto"/>
          </w:divBdr>
        </w:div>
      </w:divsChild>
    </w:div>
    <w:div w:id="546912777">
      <w:bodyDiv w:val="1"/>
      <w:marLeft w:val="0"/>
      <w:marRight w:val="0"/>
      <w:marTop w:val="0"/>
      <w:marBottom w:val="0"/>
      <w:divBdr>
        <w:top w:val="none" w:sz="0" w:space="0" w:color="auto"/>
        <w:left w:val="none" w:sz="0" w:space="0" w:color="auto"/>
        <w:bottom w:val="none" w:sz="0" w:space="0" w:color="auto"/>
        <w:right w:val="none" w:sz="0" w:space="0" w:color="auto"/>
      </w:divBdr>
    </w:div>
    <w:div w:id="590742286">
      <w:bodyDiv w:val="1"/>
      <w:marLeft w:val="0"/>
      <w:marRight w:val="0"/>
      <w:marTop w:val="0"/>
      <w:marBottom w:val="0"/>
      <w:divBdr>
        <w:top w:val="none" w:sz="0" w:space="0" w:color="auto"/>
        <w:left w:val="none" w:sz="0" w:space="0" w:color="auto"/>
        <w:bottom w:val="none" w:sz="0" w:space="0" w:color="auto"/>
        <w:right w:val="none" w:sz="0" w:space="0" w:color="auto"/>
      </w:divBdr>
      <w:divsChild>
        <w:div w:id="2101901922">
          <w:marLeft w:val="-720"/>
          <w:marRight w:val="0"/>
          <w:marTop w:val="0"/>
          <w:marBottom w:val="0"/>
          <w:divBdr>
            <w:top w:val="none" w:sz="0" w:space="0" w:color="auto"/>
            <w:left w:val="none" w:sz="0" w:space="0" w:color="auto"/>
            <w:bottom w:val="none" w:sz="0" w:space="0" w:color="auto"/>
            <w:right w:val="none" w:sz="0" w:space="0" w:color="auto"/>
          </w:divBdr>
        </w:div>
      </w:divsChild>
    </w:div>
    <w:div w:id="682245505">
      <w:bodyDiv w:val="1"/>
      <w:marLeft w:val="0"/>
      <w:marRight w:val="0"/>
      <w:marTop w:val="0"/>
      <w:marBottom w:val="0"/>
      <w:divBdr>
        <w:top w:val="none" w:sz="0" w:space="0" w:color="auto"/>
        <w:left w:val="none" w:sz="0" w:space="0" w:color="auto"/>
        <w:bottom w:val="none" w:sz="0" w:space="0" w:color="auto"/>
        <w:right w:val="none" w:sz="0" w:space="0" w:color="auto"/>
      </w:divBdr>
      <w:divsChild>
        <w:div w:id="1574706776">
          <w:marLeft w:val="0"/>
          <w:marRight w:val="0"/>
          <w:marTop w:val="0"/>
          <w:marBottom w:val="0"/>
          <w:divBdr>
            <w:top w:val="none" w:sz="0" w:space="0" w:color="auto"/>
            <w:left w:val="none" w:sz="0" w:space="0" w:color="auto"/>
            <w:bottom w:val="none" w:sz="0" w:space="0" w:color="auto"/>
            <w:right w:val="none" w:sz="0" w:space="0" w:color="auto"/>
          </w:divBdr>
        </w:div>
      </w:divsChild>
    </w:div>
    <w:div w:id="683437599">
      <w:bodyDiv w:val="1"/>
      <w:marLeft w:val="0"/>
      <w:marRight w:val="0"/>
      <w:marTop w:val="0"/>
      <w:marBottom w:val="0"/>
      <w:divBdr>
        <w:top w:val="none" w:sz="0" w:space="0" w:color="auto"/>
        <w:left w:val="none" w:sz="0" w:space="0" w:color="auto"/>
        <w:bottom w:val="none" w:sz="0" w:space="0" w:color="auto"/>
        <w:right w:val="none" w:sz="0" w:space="0" w:color="auto"/>
      </w:divBdr>
    </w:div>
    <w:div w:id="715129635">
      <w:bodyDiv w:val="1"/>
      <w:marLeft w:val="0"/>
      <w:marRight w:val="0"/>
      <w:marTop w:val="0"/>
      <w:marBottom w:val="0"/>
      <w:divBdr>
        <w:top w:val="none" w:sz="0" w:space="0" w:color="auto"/>
        <w:left w:val="none" w:sz="0" w:space="0" w:color="auto"/>
        <w:bottom w:val="none" w:sz="0" w:space="0" w:color="auto"/>
        <w:right w:val="none" w:sz="0" w:space="0" w:color="auto"/>
      </w:divBdr>
      <w:divsChild>
        <w:div w:id="1004086342">
          <w:marLeft w:val="-720"/>
          <w:marRight w:val="0"/>
          <w:marTop w:val="0"/>
          <w:marBottom w:val="0"/>
          <w:divBdr>
            <w:top w:val="none" w:sz="0" w:space="0" w:color="auto"/>
            <w:left w:val="none" w:sz="0" w:space="0" w:color="auto"/>
            <w:bottom w:val="none" w:sz="0" w:space="0" w:color="auto"/>
            <w:right w:val="none" w:sz="0" w:space="0" w:color="auto"/>
          </w:divBdr>
        </w:div>
      </w:divsChild>
    </w:div>
    <w:div w:id="788160645">
      <w:bodyDiv w:val="1"/>
      <w:marLeft w:val="0"/>
      <w:marRight w:val="0"/>
      <w:marTop w:val="0"/>
      <w:marBottom w:val="0"/>
      <w:divBdr>
        <w:top w:val="none" w:sz="0" w:space="0" w:color="auto"/>
        <w:left w:val="none" w:sz="0" w:space="0" w:color="auto"/>
        <w:bottom w:val="none" w:sz="0" w:space="0" w:color="auto"/>
        <w:right w:val="none" w:sz="0" w:space="0" w:color="auto"/>
      </w:divBdr>
    </w:div>
    <w:div w:id="857892559">
      <w:bodyDiv w:val="1"/>
      <w:marLeft w:val="0"/>
      <w:marRight w:val="0"/>
      <w:marTop w:val="0"/>
      <w:marBottom w:val="0"/>
      <w:divBdr>
        <w:top w:val="none" w:sz="0" w:space="0" w:color="auto"/>
        <w:left w:val="none" w:sz="0" w:space="0" w:color="auto"/>
        <w:bottom w:val="none" w:sz="0" w:space="0" w:color="auto"/>
        <w:right w:val="none" w:sz="0" w:space="0" w:color="auto"/>
      </w:divBdr>
    </w:div>
    <w:div w:id="886377904">
      <w:bodyDiv w:val="1"/>
      <w:marLeft w:val="0"/>
      <w:marRight w:val="0"/>
      <w:marTop w:val="0"/>
      <w:marBottom w:val="0"/>
      <w:divBdr>
        <w:top w:val="none" w:sz="0" w:space="0" w:color="auto"/>
        <w:left w:val="none" w:sz="0" w:space="0" w:color="auto"/>
        <w:bottom w:val="none" w:sz="0" w:space="0" w:color="auto"/>
        <w:right w:val="none" w:sz="0" w:space="0" w:color="auto"/>
      </w:divBdr>
      <w:divsChild>
        <w:div w:id="2102488847">
          <w:marLeft w:val="-720"/>
          <w:marRight w:val="0"/>
          <w:marTop w:val="0"/>
          <w:marBottom w:val="0"/>
          <w:divBdr>
            <w:top w:val="none" w:sz="0" w:space="0" w:color="auto"/>
            <w:left w:val="none" w:sz="0" w:space="0" w:color="auto"/>
            <w:bottom w:val="none" w:sz="0" w:space="0" w:color="auto"/>
            <w:right w:val="none" w:sz="0" w:space="0" w:color="auto"/>
          </w:divBdr>
        </w:div>
      </w:divsChild>
    </w:div>
    <w:div w:id="920524346">
      <w:bodyDiv w:val="1"/>
      <w:marLeft w:val="0"/>
      <w:marRight w:val="0"/>
      <w:marTop w:val="0"/>
      <w:marBottom w:val="0"/>
      <w:divBdr>
        <w:top w:val="none" w:sz="0" w:space="0" w:color="auto"/>
        <w:left w:val="none" w:sz="0" w:space="0" w:color="auto"/>
        <w:bottom w:val="none" w:sz="0" w:space="0" w:color="auto"/>
        <w:right w:val="none" w:sz="0" w:space="0" w:color="auto"/>
      </w:divBdr>
    </w:div>
    <w:div w:id="1023901069">
      <w:bodyDiv w:val="1"/>
      <w:marLeft w:val="0"/>
      <w:marRight w:val="0"/>
      <w:marTop w:val="0"/>
      <w:marBottom w:val="0"/>
      <w:divBdr>
        <w:top w:val="none" w:sz="0" w:space="0" w:color="auto"/>
        <w:left w:val="none" w:sz="0" w:space="0" w:color="auto"/>
        <w:bottom w:val="none" w:sz="0" w:space="0" w:color="auto"/>
        <w:right w:val="none" w:sz="0" w:space="0" w:color="auto"/>
      </w:divBdr>
      <w:divsChild>
        <w:div w:id="606738769">
          <w:marLeft w:val="-720"/>
          <w:marRight w:val="0"/>
          <w:marTop w:val="0"/>
          <w:marBottom w:val="0"/>
          <w:divBdr>
            <w:top w:val="none" w:sz="0" w:space="0" w:color="auto"/>
            <w:left w:val="none" w:sz="0" w:space="0" w:color="auto"/>
            <w:bottom w:val="none" w:sz="0" w:space="0" w:color="auto"/>
            <w:right w:val="none" w:sz="0" w:space="0" w:color="auto"/>
          </w:divBdr>
        </w:div>
      </w:divsChild>
    </w:div>
    <w:div w:id="1048070874">
      <w:bodyDiv w:val="1"/>
      <w:marLeft w:val="0"/>
      <w:marRight w:val="0"/>
      <w:marTop w:val="0"/>
      <w:marBottom w:val="0"/>
      <w:divBdr>
        <w:top w:val="none" w:sz="0" w:space="0" w:color="auto"/>
        <w:left w:val="none" w:sz="0" w:space="0" w:color="auto"/>
        <w:bottom w:val="none" w:sz="0" w:space="0" w:color="auto"/>
        <w:right w:val="none" w:sz="0" w:space="0" w:color="auto"/>
      </w:divBdr>
    </w:div>
    <w:div w:id="1060901344">
      <w:bodyDiv w:val="1"/>
      <w:marLeft w:val="0"/>
      <w:marRight w:val="0"/>
      <w:marTop w:val="0"/>
      <w:marBottom w:val="0"/>
      <w:divBdr>
        <w:top w:val="none" w:sz="0" w:space="0" w:color="auto"/>
        <w:left w:val="none" w:sz="0" w:space="0" w:color="auto"/>
        <w:bottom w:val="none" w:sz="0" w:space="0" w:color="auto"/>
        <w:right w:val="none" w:sz="0" w:space="0" w:color="auto"/>
      </w:divBdr>
      <w:divsChild>
        <w:div w:id="405108449">
          <w:marLeft w:val="-720"/>
          <w:marRight w:val="0"/>
          <w:marTop w:val="0"/>
          <w:marBottom w:val="0"/>
          <w:divBdr>
            <w:top w:val="none" w:sz="0" w:space="0" w:color="auto"/>
            <w:left w:val="none" w:sz="0" w:space="0" w:color="auto"/>
            <w:bottom w:val="none" w:sz="0" w:space="0" w:color="auto"/>
            <w:right w:val="none" w:sz="0" w:space="0" w:color="auto"/>
          </w:divBdr>
        </w:div>
      </w:divsChild>
    </w:div>
    <w:div w:id="1064911580">
      <w:bodyDiv w:val="1"/>
      <w:marLeft w:val="0"/>
      <w:marRight w:val="0"/>
      <w:marTop w:val="0"/>
      <w:marBottom w:val="0"/>
      <w:divBdr>
        <w:top w:val="none" w:sz="0" w:space="0" w:color="auto"/>
        <w:left w:val="none" w:sz="0" w:space="0" w:color="auto"/>
        <w:bottom w:val="none" w:sz="0" w:space="0" w:color="auto"/>
        <w:right w:val="none" w:sz="0" w:space="0" w:color="auto"/>
      </w:divBdr>
      <w:divsChild>
        <w:div w:id="2096584878">
          <w:marLeft w:val="-720"/>
          <w:marRight w:val="0"/>
          <w:marTop w:val="0"/>
          <w:marBottom w:val="0"/>
          <w:divBdr>
            <w:top w:val="none" w:sz="0" w:space="0" w:color="auto"/>
            <w:left w:val="none" w:sz="0" w:space="0" w:color="auto"/>
            <w:bottom w:val="none" w:sz="0" w:space="0" w:color="auto"/>
            <w:right w:val="none" w:sz="0" w:space="0" w:color="auto"/>
          </w:divBdr>
        </w:div>
      </w:divsChild>
    </w:div>
    <w:div w:id="1150636969">
      <w:bodyDiv w:val="1"/>
      <w:marLeft w:val="0"/>
      <w:marRight w:val="0"/>
      <w:marTop w:val="0"/>
      <w:marBottom w:val="0"/>
      <w:divBdr>
        <w:top w:val="none" w:sz="0" w:space="0" w:color="auto"/>
        <w:left w:val="none" w:sz="0" w:space="0" w:color="auto"/>
        <w:bottom w:val="none" w:sz="0" w:space="0" w:color="auto"/>
        <w:right w:val="none" w:sz="0" w:space="0" w:color="auto"/>
      </w:divBdr>
      <w:divsChild>
        <w:div w:id="1702123301">
          <w:marLeft w:val="-720"/>
          <w:marRight w:val="0"/>
          <w:marTop w:val="0"/>
          <w:marBottom w:val="0"/>
          <w:divBdr>
            <w:top w:val="none" w:sz="0" w:space="0" w:color="auto"/>
            <w:left w:val="none" w:sz="0" w:space="0" w:color="auto"/>
            <w:bottom w:val="none" w:sz="0" w:space="0" w:color="auto"/>
            <w:right w:val="none" w:sz="0" w:space="0" w:color="auto"/>
          </w:divBdr>
        </w:div>
      </w:divsChild>
    </w:div>
    <w:div w:id="1222903344">
      <w:bodyDiv w:val="1"/>
      <w:marLeft w:val="0"/>
      <w:marRight w:val="0"/>
      <w:marTop w:val="0"/>
      <w:marBottom w:val="0"/>
      <w:divBdr>
        <w:top w:val="none" w:sz="0" w:space="0" w:color="auto"/>
        <w:left w:val="none" w:sz="0" w:space="0" w:color="auto"/>
        <w:bottom w:val="none" w:sz="0" w:space="0" w:color="auto"/>
        <w:right w:val="none" w:sz="0" w:space="0" w:color="auto"/>
      </w:divBdr>
    </w:div>
    <w:div w:id="1244682510">
      <w:bodyDiv w:val="1"/>
      <w:marLeft w:val="0"/>
      <w:marRight w:val="0"/>
      <w:marTop w:val="0"/>
      <w:marBottom w:val="0"/>
      <w:divBdr>
        <w:top w:val="none" w:sz="0" w:space="0" w:color="auto"/>
        <w:left w:val="none" w:sz="0" w:space="0" w:color="auto"/>
        <w:bottom w:val="none" w:sz="0" w:space="0" w:color="auto"/>
        <w:right w:val="none" w:sz="0" w:space="0" w:color="auto"/>
      </w:divBdr>
      <w:divsChild>
        <w:div w:id="1123236019">
          <w:marLeft w:val="-720"/>
          <w:marRight w:val="0"/>
          <w:marTop w:val="0"/>
          <w:marBottom w:val="0"/>
          <w:divBdr>
            <w:top w:val="none" w:sz="0" w:space="0" w:color="auto"/>
            <w:left w:val="none" w:sz="0" w:space="0" w:color="auto"/>
            <w:bottom w:val="none" w:sz="0" w:space="0" w:color="auto"/>
            <w:right w:val="none" w:sz="0" w:space="0" w:color="auto"/>
          </w:divBdr>
        </w:div>
      </w:divsChild>
    </w:div>
    <w:div w:id="1321811115">
      <w:bodyDiv w:val="1"/>
      <w:marLeft w:val="0"/>
      <w:marRight w:val="0"/>
      <w:marTop w:val="0"/>
      <w:marBottom w:val="0"/>
      <w:divBdr>
        <w:top w:val="none" w:sz="0" w:space="0" w:color="auto"/>
        <w:left w:val="none" w:sz="0" w:space="0" w:color="auto"/>
        <w:bottom w:val="none" w:sz="0" w:space="0" w:color="auto"/>
        <w:right w:val="none" w:sz="0" w:space="0" w:color="auto"/>
      </w:divBdr>
      <w:divsChild>
        <w:div w:id="1262910118">
          <w:marLeft w:val="-720"/>
          <w:marRight w:val="0"/>
          <w:marTop w:val="0"/>
          <w:marBottom w:val="0"/>
          <w:divBdr>
            <w:top w:val="none" w:sz="0" w:space="0" w:color="auto"/>
            <w:left w:val="none" w:sz="0" w:space="0" w:color="auto"/>
            <w:bottom w:val="none" w:sz="0" w:space="0" w:color="auto"/>
            <w:right w:val="none" w:sz="0" w:space="0" w:color="auto"/>
          </w:divBdr>
        </w:div>
      </w:divsChild>
    </w:div>
    <w:div w:id="1339432175">
      <w:bodyDiv w:val="1"/>
      <w:marLeft w:val="0"/>
      <w:marRight w:val="0"/>
      <w:marTop w:val="0"/>
      <w:marBottom w:val="0"/>
      <w:divBdr>
        <w:top w:val="none" w:sz="0" w:space="0" w:color="auto"/>
        <w:left w:val="none" w:sz="0" w:space="0" w:color="auto"/>
        <w:bottom w:val="none" w:sz="0" w:space="0" w:color="auto"/>
        <w:right w:val="none" w:sz="0" w:space="0" w:color="auto"/>
      </w:divBdr>
    </w:div>
    <w:div w:id="1347291127">
      <w:bodyDiv w:val="1"/>
      <w:marLeft w:val="0"/>
      <w:marRight w:val="0"/>
      <w:marTop w:val="0"/>
      <w:marBottom w:val="0"/>
      <w:divBdr>
        <w:top w:val="none" w:sz="0" w:space="0" w:color="auto"/>
        <w:left w:val="none" w:sz="0" w:space="0" w:color="auto"/>
        <w:bottom w:val="none" w:sz="0" w:space="0" w:color="auto"/>
        <w:right w:val="none" w:sz="0" w:space="0" w:color="auto"/>
      </w:divBdr>
      <w:divsChild>
        <w:div w:id="516971278">
          <w:marLeft w:val="-720"/>
          <w:marRight w:val="0"/>
          <w:marTop w:val="0"/>
          <w:marBottom w:val="0"/>
          <w:divBdr>
            <w:top w:val="none" w:sz="0" w:space="0" w:color="auto"/>
            <w:left w:val="none" w:sz="0" w:space="0" w:color="auto"/>
            <w:bottom w:val="none" w:sz="0" w:space="0" w:color="auto"/>
            <w:right w:val="none" w:sz="0" w:space="0" w:color="auto"/>
          </w:divBdr>
        </w:div>
      </w:divsChild>
    </w:div>
    <w:div w:id="1400248302">
      <w:bodyDiv w:val="1"/>
      <w:marLeft w:val="0"/>
      <w:marRight w:val="0"/>
      <w:marTop w:val="0"/>
      <w:marBottom w:val="0"/>
      <w:divBdr>
        <w:top w:val="none" w:sz="0" w:space="0" w:color="auto"/>
        <w:left w:val="none" w:sz="0" w:space="0" w:color="auto"/>
        <w:bottom w:val="none" w:sz="0" w:space="0" w:color="auto"/>
        <w:right w:val="none" w:sz="0" w:space="0" w:color="auto"/>
      </w:divBdr>
    </w:div>
    <w:div w:id="1583220688">
      <w:bodyDiv w:val="1"/>
      <w:marLeft w:val="0"/>
      <w:marRight w:val="0"/>
      <w:marTop w:val="0"/>
      <w:marBottom w:val="0"/>
      <w:divBdr>
        <w:top w:val="none" w:sz="0" w:space="0" w:color="auto"/>
        <w:left w:val="none" w:sz="0" w:space="0" w:color="auto"/>
        <w:bottom w:val="none" w:sz="0" w:space="0" w:color="auto"/>
        <w:right w:val="none" w:sz="0" w:space="0" w:color="auto"/>
      </w:divBdr>
      <w:divsChild>
        <w:div w:id="843318538">
          <w:marLeft w:val="-720"/>
          <w:marRight w:val="0"/>
          <w:marTop w:val="0"/>
          <w:marBottom w:val="0"/>
          <w:divBdr>
            <w:top w:val="none" w:sz="0" w:space="0" w:color="auto"/>
            <w:left w:val="none" w:sz="0" w:space="0" w:color="auto"/>
            <w:bottom w:val="none" w:sz="0" w:space="0" w:color="auto"/>
            <w:right w:val="none" w:sz="0" w:space="0" w:color="auto"/>
          </w:divBdr>
        </w:div>
      </w:divsChild>
    </w:div>
    <w:div w:id="1586840432">
      <w:bodyDiv w:val="1"/>
      <w:marLeft w:val="0"/>
      <w:marRight w:val="0"/>
      <w:marTop w:val="0"/>
      <w:marBottom w:val="0"/>
      <w:divBdr>
        <w:top w:val="none" w:sz="0" w:space="0" w:color="auto"/>
        <w:left w:val="none" w:sz="0" w:space="0" w:color="auto"/>
        <w:bottom w:val="none" w:sz="0" w:space="0" w:color="auto"/>
        <w:right w:val="none" w:sz="0" w:space="0" w:color="auto"/>
      </w:divBdr>
      <w:divsChild>
        <w:div w:id="1721709380">
          <w:marLeft w:val="-720"/>
          <w:marRight w:val="0"/>
          <w:marTop w:val="0"/>
          <w:marBottom w:val="0"/>
          <w:divBdr>
            <w:top w:val="none" w:sz="0" w:space="0" w:color="auto"/>
            <w:left w:val="none" w:sz="0" w:space="0" w:color="auto"/>
            <w:bottom w:val="none" w:sz="0" w:space="0" w:color="auto"/>
            <w:right w:val="none" w:sz="0" w:space="0" w:color="auto"/>
          </w:divBdr>
        </w:div>
      </w:divsChild>
    </w:div>
    <w:div w:id="1611937705">
      <w:bodyDiv w:val="1"/>
      <w:marLeft w:val="0"/>
      <w:marRight w:val="0"/>
      <w:marTop w:val="0"/>
      <w:marBottom w:val="0"/>
      <w:divBdr>
        <w:top w:val="none" w:sz="0" w:space="0" w:color="auto"/>
        <w:left w:val="none" w:sz="0" w:space="0" w:color="auto"/>
        <w:bottom w:val="none" w:sz="0" w:space="0" w:color="auto"/>
        <w:right w:val="none" w:sz="0" w:space="0" w:color="auto"/>
      </w:divBdr>
    </w:div>
    <w:div w:id="1644581422">
      <w:bodyDiv w:val="1"/>
      <w:marLeft w:val="0"/>
      <w:marRight w:val="0"/>
      <w:marTop w:val="0"/>
      <w:marBottom w:val="0"/>
      <w:divBdr>
        <w:top w:val="none" w:sz="0" w:space="0" w:color="auto"/>
        <w:left w:val="none" w:sz="0" w:space="0" w:color="auto"/>
        <w:bottom w:val="none" w:sz="0" w:space="0" w:color="auto"/>
        <w:right w:val="none" w:sz="0" w:space="0" w:color="auto"/>
      </w:divBdr>
    </w:div>
    <w:div w:id="1648390478">
      <w:bodyDiv w:val="1"/>
      <w:marLeft w:val="0"/>
      <w:marRight w:val="0"/>
      <w:marTop w:val="0"/>
      <w:marBottom w:val="0"/>
      <w:divBdr>
        <w:top w:val="none" w:sz="0" w:space="0" w:color="auto"/>
        <w:left w:val="none" w:sz="0" w:space="0" w:color="auto"/>
        <w:bottom w:val="none" w:sz="0" w:space="0" w:color="auto"/>
        <w:right w:val="none" w:sz="0" w:space="0" w:color="auto"/>
      </w:divBdr>
      <w:divsChild>
        <w:div w:id="1898319125">
          <w:marLeft w:val="-720"/>
          <w:marRight w:val="0"/>
          <w:marTop w:val="0"/>
          <w:marBottom w:val="0"/>
          <w:divBdr>
            <w:top w:val="none" w:sz="0" w:space="0" w:color="auto"/>
            <w:left w:val="none" w:sz="0" w:space="0" w:color="auto"/>
            <w:bottom w:val="none" w:sz="0" w:space="0" w:color="auto"/>
            <w:right w:val="none" w:sz="0" w:space="0" w:color="auto"/>
          </w:divBdr>
        </w:div>
      </w:divsChild>
    </w:div>
    <w:div w:id="1699231813">
      <w:bodyDiv w:val="1"/>
      <w:marLeft w:val="0"/>
      <w:marRight w:val="0"/>
      <w:marTop w:val="0"/>
      <w:marBottom w:val="0"/>
      <w:divBdr>
        <w:top w:val="none" w:sz="0" w:space="0" w:color="auto"/>
        <w:left w:val="none" w:sz="0" w:space="0" w:color="auto"/>
        <w:bottom w:val="none" w:sz="0" w:space="0" w:color="auto"/>
        <w:right w:val="none" w:sz="0" w:space="0" w:color="auto"/>
      </w:divBdr>
      <w:divsChild>
        <w:div w:id="541403835">
          <w:marLeft w:val="-720"/>
          <w:marRight w:val="0"/>
          <w:marTop w:val="0"/>
          <w:marBottom w:val="0"/>
          <w:divBdr>
            <w:top w:val="none" w:sz="0" w:space="0" w:color="auto"/>
            <w:left w:val="none" w:sz="0" w:space="0" w:color="auto"/>
            <w:bottom w:val="none" w:sz="0" w:space="0" w:color="auto"/>
            <w:right w:val="none" w:sz="0" w:space="0" w:color="auto"/>
          </w:divBdr>
        </w:div>
      </w:divsChild>
    </w:div>
    <w:div w:id="1763378173">
      <w:bodyDiv w:val="1"/>
      <w:marLeft w:val="0"/>
      <w:marRight w:val="0"/>
      <w:marTop w:val="0"/>
      <w:marBottom w:val="0"/>
      <w:divBdr>
        <w:top w:val="none" w:sz="0" w:space="0" w:color="auto"/>
        <w:left w:val="none" w:sz="0" w:space="0" w:color="auto"/>
        <w:bottom w:val="none" w:sz="0" w:space="0" w:color="auto"/>
        <w:right w:val="none" w:sz="0" w:space="0" w:color="auto"/>
      </w:divBdr>
      <w:divsChild>
        <w:div w:id="1274937900">
          <w:marLeft w:val="-720"/>
          <w:marRight w:val="0"/>
          <w:marTop w:val="0"/>
          <w:marBottom w:val="0"/>
          <w:divBdr>
            <w:top w:val="none" w:sz="0" w:space="0" w:color="auto"/>
            <w:left w:val="none" w:sz="0" w:space="0" w:color="auto"/>
            <w:bottom w:val="none" w:sz="0" w:space="0" w:color="auto"/>
            <w:right w:val="none" w:sz="0" w:space="0" w:color="auto"/>
          </w:divBdr>
        </w:div>
      </w:divsChild>
    </w:div>
    <w:div w:id="1782987715">
      <w:bodyDiv w:val="1"/>
      <w:marLeft w:val="0"/>
      <w:marRight w:val="0"/>
      <w:marTop w:val="0"/>
      <w:marBottom w:val="0"/>
      <w:divBdr>
        <w:top w:val="none" w:sz="0" w:space="0" w:color="auto"/>
        <w:left w:val="none" w:sz="0" w:space="0" w:color="auto"/>
        <w:bottom w:val="none" w:sz="0" w:space="0" w:color="auto"/>
        <w:right w:val="none" w:sz="0" w:space="0" w:color="auto"/>
      </w:divBdr>
      <w:divsChild>
        <w:div w:id="1505124518">
          <w:marLeft w:val="-720"/>
          <w:marRight w:val="0"/>
          <w:marTop w:val="0"/>
          <w:marBottom w:val="0"/>
          <w:divBdr>
            <w:top w:val="none" w:sz="0" w:space="0" w:color="auto"/>
            <w:left w:val="none" w:sz="0" w:space="0" w:color="auto"/>
            <w:bottom w:val="none" w:sz="0" w:space="0" w:color="auto"/>
            <w:right w:val="none" w:sz="0" w:space="0" w:color="auto"/>
          </w:divBdr>
        </w:div>
      </w:divsChild>
    </w:div>
    <w:div w:id="1794975925">
      <w:bodyDiv w:val="1"/>
      <w:marLeft w:val="0"/>
      <w:marRight w:val="0"/>
      <w:marTop w:val="0"/>
      <w:marBottom w:val="0"/>
      <w:divBdr>
        <w:top w:val="none" w:sz="0" w:space="0" w:color="auto"/>
        <w:left w:val="none" w:sz="0" w:space="0" w:color="auto"/>
        <w:bottom w:val="none" w:sz="0" w:space="0" w:color="auto"/>
        <w:right w:val="none" w:sz="0" w:space="0" w:color="auto"/>
      </w:divBdr>
    </w:div>
    <w:div w:id="1815639542">
      <w:bodyDiv w:val="1"/>
      <w:marLeft w:val="0"/>
      <w:marRight w:val="0"/>
      <w:marTop w:val="0"/>
      <w:marBottom w:val="0"/>
      <w:divBdr>
        <w:top w:val="none" w:sz="0" w:space="0" w:color="auto"/>
        <w:left w:val="none" w:sz="0" w:space="0" w:color="auto"/>
        <w:bottom w:val="none" w:sz="0" w:space="0" w:color="auto"/>
        <w:right w:val="none" w:sz="0" w:space="0" w:color="auto"/>
      </w:divBdr>
      <w:divsChild>
        <w:div w:id="932859932">
          <w:marLeft w:val="-720"/>
          <w:marRight w:val="0"/>
          <w:marTop w:val="0"/>
          <w:marBottom w:val="0"/>
          <w:divBdr>
            <w:top w:val="none" w:sz="0" w:space="0" w:color="auto"/>
            <w:left w:val="none" w:sz="0" w:space="0" w:color="auto"/>
            <w:bottom w:val="none" w:sz="0" w:space="0" w:color="auto"/>
            <w:right w:val="none" w:sz="0" w:space="0" w:color="auto"/>
          </w:divBdr>
        </w:div>
      </w:divsChild>
    </w:div>
    <w:div w:id="1823811164">
      <w:bodyDiv w:val="1"/>
      <w:marLeft w:val="0"/>
      <w:marRight w:val="0"/>
      <w:marTop w:val="0"/>
      <w:marBottom w:val="0"/>
      <w:divBdr>
        <w:top w:val="none" w:sz="0" w:space="0" w:color="auto"/>
        <w:left w:val="none" w:sz="0" w:space="0" w:color="auto"/>
        <w:bottom w:val="none" w:sz="0" w:space="0" w:color="auto"/>
        <w:right w:val="none" w:sz="0" w:space="0" w:color="auto"/>
      </w:divBdr>
    </w:div>
    <w:div w:id="1835295787">
      <w:bodyDiv w:val="1"/>
      <w:marLeft w:val="0"/>
      <w:marRight w:val="0"/>
      <w:marTop w:val="0"/>
      <w:marBottom w:val="0"/>
      <w:divBdr>
        <w:top w:val="none" w:sz="0" w:space="0" w:color="auto"/>
        <w:left w:val="none" w:sz="0" w:space="0" w:color="auto"/>
        <w:bottom w:val="none" w:sz="0" w:space="0" w:color="auto"/>
        <w:right w:val="none" w:sz="0" w:space="0" w:color="auto"/>
      </w:divBdr>
    </w:div>
    <w:div w:id="1851988982">
      <w:bodyDiv w:val="1"/>
      <w:marLeft w:val="0"/>
      <w:marRight w:val="0"/>
      <w:marTop w:val="0"/>
      <w:marBottom w:val="0"/>
      <w:divBdr>
        <w:top w:val="none" w:sz="0" w:space="0" w:color="auto"/>
        <w:left w:val="none" w:sz="0" w:space="0" w:color="auto"/>
        <w:bottom w:val="none" w:sz="0" w:space="0" w:color="auto"/>
        <w:right w:val="none" w:sz="0" w:space="0" w:color="auto"/>
      </w:divBdr>
    </w:div>
    <w:div w:id="1877886789">
      <w:bodyDiv w:val="1"/>
      <w:marLeft w:val="0"/>
      <w:marRight w:val="0"/>
      <w:marTop w:val="0"/>
      <w:marBottom w:val="0"/>
      <w:divBdr>
        <w:top w:val="none" w:sz="0" w:space="0" w:color="auto"/>
        <w:left w:val="none" w:sz="0" w:space="0" w:color="auto"/>
        <w:bottom w:val="none" w:sz="0" w:space="0" w:color="auto"/>
        <w:right w:val="none" w:sz="0" w:space="0" w:color="auto"/>
      </w:divBdr>
      <w:divsChild>
        <w:div w:id="1939872209">
          <w:marLeft w:val="-720"/>
          <w:marRight w:val="0"/>
          <w:marTop w:val="0"/>
          <w:marBottom w:val="0"/>
          <w:divBdr>
            <w:top w:val="none" w:sz="0" w:space="0" w:color="auto"/>
            <w:left w:val="none" w:sz="0" w:space="0" w:color="auto"/>
            <w:bottom w:val="none" w:sz="0" w:space="0" w:color="auto"/>
            <w:right w:val="none" w:sz="0" w:space="0" w:color="auto"/>
          </w:divBdr>
        </w:div>
      </w:divsChild>
    </w:div>
    <w:div w:id="1885363252">
      <w:bodyDiv w:val="1"/>
      <w:marLeft w:val="0"/>
      <w:marRight w:val="0"/>
      <w:marTop w:val="0"/>
      <w:marBottom w:val="0"/>
      <w:divBdr>
        <w:top w:val="none" w:sz="0" w:space="0" w:color="auto"/>
        <w:left w:val="none" w:sz="0" w:space="0" w:color="auto"/>
        <w:bottom w:val="none" w:sz="0" w:space="0" w:color="auto"/>
        <w:right w:val="none" w:sz="0" w:space="0" w:color="auto"/>
      </w:divBdr>
      <w:divsChild>
        <w:div w:id="1164971776">
          <w:marLeft w:val="-720"/>
          <w:marRight w:val="0"/>
          <w:marTop w:val="0"/>
          <w:marBottom w:val="0"/>
          <w:divBdr>
            <w:top w:val="none" w:sz="0" w:space="0" w:color="auto"/>
            <w:left w:val="none" w:sz="0" w:space="0" w:color="auto"/>
            <w:bottom w:val="none" w:sz="0" w:space="0" w:color="auto"/>
            <w:right w:val="none" w:sz="0" w:space="0" w:color="auto"/>
          </w:divBdr>
        </w:div>
      </w:divsChild>
    </w:div>
    <w:div w:id="2026247906">
      <w:bodyDiv w:val="1"/>
      <w:marLeft w:val="0"/>
      <w:marRight w:val="0"/>
      <w:marTop w:val="0"/>
      <w:marBottom w:val="0"/>
      <w:divBdr>
        <w:top w:val="none" w:sz="0" w:space="0" w:color="auto"/>
        <w:left w:val="none" w:sz="0" w:space="0" w:color="auto"/>
        <w:bottom w:val="none" w:sz="0" w:space="0" w:color="auto"/>
        <w:right w:val="none" w:sz="0" w:space="0" w:color="auto"/>
      </w:divBdr>
    </w:div>
    <w:div w:id="2072462925">
      <w:bodyDiv w:val="1"/>
      <w:marLeft w:val="0"/>
      <w:marRight w:val="0"/>
      <w:marTop w:val="0"/>
      <w:marBottom w:val="0"/>
      <w:divBdr>
        <w:top w:val="none" w:sz="0" w:space="0" w:color="auto"/>
        <w:left w:val="none" w:sz="0" w:space="0" w:color="auto"/>
        <w:bottom w:val="none" w:sz="0" w:space="0" w:color="auto"/>
        <w:right w:val="none" w:sz="0" w:space="0" w:color="auto"/>
      </w:divBdr>
    </w:div>
    <w:div w:id="2077318387">
      <w:bodyDiv w:val="1"/>
      <w:marLeft w:val="0"/>
      <w:marRight w:val="0"/>
      <w:marTop w:val="0"/>
      <w:marBottom w:val="0"/>
      <w:divBdr>
        <w:top w:val="none" w:sz="0" w:space="0" w:color="auto"/>
        <w:left w:val="none" w:sz="0" w:space="0" w:color="auto"/>
        <w:bottom w:val="none" w:sz="0" w:space="0" w:color="auto"/>
        <w:right w:val="none" w:sz="0" w:space="0" w:color="auto"/>
      </w:divBdr>
      <w:divsChild>
        <w:div w:id="870651185">
          <w:marLeft w:val="-720"/>
          <w:marRight w:val="0"/>
          <w:marTop w:val="0"/>
          <w:marBottom w:val="0"/>
          <w:divBdr>
            <w:top w:val="none" w:sz="0" w:space="0" w:color="auto"/>
            <w:left w:val="none" w:sz="0" w:space="0" w:color="auto"/>
            <w:bottom w:val="none" w:sz="0" w:space="0" w:color="auto"/>
            <w:right w:val="none" w:sz="0" w:space="0" w:color="auto"/>
          </w:divBdr>
        </w:div>
      </w:divsChild>
    </w:div>
    <w:div w:id="2082287674">
      <w:bodyDiv w:val="1"/>
      <w:marLeft w:val="0"/>
      <w:marRight w:val="0"/>
      <w:marTop w:val="0"/>
      <w:marBottom w:val="0"/>
      <w:divBdr>
        <w:top w:val="none" w:sz="0" w:space="0" w:color="auto"/>
        <w:left w:val="none" w:sz="0" w:space="0" w:color="auto"/>
        <w:bottom w:val="none" w:sz="0" w:space="0" w:color="auto"/>
        <w:right w:val="none" w:sz="0" w:space="0" w:color="auto"/>
      </w:divBdr>
      <w:divsChild>
        <w:div w:id="1502160298">
          <w:marLeft w:val="-720"/>
          <w:marRight w:val="0"/>
          <w:marTop w:val="0"/>
          <w:marBottom w:val="0"/>
          <w:divBdr>
            <w:top w:val="none" w:sz="0" w:space="0" w:color="auto"/>
            <w:left w:val="none" w:sz="0" w:space="0" w:color="auto"/>
            <w:bottom w:val="none" w:sz="0" w:space="0" w:color="auto"/>
            <w:right w:val="none" w:sz="0" w:space="0" w:color="auto"/>
          </w:divBdr>
        </w:div>
      </w:divsChild>
    </w:div>
    <w:div w:id="2083259997">
      <w:bodyDiv w:val="1"/>
      <w:marLeft w:val="0"/>
      <w:marRight w:val="0"/>
      <w:marTop w:val="0"/>
      <w:marBottom w:val="0"/>
      <w:divBdr>
        <w:top w:val="none" w:sz="0" w:space="0" w:color="auto"/>
        <w:left w:val="none" w:sz="0" w:space="0" w:color="auto"/>
        <w:bottom w:val="none" w:sz="0" w:space="0" w:color="auto"/>
        <w:right w:val="none" w:sz="0" w:space="0" w:color="auto"/>
      </w:divBdr>
      <w:divsChild>
        <w:div w:id="1804619524">
          <w:marLeft w:val="-720"/>
          <w:marRight w:val="0"/>
          <w:marTop w:val="0"/>
          <w:marBottom w:val="0"/>
          <w:divBdr>
            <w:top w:val="none" w:sz="0" w:space="0" w:color="auto"/>
            <w:left w:val="none" w:sz="0" w:space="0" w:color="auto"/>
            <w:bottom w:val="none" w:sz="0" w:space="0" w:color="auto"/>
            <w:right w:val="none" w:sz="0" w:space="0" w:color="auto"/>
          </w:divBdr>
        </w:div>
      </w:divsChild>
    </w:div>
    <w:div w:id="2091930205">
      <w:bodyDiv w:val="1"/>
      <w:marLeft w:val="0"/>
      <w:marRight w:val="0"/>
      <w:marTop w:val="0"/>
      <w:marBottom w:val="0"/>
      <w:divBdr>
        <w:top w:val="none" w:sz="0" w:space="0" w:color="auto"/>
        <w:left w:val="none" w:sz="0" w:space="0" w:color="auto"/>
        <w:bottom w:val="none" w:sz="0" w:space="0" w:color="auto"/>
        <w:right w:val="none" w:sz="0" w:space="0" w:color="auto"/>
      </w:divBdr>
      <w:divsChild>
        <w:div w:id="1720283814">
          <w:marLeft w:val="-720"/>
          <w:marRight w:val="0"/>
          <w:marTop w:val="0"/>
          <w:marBottom w:val="0"/>
          <w:divBdr>
            <w:top w:val="none" w:sz="0" w:space="0" w:color="auto"/>
            <w:left w:val="none" w:sz="0" w:space="0" w:color="auto"/>
            <w:bottom w:val="none" w:sz="0" w:space="0" w:color="auto"/>
            <w:right w:val="none" w:sz="0" w:space="0" w:color="auto"/>
          </w:divBdr>
        </w:div>
      </w:divsChild>
    </w:div>
    <w:div w:id="2100712585">
      <w:bodyDiv w:val="1"/>
      <w:marLeft w:val="0"/>
      <w:marRight w:val="0"/>
      <w:marTop w:val="0"/>
      <w:marBottom w:val="0"/>
      <w:divBdr>
        <w:top w:val="none" w:sz="0" w:space="0" w:color="auto"/>
        <w:left w:val="none" w:sz="0" w:space="0" w:color="auto"/>
        <w:bottom w:val="none" w:sz="0" w:space="0" w:color="auto"/>
        <w:right w:val="none" w:sz="0" w:space="0" w:color="auto"/>
      </w:divBdr>
    </w:div>
    <w:div w:id="2146073882">
      <w:bodyDiv w:val="1"/>
      <w:marLeft w:val="0"/>
      <w:marRight w:val="0"/>
      <w:marTop w:val="0"/>
      <w:marBottom w:val="0"/>
      <w:divBdr>
        <w:top w:val="none" w:sz="0" w:space="0" w:color="auto"/>
        <w:left w:val="none" w:sz="0" w:space="0" w:color="auto"/>
        <w:bottom w:val="none" w:sz="0" w:space="0" w:color="auto"/>
        <w:right w:val="none" w:sz="0" w:space="0" w:color="auto"/>
      </w:divBdr>
      <w:divsChild>
        <w:div w:id="141385301">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loomberg.com/news/articles/2019-03-14/wirecard-clears-own-executive-at-center-of-fraud-allegations" TargetMode="External"/><Relationship Id="rId18" Type="http://schemas.openxmlformats.org/officeDocument/2006/relationships/hyperlink" Target="https://mail.sevenpillarsinstitute.org/wirecard-another-fintech-fraud/" TargetMode="External"/><Relationship Id="rId26" Type="http://schemas.openxmlformats.org/officeDocument/2006/relationships/hyperlink" Target="https://www.ft.com/content/ac949729-6167-4b6c-ac3f-f0aa71aca193" TargetMode="External"/><Relationship Id="rId39" Type="http://schemas.openxmlformats.org/officeDocument/2006/relationships/hyperlink" Target="https://www.apasbafa.bund.de/APAS/DE/Die_APAS/die_apas_node.html" TargetMode="External"/><Relationship Id="rId21" Type="http://schemas.openxmlformats.org/officeDocument/2006/relationships/diagramQuickStyle" Target="diagrams/quickStyle1.xml"/><Relationship Id="rId34" Type="http://schemas.openxmlformats.org/officeDocument/2006/relationships/hyperlink" Target="https://www.ft.com/content/0288d7b1-1e52-4a3d-a9e1-6850afae0d26" TargetMode="External"/><Relationship Id="rId42" Type="http://schemas.openxmlformats.org/officeDocument/2006/relationships/hyperlink" Target="https://www.researchgate.net/publication/352778018_Wirecard_collapse_Ernst_Young_audit_failure_and_Investigative_Journalism_of_Dan_McCrum" TargetMode="External"/><Relationship Id="rId47" Type="http://schemas.microsoft.com/office/2007/relationships/diagramDrawing" Target="diagrams/drawing2.xml"/><Relationship Id="rId50" Type="http://schemas.openxmlformats.org/officeDocument/2006/relationships/diagramLayout" Target="diagrams/layout3.xml"/><Relationship Id="rId55"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ipedia.org/wiki/Markus_Braun" TargetMode="External"/><Relationship Id="rId29" Type="http://schemas.openxmlformats.org/officeDocument/2006/relationships/hyperlink" Target="https://leap.luiss.it/wp-content/uploads/2022/09/WP5.21-The-Wirecard-scandal-and-the-role-of-Bafin.pdf" TargetMode="External"/><Relationship Id="rId11" Type="http://schemas.openxmlformats.org/officeDocument/2006/relationships/hyperlink" Target="https://www.coventry.ac.uk/london/legal-documents/general-regulations/" TargetMode="External"/><Relationship Id="rId24" Type="http://schemas.openxmlformats.org/officeDocument/2006/relationships/hyperlink" Target="mailto:https://www.ft.com/content/284fb1ad-ddc0-45df-a075-0709b36868db?subject=Timeline%20of%20Wirecard" TargetMode="External"/><Relationship Id="rId32" Type="http://schemas.openxmlformats.org/officeDocument/2006/relationships/hyperlink" Target="https://www.linkedin.com/in/pavgill/?originalSubdomain=sg" TargetMode="External"/><Relationship Id="rId37" Type="http://schemas.openxmlformats.org/officeDocument/2006/relationships/hyperlink" Target="https://www.ft.com/content/a9deb987-df70-4a72-bd41-47ed8942e83b" TargetMode="External"/><Relationship Id="rId40" Type="http://schemas.openxmlformats.org/officeDocument/2006/relationships/hyperlink" Target="https://www.ft.com/content/abd89375-3fa1-4457-abd6-b3e3231ba339" TargetMode="External"/><Relationship Id="rId45" Type="http://schemas.openxmlformats.org/officeDocument/2006/relationships/diagramQuickStyle" Target="diagrams/quickStyle2.xml"/><Relationship Id="rId53" Type="http://schemas.microsoft.com/office/2007/relationships/diagramDrawing" Target="diagrams/drawing3.xm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pringerprofessional.de/en/international-cases-of-corporate-governance/23501356" TargetMode="External"/><Relationship Id="rId22" Type="http://schemas.openxmlformats.org/officeDocument/2006/relationships/diagramColors" Target="diagrams/colors1.xml"/><Relationship Id="rId27" Type="http://schemas.openxmlformats.org/officeDocument/2006/relationships/hyperlink" Target="https://papers.ssrn.com/sol3/papers.cfm?abstract_id=4313820" TargetMode="External"/><Relationship Id="rId30" Type="http://schemas.openxmlformats.org/officeDocument/2006/relationships/hyperlink" Target="https://www.econstor.eu/handle/10419/226215" TargetMode="External"/><Relationship Id="rId35" Type="http://schemas.openxmlformats.org/officeDocument/2006/relationships/hyperlink" Target="https://www.ft.com/content/abd89375-3fa1-4457-abd6-b3e3231ba339" TargetMode="External"/><Relationship Id="rId43" Type="http://schemas.openxmlformats.org/officeDocument/2006/relationships/diagramData" Target="diagrams/data2.xml"/><Relationship Id="rId48" Type="http://schemas.openxmlformats.org/officeDocument/2006/relationships/hyperlink" Target="mailto:https://www.ft.com/content/284fb1ad-ddc0-45df-a075-0709b36868db?subject=Timeline%20of%20Wirecard"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diagramQuickStyle" Target="diagrams/quickStyle3.xml"/><Relationship Id="rId3" Type="http://schemas.openxmlformats.org/officeDocument/2006/relationships/numbering" Target="numbering.xml"/><Relationship Id="rId12" Type="http://schemas.openxmlformats.org/officeDocument/2006/relationships/image" Target="media/image2.jpg"/><Relationship Id="rId17" Type="http://schemas.openxmlformats.org/officeDocument/2006/relationships/hyperlink" Target="https://www.practicalecommerce.com/the-wirecard-fiasco-digital-payments-gone-wrong" TargetMode="External"/><Relationship Id="rId25" Type="http://schemas.openxmlformats.org/officeDocument/2006/relationships/hyperlink" Target="https://x.com/FD" TargetMode="External"/><Relationship Id="rId33" Type="http://schemas.openxmlformats.org/officeDocument/2006/relationships/hyperlink" Target="https://www.ft.com/content/1d74221e-1321-4f8c-9ca9-a4371629f178" TargetMode="External"/><Relationship Id="rId38" Type="http://schemas.openxmlformats.org/officeDocument/2006/relationships/hyperlink" Target="https://www.ft.com/content/db9fa3d7-11da-476e-beea-d5ed0ad137ed" TargetMode="External"/><Relationship Id="rId46" Type="http://schemas.openxmlformats.org/officeDocument/2006/relationships/diagramColors" Target="diagrams/colors2.xml"/><Relationship Id="rId59" Type="http://schemas.openxmlformats.org/officeDocument/2006/relationships/theme" Target="theme/theme1.xml"/><Relationship Id="rId20" Type="http://schemas.openxmlformats.org/officeDocument/2006/relationships/diagramLayout" Target="diagrams/layout1.xml"/><Relationship Id="rId41" Type="http://schemas.openxmlformats.org/officeDocument/2006/relationships/hyperlink" Target="https://www.researchgate.net/publication/369061081_Wirecard_scandal_A_commentary_on_the_biggest_accounting_fraud_in_Germany's_post-war_history" TargetMode="External"/><Relationship Id="rId54" Type="http://schemas.openxmlformats.org/officeDocument/2006/relationships/hyperlink" Target="https://www.iaasb.org/publications/2022-handbook-international-quality-management-auditing-review-other-assurance-and-related-service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mailto:https://www.ft.com/content/284fb1ad-ddc0-45df-a075-0709b36868db?subject=Timeline%20of%20Wirecard" TargetMode="External"/><Relationship Id="rId23" Type="http://schemas.microsoft.com/office/2007/relationships/diagramDrawing" Target="diagrams/drawing1.xml"/><Relationship Id="rId28" Type="http://schemas.openxmlformats.org/officeDocument/2006/relationships/hyperlink" Target="https://papers.ssrn.com/sol3/papers.cfm?abstract_id=4313820" TargetMode="External"/><Relationship Id="rId36" Type="http://schemas.openxmlformats.org/officeDocument/2006/relationships/hyperlink" Target="https://www.ft.com/content/abd89375-3fa1-4457-abd6-b3e3231ba339" TargetMode="External"/><Relationship Id="rId49" Type="http://schemas.openxmlformats.org/officeDocument/2006/relationships/diagramData" Target="diagrams/data3.xml"/><Relationship Id="rId57" Type="http://schemas.openxmlformats.org/officeDocument/2006/relationships/footer" Target="footer2.xml"/><Relationship Id="rId10" Type="http://schemas.openxmlformats.org/officeDocument/2006/relationships/hyperlink" Target="https://livecoventryac.sharepoint.com/sites/students-london-registry/SitePages/Academic-Integrity.aspx?csf=1&amp;web=1&amp;e=hgcJhm" TargetMode="External"/><Relationship Id="rId31" Type="http://schemas.openxmlformats.org/officeDocument/2006/relationships/hyperlink" Target="10.4236/me.2021.129072" TargetMode="External"/><Relationship Id="rId44" Type="http://schemas.openxmlformats.org/officeDocument/2006/relationships/diagramLayout" Target="diagrams/layout2.xml"/><Relationship Id="rId5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2137C2-89F4-AB40-B791-C3A51906DC94}" type="doc">
      <dgm:prSet loTypeId="urn:microsoft.com/office/officeart/2009/3/layout/DescendingProcess" loCatId="" qsTypeId="urn:microsoft.com/office/officeart/2005/8/quickstyle/simple1" qsCatId="simple" csTypeId="urn:microsoft.com/office/officeart/2005/8/colors/colorful2" csCatId="colorful" phldr="1"/>
      <dgm:spPr/>
      <dgm:t>
        <a:bodyPr/>
        <a:lstStyle/>
        <a:p>
          <a:endParaRPr lang="en-GB"/>
        </a:p>
      </dgm:t>
    </dgm:pt>
    <dgm:pt modelId="{4DD55949-B5A9-3D42-82D8-CC33EEBFD8AE}">
      <dgm:prSet/>
      <dgm:spPr/>
      <dgm:t>
        <a:bodyPr/>
        <a:lstStyle/>
        <a:p>
          <a:r>
            <a:rPr lang="en-GB"/>
            <a:t>Oct 2018</a:t>
          </a:r>
        </a:p>
      </dgm:t>
    </dgm:pt>
    <dgm:pt modelId="{343B0B47-7CD9-C143-83CE-5F520C85FBB3}" type="parTrans" cxnId="{5200D81D-DD49-7E4B-934C-86B1CA1C3664}">
      <dgm:prSet/>
      <dgm:spPr/>
      <dgm:t>
        <a:bodyPr/>
        <a:lstStyle/>
        <a:p>
          <a:endParaRPr lang="en-GB"/>
        </a:p>
      </dgm:t>
    </dgm:pt>
    <dgm:pt modelId="{7261A60C-9550-174E-A6B0-1AF14E16D33D}" type="sibTrans" cxnId="{5200D81D-DD49-7E4B-934C-86B1CA1C3664}">
      <dgm:prSet/>
      <dgm:spPr/>
      <dgm:t>
        <a:bodyPr/>
        <a:lstStyle/>
        <a:p>
          <a:endParaRPr lang="en-GB"/>
        </a:p>
      </dgm:t>
    </dgm:pt>
    <dgm:pt modelId="{620A3157-E0D4-1145-8D4B-C1D8D70BF24A}">
      <dgm:prSet/>
      <dgm:spPr/>
      <dgm:t>
        <a:bodyPr/>
        <a:lstStyle/>
        <a:p>
          <a:r>
            <a:rPr lang="en-GB"/>
            <a:t>Oct 2019</a:t>
          </a:r>
        </a:p>
      </dgm:t>
    </dgm:pt>
    <dgm:pt modelId="{44450BA5-3498-7C49-9188-26FA172A9B9C}" type="parTrans" cxnId="{4A481A6A-EE8F-C24A-8088-146CEF2B04FE}">
      <dgm:prSet/>
      <dgm:spPr/>
      <dgm:t>
        <a:bodyPr/>
        <a:lstStyle/>
        <a:p>
          <a:endParaRPr lang="en-GB"/>
        </a:p>
      </dgm:t>
    </dgm:pt>
    <dgm:pt modelId="{C8DE4CCB-9D78-3846-BE5C-97A4A8DE90BE}" type="sibTrans" cxnId="{4A481A6A-EE8F-C24A-8088-146CEF2B04FE}">
      <dgm:prSet/>
      <dgm:spPr/>
      <dgm:t>
        <a:bodyPr/>
        <a:lstStyle/>
        <a:p>
          <a:endParaRPr lang="en-GB"/>
        </a:p>
      </dgm:t>
    </dgm:pt>
    <dgm:pt modelId="{2B226166-B852-224A-9596-035F1BCD1ADB}">
      <dgm:prSet/>
      <dgm:spPr/>
      <dgm:t>
        <a:bodyPr/>
        <a:lstStyle/>
        <a:p>
          <a:r>
            <a:rPr lang="en-GB"/>
            <a:t>Apr 28 2020</a:t>
          </a:r>
        </a:p>
      </dgm:t>
    </dgm:pt>
    <dgm:pt modelId="{74D92868-6A66-FF42-96C6-882AFEDA35C0}" type="parTrans" cxnId="{76A3B16F-3875-1745-B58D-5AFA3356FC52}">
      <dgm:prSet/>
      <dgm:spPr/>
      <dgm:t>
        <a:bodyPr/>
        <a:lstStyle/>
        <a:p>
          <a:endParaRPr lang="en-GB"/>
        </a:p>
      </dgm:t>
    </dgm:pt>
    <dgm:pt modelId="{78EED34A-DE82-2D41-9FA1-EF12416A267F}" type="sibTrans" cxnId="{76A3B16F-3875-1745-B58D-5AFA3356FC52}">
      <dgm:prSet/>
      <dgm:spPr/>
      <dgm:t>
        <a:bodyPr/>
        <a:lstStyle/>
        <a:p>
          <a:endParaRPr lang="en-GB"/>
        </a:p>
      </dgm:t>
    </dgm:pt>
    <dgm:pt modelId="{DA072C1E-E2D3-8E49-9254-CE895A2ED462}">
      <dgm:prSet/>
      <dgm:spPr/>
      <dgm:t>
        <a:bodyPr/>
        <a:lstStyle/>
        <a:p>
          <a:r>
            <a:rPr lang="en-GB"/>
            <a:t>June 18, 2020</a:t>
          </a:r>
        </a:p>
      </dgm:t>
    </dgm:pt>
    <dgm:pt modelId="{71589942-395F-014A-9B63-702B4723F857}" type="parTrans" cxnId="{4F80066F-4829-F144-B268-999E710F31E6}">
      <dgm:prSet/>
      <dgm:spPr/>
      <dgm:t>
        <a:bodyPr/>
        <a:lstStyle/>
        <a:p>
          <a:endParaRPr lang="en-GB"/>
        </a:p>
      </dgm:t>
    </dgm:pt>
    <dgm:pt modelId="{A539FCAF-A003-0E40-8877-6A7D46B77DDB}" type="sibTrans" cxnId="{4F80066F-4829-F144-B268-999E710F31E6}">
      <dgm:prSet/>
      <dgm:spPr/>
      <dgm:t>
        <a:bodyPr/>
        <a:lstStyle/>
        <a:p>
          <a:endParaRPr lang="en-GB"/>
        </a:p>
      </dgm:t>
    </dgm:pt>
    <dgm:pt modelId="{E010CFE2-927A-584D-9B27-4CC792FDF0D4}">
      <dgm:prSet/>
      <dgm:spPr/>
      <dgm:t>
        <a:bodyPr/>
        <a:lstStyle/>
        <a:p>
          <a:r>
            <a:rPr lang="en-GB"/>
            <a:t>June 22, 2020</a:t>
          </a:r>
        </a:p>
      </dgm:t>
    </dgm:pt>
    <dgm:pt modelId="{2F956A96-ADC8-9744-8649-6B24A4AB9AB9}" type="parTrans" cxnId="{B28EDB3A-9EAE-D84F-AF7B-D8EFE28E64B2}">
      <dgm:prSet/>
      <dgm:spPr/>
      <dgm:t>
        <a:bodyPr/>
        <a:lstStyle/>
        <a:p>
          <a:endParaRPr lang="en-GB"/>
        </a:p>
      </dgm:t>
    </dgm:pt>
    <dgm:pt modelId="{D3F7EB68-A50A-1445-A566-E5C89A5DC158}" type="sibTrans" cxnId="{B28EDB3A-9EAE-D84F-AF7B-D8EFE28E64B2}">
      <dgm:prSet/>
      <dgm:spPr/>
      <dgm:t>
        <a:bodyPr/>
        <a:lstStyle/>
        <a:p>
          <a:endParaRPr lang="en-GB"/>
        </a:p>
      </dgm:t>
    </dgm:pt>
    <dgm:pt modelId="{86C039A8-4C82-F848-BEB9-D061A70D6A29}">
      <dgm:prSet/>
      <dgm:spPr/>
      <dgm:t>
        <a:bodyPr/>
        <a:lstStyle/>
        <a:p>
          <a:r>
            <a:rPr lang="en-GB"/>
            <a:t>June 25, 2020</a:t>
          </a:r>
        </a:p>
      </dgm:t>
    </dgm:pt>
    <dgm:pt modelId="{B65DFC5A-324A-4743-967E-59EC7787D7FF}" type="parTrans" cxnId="{5688176D-4A3C-E941-98C3-C3EC8AAF48AC}">
      <dgm:prSet/>
      <dgm:spPr/>
      <dgm:t>
        <a:bodyPr/>
        <a:lstStyle/>
        <a:p>
          <a:endParaRPr lang="en-GB"/>
        </a:p>
      </dgm:t>
    </dgm:pt>
    <dgm:pt modelId="{CFF5120B-03CE-A34A-BADB-7FC730B0FA21}" type="sibTrans" cxnId="{5688176D-4A3C-E941-98C3-C3EC8AAF48AC}">
      <dgm:prSet/>
      <dgm:spPr/>
      <dgm:t>
        <a:bodyPr/>
        <a:lstStyle/>
        <a:p>
          <a:endParaRPr lang="en-GB"/>
        </a:p>
      </dgm:t>
    </dgm:pt>
    <dgm:pt modelId="{7ABD220F-03C9-DB4C-A079-F3F8C056DED8}">
      <dgm:prSet/>
      <dgm:spPr/>
      <dgm:t>
        <a:bodyPr/>
        <a:lstStyle/>
        <a:p>
          <a:r>
            <a:rPr lang="en-GB"/>
            <a:t>2017</a:t>
          </a:r>
        </a:p>
      </dgm:t>
    </dgm:pt>
    <dgm:pt modelId="{C0155043-08F5-4446-BD0A-BDB46FDA6481}" type="parTrans" cxnId="{C32B4B97-6F0A-9948-91B3-4D062E1E6876}">
      <dgm:prSet/>
      <dgm:spPr/>
      <dgm:t>
        <a:bodyPr/>
        <a:lstStyle/>
        <a:p>
          <a:endParaRPr lang="en-GB"/>
        </a:p>
      </dgm:t>
    </dgm:pt>
    <dgm:pt modelId="{BCED6B82-CACD-694E-82D3-5D6D9C4E09F2}" type="sibTrans" cxnId="{C32B4B97-6F0A-9948-91B3-4D062E1E6876}">
      <dgm:prSet/>
      <dgm:spPr/>
      <dgm:t>
        <a:bodyPr/>
        <a:lstStyle/>
        <a:p>
          <a:endParaRPr lang="en-GB"/>
        </a:p>
      </dgm:t>
    </dgm:pt>
    <dgm:pt modelId="{13AE0D2F-AB13-6D4E-9061-B7101E5F3018}" type="pres">
      <dgm:prSet presAssocID="{132137C2-89F4-AB40-B791-C3A51906DC94}" presName="Name0" presStyleCnt="0">
        <dgm:presLayoutVars>
          <dgm:chMax val="7"/>
          <dgm:chPref val="5"/>
        </dgm:presLayoutVars>
      </dgm:prSet>
      <dgm:spPr/>
    </dgm:pt>
    <dgm:pt modelId="{FD21281D-61F5-4F4E-93BB-2841FE6A7EAC}" type="pres">
      <dgm:prSet presAssocID="{132137C2-89F4-AB40-B791-C3A51906DC94}" presName="arrowNode" presStyleLbl="node1" presStyleIdx="0" presStyleCnt="1"/>
      <dgm:spPr/>
    </dgm:pt>
    <dgm:pt modelId="{1425DDF0-9E66-FC43-8C9D-07A4EA6E5033}" type="pres">
      <dgm:prSet presAssocID="{7ABD220F-03C9-DB4C-A079-F3F8C056DED8}" presName="txNode1" presStyleLbl="revTx" presStyleIdx="0" presStyleCnt="7">
        <dgm:presLayoutVars>
          <dgm:bulletEnabled val="1"/>
        </dgm:presLayoutVars>
      </dgm:prSet>
      <dgm:spPr/>
    </dgm:pt>
    <dgm:pt modelId="{FBD88287-62C0-A54E-B78F-D9E453D93752}" type="pres">
      <dgm:prSet presAssocID="{4DD55949-B5A9-3D42-82D8-CC33EEBFD8AE}" presName="txNode2" presStyleLbl="revTx" presStyleIdx="1" presStyleCnt="7">
        <dgm:presLayoutVars>
          <dgm:bulletEnabled val="1"/>
        </dgm:presLayoutVars>
      </dgm:prSet>
      <dgm:spPr/>
    </dgm:pt>
    <dgm:pt modelId="{B51F0FDE-345B-0B4E-9781-DC6C57D025FB}" type="pres">
      <dgm:prSet presAssocID="{7261A60C-9550-174E-A6B0-1AF14E16D33D}" presName="dotNode2" presStyleCnt="0"/>
      <dgm:spPr/>
    </dgm:pt>
    <dgm:pt modelId="{DA62824D-50C6-0E47-AFD1-25A48E75B6EA}" type="pres">
      <dgm:prSet presAssocID="{7261A60C-9550-174E-A6B0-1AF14E16D33D}" presName="dotRepeatNode" presStyleLbl="fgShp" presStyleIdx="0" presStyleCnt="5"/>
      <dgm:spPr/>
    </dgm:pt>
    <dgm:pt modelId="{7CC05252-F433-1E41-B261-950CB83FCF0F}" type="pres">
      <dgm:prSet presAssocID="{620A3157-E0D4-1145-8D4B-C1D8D70BF24A}" presName="txNode3" presStyleLbl="revTx" presStyleIdx="2" presStyleCnt="7">
        <dgm:presLayoutVars>
          <dgm:bulletEnabled val="1"/>
        </dgm:presLayoutVars>
      </dgm:prSet>
      <dgm:spPr/>
    </dgm:pt>
    <dgm:pt modelId="{6FEAB055-2DC7-7D43-8786-57B6229DA5A7}" type="pres">
      <dgm:prSet presAssocID="{C8DE4CCB-9D78-3846-BE5C-97A4A8DE90BE}" presName="dotNode3" presStyleCnt="0"/>
      <dgm:spPr/>
    </dgm:pt>
    <dgm:pt modelId="{F43D9D9E-17D6-AE4E-901C-6F7B8AF0CB4A}" type="pres">
      <dgm:prSet presAssocID="{C8DE4CCB-9D78-3846-BE5C-97A4A8DE90BE}" presName="dotRepeatNode" presStyleLbl="fgShp" presStyleIdx="1" presStyleCnt="5"/>
      <dgm:spPr/>
    </dgm:pt>
    <dgm:pt modelId="{A2C7F3A7-EC8F-0C46-B694-EE98473C7E1F}" type="pres">
      <dgm:prSet presAssocID="{2B226166-B852-224A-9596-035F1BCD1ADB}" presName="txNode4" presStyleLbl="revTx" presStyleIdx="3" presStyleCnt="7">
        <dgm:presLayoutVars>
          <dgm:bulletEnabled val="1"/>
        </dgm:presLayoutVars>
      </dgm:prSet>
      <dgm:spPr/>
    </dgm:pt>
    <dgm:pt modelId="{5B3DA943-F1B7-6542-AF16-73DC100B91CF}" type="pres">
      <dgm:prSet presAssocID="{78EED34A-DE82-2D41-9FA1-EF12416A267F}" presName="dotNode4" presStyleCnt="0"/>
      <dgm:spPr/>
    </dgm:pt>
    <dgm:pt modelId="{0AEE32E7-1AF6-D842-A32C-F137F54A3F0D}" type="pres">
      <dgm:prSet presAssocID="{78EED34A-DE82-2D41-9FA1-EF12416A267F}" presName="dotRepeatNode" presStyleLbl="fgShp" presStyleIdx="2" presStyleCnt="5"/>
      <dgm:spPr/>
    </dgm:pt>
    <dgm:pt modelId="{63CA48B1-1365-C242-A809-E68101788EA1}" type="pres">
      <dgm:prSet presAssocID="{DA072C1E-E2D3-8E49-9254-CE895A2ED462}" presName="txNode5" presStyleLbl="revTx" presStyleIdx="4" presStyleCnt="7">
        <dgm:presLayoutVars>
          <dgm:bulletEnabled val="1"/>
        </dgm:presLayoutVars>
      </dgm:prSet>
      <dgm:spPr/>
    </dgm:pt>
    <dgm:pt modelId="{46BF5E0E-E72F-D143-A2BB-85C8B619C730}" type="pres">
      <dgm:prSet presAssocID="{A539FCAF-A003-0E40-8877-6A7D46B77DDB}" presName="dotNode5" presStyleCnt="0"/>
      <dgm:spPr/>
    </dgm:pt>
    <dgm:pt modelId="{9C7CDCCA-F38D-6646-BA07-CDC80EE4CF03}" type="pres">
      <dgm:prSet presAssocID="{A539FCAF-A003-0E40-8877-6A7D46B77DDB}" presName="dotRepeatNode" presStyleLbl="fgShp" presStyleIdx="3" presStyleCnt="5"/>
      <dgm:spPr/>
    </dgm:pt>
    <dgm:pt modelId="{CDBC7A54-BA5C-474D-B39A-94D182A64AE2}" type="pres">
      <dgm:prSet presAssocID="{E010CFE2-927A-584D-9B27-4CC792FDF0D4}" presName="txNode6" presStyleLbl="revTx" presStyleIdx="5" presStyleCnt="7">
        <dgm:presLayoutVars>
          <dgm:bulletEnabled val="1"/>
        </dgm:presLayoutVars>
      </dgm:prSet>
      <dgm:spPr/>
    </dgm:pt>
    <dgm:pt modelId="{751A101D-8D12-024D-818D-D4CC35748C7F}" type="pres">
      <dgm:prSet presAssocID="{D3F7EB68-A50A-1445-A566-E5C89A5DC158}" presName="dotNode6" presStyleCnt="0"/>
      <dgm:spPr/>
    </dgm:pt>
    <dgm:pt modelId="{93853E91-EA8C-7D42-8B78-CAB8C3E87FB3}" type="pres">
      <dgm:prSet presAssocID="{D3F7EB68-A50A-1445-A566-E5C89A5DC158}" presName="dotRepeatNode" presStyleLbl="fgShp" presStyleIdx="4" presStyleCnt="5"/>
      <dgm:spPr/>
    </dgm:pt>
    <dgm:pt modelId="{E79B42F7-6258-F143-BB86-35B86157E9C4}" type="pres">
      <dgm:prSet presAssocID="{86C039A8-4C82-F848-BEB9-D061A70D6A29}" presName="txNode7" presStyleLbl="revTx" presStyleIdx="6" presStyleCnt="7">
        <dgm:presLayoutVars>
          <dgm:bulletEnabled val="1"/>
        </dgm:presLayoutVars>
      </dgm:prSet>
      <dgm:spPr/>
    </dgm:pt>
  </dgm:ptLst>
  <dgm:cxnLst>
    <dgm:cxn modelId="{5200D81D-DD49-7E4B-934C-86B1CA1C3664}" srcId="{132137C2-89F4-AB40-B791-C3A51906DC94}" destId="{4DD55949-B5A9-3D42-82D8-CC33EEBFD8AE}" srcOrd="1" destOrd="0" parTransId="{343B0B47-7CD9-C143-83CE-5F520C85FBB3}" sibTransId="{7261A60C-9550-174E-A6B0-1AF14E16D33D}"/>
    <dgm:cxn modelId="{7B82E030-342E-FA46-A4EF-34263EACD491}" type="presOf" srcId="{A539FCAF-A003-0E40-8877-6A7D46B77DDB}" destId="{9C7CDCCA-F38D-6646-BA07-CDC80EE4CF03}" srcOrd="0" destOrd="0" presId="urn:microsoft.com/office/officeart/2009/3/layout/DescendingProcess"/>
    <dgm:cxn modelId="{52490333-5477-654D-A6E8-25E85330D16E}" type="presOf" srcId="{620A3157-E0D4-1145-8D4B-C1D8D70BF24A}" destId="{7CC05252-F433-1E41-B261-950CB83FCF0F}" srcOrd="0" destOrd="0" presId="urn:microsoft.com/office/officeart/2009/3/layout/DescendingProcess"/>
    <dgm:cxn modelId="{6AD66138-2A7A-5543-BE65-3E89D961BC79}" type="presOf" srcId="{86C039A8-4C82-F848-BEB9-D061A70D6A29}" destId="{E79B42F7-6258-F143-BB86-35B86157E9C4}" srcOrd="0" destOrd="0" presId="urn:microsoft.com/office/officeart/2009/3/layout/DescendingProcess"/>
    <dgm:cxn modelId="{B28EDB3A-9EAE-D84F-AF7B-D8EFE28E64B2}" srcId="{132137C2-89F4-AB40-B791-C3A51906DC94}" destId="{E010CFE2-927A-584D-9B27-4CC792FDF0D4}" srcOrd="5" destOrd="0" parTransId="{2F956A96-ADC8-9744-8649-6B24A4AB9AB9}" sibTransId="{D3F7EB68-A50A-1445-A566-E5C89A5DC158}"/>
    <dgm:cxn modelId="{7D373954-5233-5341-AD46-3684DB678BAE}" type="presOf" srcId="{78EED34A-DE82-2D41-9FA1-EF12416A267F}" destId="{0AEE32E7-1AF6-D842-A32C-F137F54A3F0D}" srcOrd="0" destOrd="0" presId="urn:microsoft.com/office/officeart/2009/3/layout/DescendingProcess"/>
    <dgm:cxn modelId="{08E29058-EC0F-1C4B-876A-736B6705FDB0}" type="presOf" srcId="{DA072C1E-E2D3-8E49-9254-CE895A2ED462}" destId="{63CA48B1-1365-C242-A809-E68101788EA1}" srcOrd="0" destOrd="0" presId="urn:microsoft.com/office/officeart/2009/3/layout/DescendingProcess"/>
    <dgm:cxn modelId="{4A481A6A-EE8F-C24A-8088-146CEF2B04FE}" srcId="{132137C2-89F4-AB40-B791-C3A51906DC94}" destId="{620A3157-E0D4-1145-8D4B-C1D8D70BF24A}" srcOrd="2" destOrd="0" parTransId="{44450BA5-3498-7C49-9188-26FA172A9B9C}" sibTransId="{C8DE4CCB-9D78-3846-BE5C-97A4A8DE90BE}"/>
    <dgm:cxn modelId="{1DB9AB6B-E455-A74B-A877-EFBEB41E5E27}" type="presOf" srcId="{2B226166-B852-224A-9596-035F1BCD1ADB}" destId="{A2C7F3A7-EC8F-0C46-B694-EE98473C7E1F}" srcOrd="0" destOrd="0" presId="urn:microsoft.com/office/officeart/2009/3/layout/DescendingProcess"/>
    <dgm:cxn modelId="{5688176D-4A3C-E941-98C3-C3EC8AAF48AC}" srcId="{132137C2-89F4-AB40-B791-C3A51906DC94}" destId="{86C039A8-4C82-F848-BEB9-D061A70D6A29}" srcOrd="6" destOrd="0" parTransId="{B65DFC5A-324A-4743-967E-59EC7787D7FF}" sibTransId="{CFF5120B-03CE-A34A-BADB-7FC730B0FA21}"/>
    <dgm:cxn modelId="{4F80066F-4829-F144-B268-999E710F31E6}" srcId="{132137C2-89F4-AB40-B791-C3A51906DC94}" destId="{DA072C1E-E2D3-8E49-9254-CE895A2ED462}" srcOrd="4" destOrd="0" parTransId="{71589942-395F-014A-9B63-702B4723F857}" sibTransId="{A539FCAF-A003-0E40-8877-6A7D46B77DDB}"/>
    <dgm:cxn modelId="{76A3B16F-3875-1745-B58D-5AFA3356FC52}" srcId="{132137C2-89F4-AB40-B791-C3A51906DC94}" destId="{2B226166-B852-224A-9596-035F1BCD1ADB}" srcOrd="3" destOrd="0" parTransId="{74D92868-6A66-FF42-96C6-882AFEDA35C0}" sibTransId="{78EED34A-DE82-2D41-9FA1-EF12416A267F}"/>
    <dgm:cxn modelId="{D0C1687A-CABA-6640-BA8B-9EDEAC8C24BE}" type="presOf" srcId="{7ABD220F-03C9-DB4C-A079-F3F8C056DED8}" destId="{1425DDF0-9E66-FC43-8C9D-07A4EA6E5033}" srcOrd="0" destOrd="0" presId="urn:microsoft.com/office/officeart/2009/3/layout/DescendingProcess"/>
    <dgm:cxn modelId="{8476E27F-699D-A84C-AA52-8C79115D2FA4}" type="presOf" srcId="{D3F7EB68-A50A-1445-A566-E5C89A5DC158}" destId="{93853E91-EA8C-7D42-8B78-CAB8C3E87FB3}" srcOrd="0" destOrd="0" presId="urn:microsoft.com/office/officeart/2009/3/layout/DescendingProcess"/>
    <dgm:cxn modelId="{C32B4B97-6F0A-9948-91B3-4D062E1E6876}" srcId="{132137C2-89F4-AB40-B791-C3A51906DC94}" destId="{7ABD220F-03C9-DB4C-A079-F3F8C056DED8}" srcOrd="0" destOrd="0" parTransId="{C0155043-08F5-4446-BD0A-BDB46FDA6481}" sibTransId="{BCED6B82-CACD-694E-82D3-5D6D9C4E09F2}"/>
    <dgm:cxn modelId="{FA52FB9B-576B-F541-92B1-110A1C0E73AD}" type="presOf" srcId="{4DD55949-B5A9-3D42-82D8-CC33EEBFD8AE}" destId="{FBD88287-62C0-A54E-B78F-D9E453D93752}" srcOrd="0" destOrd="0" presId="urn:microsoft.com/office/officeart/2009/3/layout/DescendingProcess"/>
    <dgm:cxn modelId="{1F78EFCD-3DAA-2A43-9360-DB932F681B14}" type="presOf" srcId="{7261A60C-9550-174E-A6B0-1AF14E16D33D}" destId="{DA62824D-50C6-0E47-AFD1-25A48E75B6EA}" srcOrd="0" destOrd="0" presId="urn:microsoft.com/office/officeart/2009/3/layout/DescendingProcess"/>
    <dgm:cxn modelId="{A21789DC-6FAF-D248-893A-1AB305EC8A62}" type="presOf" srcId="{E010CFE2-927A-584D-9B27-4CC792FDF0D4}" destId="{CDBC7A54-BA5C-474D-B39A-94D182A64AE2}" srcOrd="0" destOrd="0" presId="urn:microsoft.com/office/officeart/2009/3/layout/DescendingProcess"/>
    <dgm:cxn modelId="{DE3CAAED-16B4-EE47-BD7F-F554410D8526}" type="presOf" srcId="{132137C2-89F4-AB40-B791-C3A51906DC94}" destId="{13AE0D2F-AB13-6D4E-9061-B7101E5F3018}" srcOrd="0" destOrd="0" presId="urn:microsoft.com/office/officeart/2009/3/layout/DescendingProcess"/>
    <dgm:cxn modelId="{483AFAF2-7DF3-514A-8E22-39163C39683B}" type="presOf" srcId="{C8DE4CCB-9D78-3846-BE5C-97A4A8DE90BE}" destId="{F43D9D9E-17D6-AE4E-901C-6F7B8AF0CB4A}" srcOrd="0" destOrd="0" presId="urn:microsoft.com/office/officeart/2009/3/layout/DescendingProcess"/>
    <dgm:cxn modelId="{F8C1CEEB-A711-AD40-A91B-3EA3E4EAC863}" type="presParOf" srcId="{13AE0D2F-AB13-6D4E-9061-B7101E5F3018}" destId="{FD21281D-61F5-4F4E-93BB-2841FE6A7EAC}" srcOrd="0" destOrd="0" presId="urn:microsoft.com/office/officeart/2009/3/layout/DescendingProcess"/>
    <dgm:cxn modelId="{32DF3F6D-3807-414B-9250-DA41B4220D47}" type="presParOf" srcId="{13AE0D2F-AB13-6D4E-9061-B7101E5F3018}" destId="{1425DDF0-9E66-FC43-8C9D-07A4EA6E5033}" srcOrd="1" destOrd="0" presId="urn:microsoft.com/office/officeart/2009/3/layout/DescendingProcess"/>
    <dgm:cxn modelId="{DE25DBB3-1879-3F47-9EDE-B178AB5EEAA6}" type="presParOf" srcId="{13AE0D2F-AB13-6D4E-9061-B7101E5F3018}" destId="{FBD88287-62C0-A54E-B78F-D9E453D93752}" srcOrd="2" destOrd="0" presId="urn:microsoft.com/office/officeart/2009/3/layout/DescendingProcess"/>
    <dgm:cxn modelId="{9CCBD8B7-E453-1840-8103-32E573BBAA79}" type="presParOf" srcId="{13AE0D2F-AB13-6D4E-9061-B7101E5F3018}" destId="{B51F0FDE-345B-0B4E-9781-DC6C57D025FB}" srcOrd="3" destOrd="0" presId="urn:microsoft.com/office/officeart/2009/3/layout/DescendingProcess"/>
    <dgm:cxn modelId="{44D6EB56-6DA5-2A49-A639-2B3CFBC257F7}" type="presParOf" srcId="{B51F0FDE-345B-0B4E-9781-DC6C57D025FB}" destId="{DA62824D-50C6-0E47-AFD1-25A48E75B6EA}" srcOrd="0" destOrd="0" presId="urn:microsoft.com/office/officeart/2009/3/layout/DescendingProcess"/>
    <dgm:cxn modelId="{DA8D2BE6-8744-E742-BF41-2FA13896DF6F}" type="presParOf" srcId="{13AE0D2F-AB13-6D4E-9061-B7101E5F3018}" destId="{7CC05252-F433-1E41-B261-950CB83FCF0F}" srcOrd="4" destOrd="0" presId="urn:microsoft.com/office/officeart/2009/3/layout/DescendingProcess"/>
    <dgm:cxn modelId="{0424683A-CE87-0C45-B43D-B070A28A129B}" type="presParOf" srcId="{13AE0D2F-AB13-6D4E-9061-B7101E5F3018}" destId="{6FEAB055-2DC7-7D43-8786-57B6229DA5A7}" srcOrd="5" destOrd="0" presId="urn:microsoft.com/office/officeart/2009/3/layout/DescendingProcess"/>
    <dgm:cxn modelId="{45A78379-70AE-2147-A40B-D44BF92294FA}" type="presParOf" srcId="{6FEAB055-2DC7-7D43-8786-57B6229DA5A7}" destId="{F43D9D9E-17D6-AE4E-901C-6F7B8AF0CB4A}" srcOrd="0" destOrd="0" presId="urn:microsoft.com/office/officeart/2009/3/layout/DescendingProcess"/>
    <dgm:cxn modelId="{CB3734D7-01F6-0844-9621-C68A7A234AE8}" type="presParOf" srcId="{13AE0D2F-AB13-6D4E-9061-B7101E5F3018}" destId="{A2C7F3A7-EC8F-0C46-B694-EE98473C7E1F}" srcOrd="6" destOrd="0" presId="urn:microsoft.com/office/officeart/2009/3/layout/DescendingProcess"/>
    <dgm:cxn modelId="{2F2D75F8-F380-E247-8F3F-B75736655053}" type="presParOf" srcId="{13AE0D2F-AB13-6D4E-9061-B7101E5F3018}" destId="{5B3DA943-F1B7-6542-AF16-73DC100B91CF}" srcOrd="7" destOrd="0" presId="urn:microsoft.com/office/officeart/2009/3/layout/DescendingProcess"/>
    <dgm:cxn modelId="{6F04DF0A-6CFC-8C49-B71C-C98799644F46}" type="presParOf" srcId="{5B3DA943-F1B7-6542-AF16-73DC100B91CF}" destId="{0AEE32E7-1AF6-D842-A32C-F137F54A3F0D}" srcOrd="0" destOrd="0" presId="urn:microsoft.com/office/officeart/2009/3/layout/DescendingProcess"/>
    <dgm:cxn modelId="{F7E95B94-95B8-EA4D-892D-D4300B439A76}" type="presParOf" srcId="{13AE0D2F-AB13-6D4E-9061-B7101E5F3018}" destId="{63CA48B1-1365-C242-A809-E68101788EA1}" srcOrd="8" destOrd="0" presId="urn:microsoft.com/office/officeart/2009/3/layout/DescendingProcess"/>
    <dgm:cxn modelId="{123324C3-557B-024D-810F-03274FC72904}" type="presParOf" srcId="{13AE0D2F-AB13-6D4E-9061-B7101E5F3018}" destId="{46BF5E0E-E72F-D143-A2BB-85C8B619C730}" srcOrd="9" destOrd="0" presId="urn:microsoft.com/office/officeart/2009/3/layout/DescendingProcess"/>
    <dgm:cxn modelId="{44165BCC-831B-864A-B9D6-37BE73811048}" type="presParOf" srcId="{46BF5E0E-E72F-D143-A2BB-85C8B619C730}" destId="{9C7CDCCA-F38D-6646-BA07-CDC80EE4CF03}" srcOrd="0" destOrd="0" presId="urn:microsoft.com/office/officeart/2009/3/layout/DescendingProcess"/>
    <dgm:cxn modelId="{475895D5-959F-8B40-9ABA-26DBFF2DF1B4}" type="presParOf" srcId="{13AE0D2F-AB13-6D4E-9061-B7101E5F3018}" destId="{CDBC7A54-BA5C-474D-B39A-94D182A64AE2}" srcOrd="10" destOrd="0" presId="urn:microsoft.com/office/officeart/2009/3/layout/DescendingProcess"/>
    <dgm:cxn modelId="{606FD8AB-6209-5F45-A4D2-E7EC21BD438E}" type="presParOf" srcId="{13AE0D2F-AB13-6D4E-9061-B7101E5F3018}" destId="{751A101D-8D12-024D-818D-D4CC35748C7F}" srcOrd="11" destOrd="0" presId="urn:microsoft.com/office/officeart/2009/3/layout/DescendingProcess"/>
    <dgm:cxn modelId="{70242799-8EC4-1342-AF92-EB67C73C8A0A}" type="presParOf" srcId="{751A101D-8D12-024D-818D-D4CC35748C7F}" destId="{93853E91-EA8C-7D42-8B78-CAB8C3E87FB3}" srcOrd="0" destOrd="0" presId="urn:microsoft.com/office/officeart/2009/3/layout/DescendingProcess"/>
    <dgm:cxn modelId="{6F87D65A-0EFE-5D49-B310-63D55162F1EF}" type="presParOf" srcId="{13AE0D2F-AB13-6D4E-9061-B7101E5F3018}" destId="{E79B42F7-6258-F143-BB86-35B86157E9C4}" srcOrd="12" destOrd="0" presId="urn:microsoft.com/office/officeart/2009/3/layout/DescendingProces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7C8E649-F415-3C4D-9CB7-E58D4C9961AF}" type="doc">
      <dgm:prSet loTypeId="urn:microsoft.com/office/officeart/2008/layout/HorizontalMultiLevelHierarchy" loCatId="" qsTypeId="urn:microsoft.com/office/officeart/2005/8/quickstyle/simple1" qsCatId="simple" csTypeId="urn:microsoft.com/office/officeart/2005/8/colors/accent2_1" csCatId="accent2" phldr="1"/>
      <dgm:spPr/>
      <dgm:t>
        <a:bodyPr/>
        <a:lstStyle/>
        <a:p>
          <a:endParaRPr lang="en-GB"/>
        </a:p>
      </dgm:t>
    </dgm:pt>
    <dgm:pt modelId="{F8ADD526-BAC7-5B4C-ADD6-A1AC11927BB9}">
      <dgm:prSet phldrT="[Text]"/>
      <dgm:spPr/>
      <dgm:t>
        <a:bodyPr/>
        <a:lstStyle/>
        <a:p>
          <a:r>
            <a:rPr lang="en-GB"/>
            <a:t>Wirecard</a:t>
          </a:r>
        </a:p>
      </dgm:t>
    </dgm:pt>
    <dgm:pt modelId="{B20227FC-DE79-B84B-A4CD-BE930080077B}" type="parTrans" cxnId="{69D002C3-30C6-B54C-945F-C438D7597FC8}">
      <dgm:prSet/>
      <dgm:spPr/>
      <dgm:t>
        <a:bodyPr/>
        <a:lstStyle/>
        <a:p>
          <a:endParaRPr lang="en-GB"/>
        </a:p>
      </dgm:t>
    </dgm:pt>
    <dgm:pt modelId="{5C377DF5-165A-1548-A32A-3FE7528A359F}" type="sibTrans" cxnId="{69D002C3-30C6-B54C-945F-C438D7597FC8}">
      <dgm:prSet/>
      <dgm:spPr/>
      <dgm:t>
        <a:bodyPr/>
        <a:lstStyle/>
        <a:p>
          <a:endParaRPr lang="en-GB"/>
        </a:p>
      </dgm:t>
    </dgm:pt>
    <dgm:pt modelId="{F2B28E1A-09FA-194A-916D-5B09F925D89C}">
      <dgm:prSet phldrT="[Text]"/>
      <dgm:spPr/>
      <dgm:t>
        <a:bodyPr/>
        <a:lstStyle/>
        <a:p>
          <a:r>
            <a:rPr lang="en-GB"/>
            <a:t>Payment Processing Services</a:t>
          </a:r>
        </a:p>
      </dgm:t>
    </dgm:pt>
    <dgm:pt modelId="{243B3ACB-5DD0-824B-BBBD-6B49DC12CFD9}" type="parTrans" cxnId="{A6A41004-3DB0-E14D-A589-826C7B3D64EE}">
      <dgm:prSet/>
      <dgm:spPr/>
      <dgm:t>
        <a:bodyPr/>
        <a:lstStyle/>
        <a:p>
          <a:endParaRPr lang="en-GB"/>
        </a:p>
      </dgm:t>
    </dgm:pt>
    <dgm:pt modelId="{32FDFFF3-078D-704B-BE31-D24F98197D4E}" type="sibTrans" cxnId="{A6A41004-3DB0-E14D-A589-826C7B3D64EE}">
      <dgm:prSet/>
      <dgm:spPr/>
      <dgm:t>
        <a:bodyPr/>
        <a:lstStyle/>
        <a:p>
          <a:endParaRPr lang="en-GB"/>
        </a:p>
      </dgm:t>
    </dgm:pt>
    <dgm:pt modelId="{959D9B79-839C-E642-BE39-2EA99C22C685}">
      <dgm:prSet phldrT="[Text]"/>
      <dgm:spPr/>
      <dgm:t>
        <a:bodyPr/>
        <a:lstStyle/>
        <a:p>
          <a:r>
            <a:rPr lang="en-GB"/>
            <a:t>Third Party Acquirer</a:t>
          </a:r>
        </a:p>
      </dgm:t>
    </dgm:pt>
    <dgm:pt modelId="{7BDA7518-FF78-F042-BB26-3164E4217EB6}" type="parTrans" cxnId="{EAD10CEE-9663-5848-AB12-AD020B152BBB}">
      <dgm:prSet/>
      <dgm:spPr/>
      <dgm:t>
        <a:bodyPr/>
        <a:lstStyle/>
        <a:p>
          <a:endParaRPr lang="en-GB"/>
        </a:p>
      </dgm:t>
    </dgm:pt>
    <dgm:pt modelId="{09AC1FA0-C1D6-0245-A1D2-4922874F4F65}" type="sibTrans" cxnId="{EAD10CEE-9663-5848-AB12-AD020B152BBB}">
      <dgm:prSet/>
      <dgm:spPr/>
      <dgm:t>
        <a:bodyPr/>
        <a:lstStyle/>
        <a:p>
          <a:endParaRPr lang="en-GB"/>
        </a:p>
      </dgm:t>
    </dgm:pt>
    <dgm:pt modelId="{07742EEA-1E68-844A-8CBB-014F1E72A88F}">
      <dgm:prSet phldrT="[Text]"/>
      <dgm:spPr/>
      <dgm:t>
        <a:bodyPr/>
        <a:lstStyle/>
        <a:p>
          <a:r>
            <a:rPr lang="en-GB"/>
            <a:t>Merchant Cash Advances</a:t>
          </a:r>
        </a:p>
      </dgm:t>
    </dgm:pt>
    <dgm:pt modelId="{4DB08B09-15A8-BC46-A943-FE7B7B4E2217}" type="parTrans" cxnId="{323B8122-D01A-C741-9354-C85A982BE5E1}">
      <dgm:prSet/>
      <dgm:spPr/>
      <dgm:t>
        <a:bodyPr/>
        <a:lstStyle/>
        <a:p>
          <a:endParaRPr lang="en-GB"/>
        </a:p>
      </dgm:t>
    </dgm:pt>
    <dgm:pt modelId="{C19D8CDF-C1C1-8847-A4BA-5326D1F09A14}" type="sibTrans" cxnId="{323B8122-D01A-C741-9354-C85A982BE5E1}">
      <dgm:prSet/>
      <dgm:spPr/>
      <dgm:t>
        <a:bodyPr/>
        <a:lstStyle/>
        <a:p>
          <a:endParaRPr lang="en-GB"/>
        </a:p>
      </dgm:t>
    </dgm:pt>
    <dgm:pt modelId="{37A69CE5-9B05-554E-A2F4-74A268AAC283}" type="pres">
      <dgm:prSet presAssocID="{87C8E649-F415-3C4D-9CB7-E58D4C9961AF}" presName="Name0" presStyleCnt="0">
        <dgm:presLayoutVars>
          <dgm:chPref val="1"/>
          <dgm:dir/>
          <dgm:animOne val="branch"/>
          <dgm:animLvl val="lvl"/>
          <dgm:resizeHandles val="exact"/>
        </dgm:presLayoutVars>
      </dgm:prSet>
      <dgm:spPr/>
    </dgm:pt>
    <dgm:pt modelId="{FF1029A6-DF61-1349-826E-1CCA79E5BE5E}" type="pres">
      <dgm:prSet presAssocID="{F8ADD526-BAC7-5B4C-ADD6-A1AC11927BB9}" presName="root1" presStyleCnt="0"/>
      <dgm:spPr/>
    </dgm:pt>
    <dgm:pt modelId="{E0C8D6F5-29EE-A34A-9208-EB196BD232D8}" type="pres">
      <dgm:prSet presAssocID="{F8ADD526-BAC7-5B4C-ADD6-A1AC11927BB9}" presName="LevelOneTextNode" presStyleLbl="node0" presStyleIdx="0" presStyleCnt="1">
        <dgm:presLayoutVars>
          <dgm:chPref val="3"/>
        </dgm:presLayoutVars>
      </dgm:prSet>
      <dgm:spPr/>
    </dgm:pt>
    <dgm:pt modelId="{EA695CBE-3272-3C40-88D1-DCF261F25585}" type="pres">
      <dgm:prSet presAssocID="{F8ADD526-BAC7-5B4C-ADD6-A1AC11927BB9}" presName="level2hierChild" presStyleCnt="0"/>
      <dgm:spPr/>
    </dgm:pt>
    <dgm:pt modelId="{B3C68685-79CD-3E4D-B826-EE86FC235278}" type="pres">
      <dgm:prSet presAssocID="{243B3ACB-5DD0-824B-BBBD-6B49DC12CFD9}" presName="conn2-1" presStyleLbl="parChTrans1D2" presStyleIdx="0" presStyleCnt="3"/>
      <dgm:spPr/>
    </dgm:pt>
    <dgm:pt modelId="{D66CE517-04DF-5F44-B7DC-9B52EBA80920}" type="pres">
      <dgm:prSet presAssocID="{243B3ACB-5DD0-824B-BBBD-6B49DC12CFD9}" presName="connTx" presStyleLbl="parChTrans1D2" presStyleIdx="0" presStyleCnt="3"/>
      <dgm:spPr/>
    </dgm:pt>
    <dgm:pt modelId="{224F874F-E9E0-D544-B426-EF49D6510D4F}" type="pres">
      <dgm:prSet presAssocID="{F2B28E1A-09FA-194A-916D-5B09F925D89C}" presName="root2" presStyleCnt="0"/>
      <dgm:spPr/>
    </dgm:pt>
    <dgm:pt modelId="{A3DB61EA-79E5-1742-9DE4-0A9B93059363}" type="pres">
      <dgm:prSet presAssocID="{F2B28E1A-09FA-194A-916D-5B09F925D89C}" presName="LevelTwoTextNode" presStyleLbl="node2" presStyleIdx="0" presStyleCnt="3">
        <dgm:presLayoutVars>
          <dgm:chPref val="3"/>
        </dgm:presLayoutVars>
      </dgm:prSet>
      <dgm:spPr/>
    </dgm:pt>
    <dgm:pt modelId="{D10C1199-AB1B-4B4E-A92A-BDF7663A8A95}" type="pres">
      <dgm:prSet presAssocID="{F2B28E1A-09FA-194A-916D-5B09F925D89C}" presName="level3hierChild" presStyleCnt="0"/>
      <dgm:spPr/>
    </dgm:pt>
    <dgm:pt modelId="{D6AA41FD-C86D-2842-BA0C-EFF37509D81C}" type="pres">
      <dgm:prSet presAssocID="{7BDA7518-FF78-F042-BB26-3164E4217EB6}" presName="conn2-1" presStyleLbl="parChTrans1D2" presStyleIdx="1" presStyleCnt="3"/>
      <dgm:spPr/>
    </dgm:pt>
    <dgm:pt modelId="{E1B2D089-5520-7543-86E9-B5FCD8ECB24B}" type="pres">
      <dgm:prSet presAssocID="{7BDA7518-FF78-F042-BB26-3164E4217EB6}" presName="connTx" presStyleLbl="parChTrans1D2" presStyleIdx="1" presStyleCnt="3"/>
      <dgm:spPr/>
    </dgm:pt>
    <dgm:pt modelId="{C9BD3AFF-87CF-1D46-9D6D-F0CA392C2017}" type="pres">
      <dgm:prSet presAssocID="{959D9B79-839C-E642-BE39-2EA99C22C685}" presName="root2" presStyleCnt="0"/>
      <dgm:spPr/>
    </dgm:pt>
    <dgm:pt modelId="{A50BF54E-24D6-DF43-A315-F744F143A8DC}" type="pres">
      <dgm:prSet presAssocID="{959D9B79-839C-E642-BE39-2EA99C22C685}" presName="LevelTwoTextNode" presStyleLbl="node2" presStyleIdx="1" presStyleCnt="3">
        <dgm:presLayoutVars>
          <dgm:chPref val="3"/>
        </dgm:presLayoutVars>
      </dgm:prSet>
      <dgm:spPr/>
    </dgm:pt>
    <dgm:pt modelId="{5168BF27-1BC5-1F40-BADF-934431C8D03A}" type="pres">
      <dgm:prSet presAssocID="{959D9B79-839C-E642-BE39-2EA99C22C685}" presName="level3hierChild" presStyleCnt="0"/>
      <dgm:spPr/>
    </dgm:pt>
    <dgm:pt modelId="{4EEC9BCE-CB76-7641-8E22-B3B4093FAAA8}" type="pres">
      <dgm:prSet presAssocID="{4DB08B09-15A8-BC46-A943-FE7B7B4E2217}" presName="conn2-1" presStyleLbl="parChTrans1D2" presStyleIdx="2" presStyleCnt="3"/>
      <dgm:spPr/>
    </dgm:pt>
    <dgm:pt modelId="{C100ADFE-DC5A-4544-9FA8-35F5B65E1E57}" type="pres">
      <dgm:prSet presAssocID="{4DB08B09-15A8-BC46-A943-FE7B7B4E2217}" presName="connTx" presStyleLbl="parChTrans1D2" presStyleIdx="2" presStyleCnt="3"/>
      <dgm:spPr/>
    </dgm:pt>
    <dgm:pt modelId="{BA20634C-AF4F-7549-95B4-3DD1F60E8B66}" type="pres">
      <dgm:prSet presAssocID="{07742EEA-1E68-844A-8CBB-014F1E72A88F}" presName="root2" presStyleCnt="0"/>
      <dgm:spPr/>
    </dgm:pt>
    <dgm:pt modelId="{763E276F-87E7-6D4B-BBD3-0D5FD9457BE9}" type="pres">
      <dgm:prSet presAssocID="{07742EEA-1E68-844A-8CBB-014F1E72A88F}" presName="LevelTwoTextNode" presStyleLbl="node2" presStyleIdx="2" presStyleCnt="3">
        <dgm:presLayoutVars>
          <dgm:chPref val="3"/>
        </dgm:presLayoutVars>
      </dgm:prSet>
      <dgm:spPr/>
    </dgm:pt>
    <dgm:pt modelId="{D505BF6D-BD6A-1048-9446-BA88A3890EAD}" type="pres">
      <dgm:prSet presAssocID="{07742EEA-1E68-844A-8CBB-014F1E72A88F}" presName="level3hierChild" presStyleCnt="0"/>
      <dgm:spPr/>
    </dgm:pt>
  </dgm:ptLst>
  <dgm:cxnLst>
    <dgm:cxn modelId="{A6A41004-3DB0-E14D-A589-826C7B3D64EE}" srcId="{F8ADD526-BAC7-5B4C-ADD6-A1AC11927BB9}" destId="{F2B28E1A-09FA-194A-916D-5B09F925D89C}" srcOrd="0" destOrd="0" parTransId="{243B3ACB-5DD0-824B-BBBD-6B49DC12CFD9}" sibTransId="{32FDFFF3-078D-704B-BE31-D24F98197D4E}"/>
    <dgm:cxn modelId="{0FAD4B15-4195-5E46-B843-3CDFE66F450F}" type="presOf" srcId="{959D9B79-839C-E642-BE39-2EA99C22C685}" destId="{A50BF54E-24D6-DF43-A315-F744F143A8DC}" srcOrd="0" destOrd="0" presId="urn:microsoft.com/office/officeart/2008/layout/HorizontalMultiLevelHierarchy"/>
    <dgm:cxn modelId="{CE8E0D1C-4191-5D44-B355-8454EFAB3542}" type="presOf" srcId="{7BDA7518-FF78-F042-BB26-3164E4217EB6}" destId="{E1B2D089-5520-7543-86E9-B5FCD8ECB24B}" srcOrd="1" destOrd="0" presId="urn:microsoft.com/office/officeart/2008/layout/HorizontalMultiLevelHierarchy"/>
    <dgm:cxn modelId="{323B8122-D01A-C741-9354-C85A982BE5E1}" srcId="{F8ADD526-BAC7-5B4C-ADD6-A1AC11927BB9}" destId="{07742EEA-1E68-844A-8CBB-014F1E72A88F}" srcOrd="2" destOrd="0" parTransId="{4DB08B09-15A8-BC46-A943-FE7B7B4E2217}" sibTransId="{C19D8CDF-C1C1-8847-A4BA-5326D1F09A14}"/>
    <dgm:cxn modelId="{61CB4A47-ADFE-E442-AA8C-C6C3A1191230}" type="presOf" srcId="{4DB08B09-15A8-BC46-A943-FE7B7B4E2217}" destId="{C100ADFE-DC5A-4544-9FA8-35F5B65E1E57}" srcOrd="1" destOrd="0" presId="urn:microsoft.com/office/officeart/2008/layout/HorizontalMultiLevelHierarchy"/>
    <dgm:cxn modelId="{C57F6F5A-FE72-3048-8C6C-D7405BEADB91}" type="presOf" srcId="{87C8E649-F415-3C4D-9CB7-E58D4C9961AF}" destId="{37A69CE5-9B05-554E-A2F4-74A268AAC283}" srcOrd="0" destOrd="0" presId="urn:microsoft.com/office/officeart/2008/layout/HorizontalMultiLevelHierarchy"/>
    <dgm:cxn modelId="{F3F9D386-33FB-FA4F-A4CB-6792381FEC49}" type="presOf" srcId="{243B3ACB-5DD0-824B-BBBD-6B49DC12CFD9}" destId="{D66CE517-04DF-5F44-B7DC-9B52EBA80920}" srcOrd="1" destOrd="0" presId="urn:microsoft.com/office/officeart/2008/layout/HorizontalMultiLevelHierarchy"/>
    <dgm:cxn modelId="{8692138C-B8B4-4C4E-BA9D-43C94D432BF0}" type="presOf" srcId="{7BDA7518-FF78-F042-BB26-3164E4217EB6}" destId="{D6AA41FD-C86D-2842-BA0C-EFF37509D81C}" srcOrd="0" destOrd="0" presId="urn:microsoft.com/office/officeart/2008/layout/HorizontalMultiLevelHierarchy"/>
    <dgm:cxn modelId="{16375893-8421-0842-A23B-D489B6B91FEC}" type="presOf" srcId="{243B3ACB-5DD0-824B-BBBD-6B49DC12CFD9}" destId="{B3C68685-79CD-3E4D-B826-EE86FC235278}" srcOrd="0" destOrd="0" presId="urn:microsoft.com/office/officeart/2008/layout/HorizontalMultiLevelHierarchy"/>
    <dgm:cxn modelId="{15E1559C-2A71-D34D-8AB6-9619D5818692}" type="presOf" srcId="{4DB08B09-15A8-BC46-A943-FE7B7B4E2217}" destId="{4EEC9BCE-CB76-7641-8E22-B3B4093FAAA8}" srcOrd="0" destOrd="0" presId="urn:microsoft.com/office/officeart/2008/layout/HorizontalMultiLevelHierarchy"/>
    <dgm:cxn modelId="{81E1C5AD-E45A-3648-9534-5219966DE37F}" type="presOf" srcId="{07742EEA-1E68-844A-8CBB-014F1E72A88F}" destId="{763E276F-87E7-6D4B-BBD3-0D5FD9457BE9}" srcOrd="0" destOrd="0" presId="urn:microsoft.com/office/officeart/2008/layout/HorizontalMultiLevelHierarchy"/>
    <dgm:cxn modelId="{69D002C3-30C6-B54C-945F-C438D7597FC8}" srcId="{87C8E649-F415-3C4D-9CB7-E58D4C9961AF}" destId="{F8ADD526-BAC7-5B4C-ADD6-A1AC11927BB9}" srcOrd="0" destOrd="0" parTransId="{B20227FC-DE79-B84B-A4CD-BE930080077B}" sibTransId="{5C377DF5-165A-1548-A32A-3FE7528A359F}"/>
    <dgm:cxn modelId="{6008B7E2-9111-9A46-A23F-61313D30CD38}" type="presOf" srcId="{F2B28E1A-09FA-194A-916D-5B09F925D89C}" destId="{A3DB61EA-79E5-1742-9DE4-0A9B93059363}" srcOrd="0" destOrd="0" presId="urn:microsoft.com/office/officeart/2008/layout/HorizontalMultiLevelHierarchy"/>
    <dgm:cxn modelId="{EAD10CEE-9663-5848-AB12-AD020B152BBB}" srcId="{F8ADD526-BAC7-5B4C-ADD6-A1AC11927BB9}" destId="{959D9B79-839C-E642-BE39-2EA99C22C685}" srcOrd="1" destOrd="0" parTransId="{7BDA7518-FF78-F042-BB26-3164E4217EB6}" sibTransId="{09AC1FA0-C1D6-0245-A1D2-4922874F4F65}"/>
    <dgm:cxn modelId="{D4DB1BF6-DE07-EC48-BB7A-1C918BD05DF4}" type="presOf" srcId="{F8ADD526-BAC7-5B4C-ADD6-A1AC11927BB9}" destId="{E0C8D6F5-29EE-A34A-9208-EB196BD232D8}" srcOrd="0" destOrd="0" presId="urn:microsoft.com/office/officeart/2008/layout/HorizontalMultiLevelHierarchy"/>
    <dgm:cxn modelId="{E39DB4AA-DE36-1348-8AB4-FE93E07F7513}" type="presParOf" srcId="{37A69CE5-9B05-554E-A2F4-74A268AAC283}" destId="{FF1029A6-DF61-1349-826E-1CCA79E5BE5E}" srcOrd="0" destOrd="0" presId="urn:microsoft.com/office/officeart/2008/layout/HorizontalMultiLevelHierarchy"/>
    <dgm:cxn modelId="{E99F12F3-D1D1-0C43-81B5-BAC85C67E69B}" type="presParOf" srcId="{FF1029A6-DF61-1349-826E-1CCA79E5BE5E}" destId="{E0C8D6F5-29EE-A34A-9208-EB196BD232D8}" srcOrd="0" destOrd="0" presId="urn:microsoft.com/office/officeart/2008/layout/HorizontalMultiLevelHierarchy"/>
    <dgm:cxn modelId="{41335F0E-0C86-D544-AC16-E3D974B543EE}" type="presParOf" srcId="{FF1029A6-DF61-1349-826E-1CCA79E5BE5E}" destId="{EA695CBE-3272-3C40-88D1-DCF261F25585}" srcOrd="1" destOrd="0" presId="urn:microsoft.com/office/officeart/2008/layout/HorizontalMultiLevelHierarchy"/>
    <dgm:cxn modelId="{2862F023-D5A0-324A-AF11-2B6A077ABD1E}" type="presParOf" srcId="{EA695CBE-3272-3C40-88D1-DCF261F25585}" destId="{B3C68685-79CD-3E4D-B826-EE86FC235278}" srcOrd="0" destOrd="0" presId="urn:microsoft.com/office/officeart/2008/layout/HorizontalMultiLevelHierarchy"/>
    <dgm:cxn modelId="{474C42E6-303F-FA47-9521-8679C6A6B630}" type="presParOf" srcId="{B3C68685-79CD-3E4D-B826-EE86FC235278}" destId="{D66CE517-04DF-5F44-B7DC-9B52EBA80920}" srcOrd="0" destOrd="0" presId="urn:microsoft.com/office/officeart/2008/layout/HorizontalMultiLevelHierarchy"/>
    <dgm:cxn modelId="{CC964C50-BE5F-CA48-899B-3370C13C3873}" type="presParOf" srcId="{EA695CBE-3272-3C40-88D1-DCF261F25585}" destId="{224F874F-E9E0-D544-B426-EF49D6510D4F}" srcOrd="1" destOrd="0" presId="urn:microsoft.com/office/officeart/2008/layout/HorizontalMultiLevelHierarchy"/>
    <dgm:cxn modelId="{54D6DBE2-D4A5-7D46-97A6-A998DA168866}" type="presParOf" srcId="{224F874F-E9E0-D544-B426-EF49D6510D4F}" destId="{A3DB61EA-79E5-1742-9DE4-0A9B93059363}" srcOrd="0" destOrd="0" presId="urn:microsoft.com/office/officeart/2008/layout/HorizontalMultiLevelHierarchy"/>
    <dgm:cxn modelId="{F300C99A-DFBC-7B4C-8DB8-E291F3B774CC}" type="presParOf" srcId="{224F874F-E9E0-D544-B426-EF49D6510D4F}" destId="{D10C1199-AB1B-4B4E-A92A-BDF7663A8A95}" srcOrd="1" destOrd="0" presId="urn:microsoft.com/office/officeart/2008/layout/HorizontalMultiLevelHierarchy"/>
    <dgm:cxn modelId="{9D2CE466-D83C-4E4E-865E-431813A47127}" type="presParOf" srcId="{EA695CBE-3272-3C40-88D1-DCF261F25585}" destId="{D6AA41FD-C86D-2842-BA0C-EFF37509D81C}" srcOrd="2" destOrd="0" presId="urn:microsoft.com/office/officeart/2008/layout/HorizontalMultiLevelHierarchy"/>
    <dgm:cxn modelId="{D6A59C0C-E250-544D-A7EE-C5CDEB613BFA}" type="presParOf" srcId="{D6AA41FD-C86D-2842-BA0C-EFF37509D81C}" destId="{E1B2D089-5520-7543-86E9-B5FCD8ECB24B}" srcOrd="0" destOrd="0" presId="urn:microsoft.com/office/officeart/2008/layout/HorizontalMultiLevelHierarchy"/>
    <dgm:cxn modelId="{DF06E880-1D37-B64F-8B53-2934C8255244}" type="presParOf" srcId="{EA695CBE-3272-3C40-88D1-DCF261F25585}" destId="{C9BD3AFF-87CF-1D46-9D6D-F0CA392C2017}" srcOrd="3" destOrd="0" presId="urn:microsoft.com/office/officeart/2008/layout/HorizontalMultiLevelHierarchy"/>
    <dgm:cxn modelId="{ADD61AFA-2AD3-5548-969F-BA8CBB58F1E8}" type="presParOf" srcId="{C9BD3AFF-87CF-1D46-9D6D-F0CA392C2017}" destId="{A50BF54E-24D6-DF43-A315-F744F143A8DC}" srcOrd="0" destOrd="0" presId="urn:microsoft.com/office/officeart/2008/layout/HorizontalMultiLevelHierarchy"/>
    <dgm:cxn modelId="{1BC3923D-AC93-4A46-97ED-E28AAE8554A6}" type="presParOf" srcId="{C9BD3AFF-87CF-1D46-9D6D-F0CA392C2017}" destId="{5168BF27-1BC5-1F40-BADF-934431C8D03A}" srcOrd="1" destOrd="0" presId="urn:microsoft.com/office/officeart/2008/layout/HorizontalMultiLevelHierarchy"/>
    <dgm:cxn modelId="{0338930A-E459-9C43-9A77-652A5F54EA91}" type="presParOf" srcId="{EA695CBE-3272-3C40-88D1-DCF261F25585}" destId="{4EEC9BCE-CB76-7641-8E22-B3B4093FAAA8}" srcOrd="4" destOrd="0" presId="urn:microsoft.com/office/officeart/2008/layout/HorizontalMultiLevelHierarchy"/>
    <dgm:cxn modelId="{DC213D4D-2C3A-F240-9651-2E1674CE3B7E}" type="presParOf" srcId="{4EEC9BCE-CB76-7641-8E22-B3B4093FAAA8}" destId="{C100ADFE-DC5A-4544-9FA8-35F5B65E1E57}" srcOrd="0" destOrd="0" presId="urn:microsoft.com/office/officeart/2008/layout/HorizontalMultiLevelHierarchy"/>
    <dgm:cxn modelId="{3BE548DC-47F5-7146-9BE8-03A8C56EDD0C}" type="presParOf" srcId="{EA695CBE-3272-3C40-88D1-DCF261F25585}" destId="{BA20634C-AF4F-7549-95B4-3DD1F60E8B66}" srcOrd="5" destOrd="0" presId="urn:microsoft.com/office/officeart/2008/layout/HorizontalMultiLevelHierarchy"/>
    <dgm:cxn modelId="{4CBB28D0-D2DA-CD4A-B937-3EF401EA7DED}" type="presParOf" srcId="{BA20634C-AF4F-7549-95B4-3DD1F60E8B66}" destId="{763E276F-87E7-6D4B-BBD3-0D5FD9457BE9}" srcOrd="0" destOrd="0" presId="urn:microsoft.com/office/officeart/2008/layout/HorizontalMultiLevelHierarchy"/>
    <dgm:cxn modelId="{5B7C02DE-BA97-8340-BFDC-D02540AA5724}" type="presParOf" srcId="{BA20634C-AF4F-7549-95B4-3DD1F60E8B66}" destId="{D505BF6D-BD6A-1048-9446-BA88A3890EAD}" srcOrd="1" destOrd="0" presId="urn:microsoft.com/office/officeart/2008/layout/HorizontalMultiLevelHierarchy"/>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1B73ACE-AD2B-CC4C-8166-F07EF5071879}" type="doc">
      <dgm:prSet loTypeId="urn:microsoft.com/office/officeart/2005/8/layout/orgChart1" loCatId="" qsTypeId="urn:microsoft.com/office/officeart/2005/8/quickstyle/simple1" qsCatId="simple" csTypeId="urn:microsoft.com/office/officeart/2005/8/colors/accent2_1" csCatId="accent2" phldr="1"/>
      <dgm:spPr/>
      <dgm:t>
        <a:bodyPr/>
        <a:lstStyle/>
        <a:p>
          <a:endParaRPr lang="en-GB"/>
        </a:p>
      </dgm:t>
    </dgm:pt>
    <dgm:pt modelId="{8CA34E2E-F447-8B4A-BA36-13276CCC017A}">
      <dgm:prSet phldrT="[Text]"/>
      <dgm:spPr/>
      <dgm:t>
        <a:bodyPr/>
        <a:lstStyle/>
        <a:p>
          <a:r>
            <a:rPr lang="en-GB" b="1"/>
            <a:t>Wirecard</a:t>
          </a:r>
        </a:p>
      </dgm:t>
    </dgm:pt>
    <dgm:pt modelId="{B833436A-DFBE-724E-854F-9A721C82B4AF}" type="parTrans" cxnId="{3F2B8F57-DC6B-DA44-B0A1-8DE768891C6E}">
      <dgm:prSet/>
      <dgm:spPr/>
      <dgm:t>
        <a:bodyPr/>
        <a:lstStyle/>
        <a:p>
          <a:endParaRPr lang="en-GB"/>
        </a:p>
      </dgm:t>
    </dgm:pt>
    <dgm:pt modelId="{C669A8AD-67F6-0E41-B1B2-5A7CCD611505}" type="sibTrans" cxnId="{3F2B8F57-DC6B-DA44-B0A1-8DE768891C6E}">
      <dgm:prSet/>
      <dgm:spPr/>
      <dgm:t>
        <a:bodyPr/>
        <a:lstStyle/>
        <a:p>
          <a:endParaRPr lang="en-GB"/>
        </a:p>
      </dgm:t>
    </dgm:pt>
    <dgm:pt modelId="{D7788D40-FE8F-2949-ABD8-3B266B00720E}">
      <dgm:prSet phldrT="[Text]"/>
      <dgm:spPr/>
      <dgm:t>
        <a:bodyPr/>
        <a:lstStyle/>
        <a:p>
          <a:r>
            <a:rPr lang="en-GB"/>
            <a:t>Management Board</a:t>
          </a:r>
        </a:p>
      </dgm:t>
    </dgm:pt>
    <dgm:pt modelId="{77A15DC6-A808-1D42-8BCB-099F72F2917C}" type="parTrans" cxnId="{273A46C2-C40C-E94E-813A-34E4B9B3CD6F}">
      <dgm:prSet/>
      <dgm:spPr/>
      <dgm:t>
        <a:bodyPr/>
        <a:lstStyle/>
        <a:p>
          <a:endParaRPr lang="en-GB"/>
        </a:p>
      </dgm:t>
    </dgm:pt>
    <dgm:pt modelId="{7EAEFF0A-27CA-E34E-8ACA-978D53D47ADB}" type="sibTrans" cxnId="{273A46C2-C40C-E94E-813A-34E4B9B3CD6F}">
      <dgm:prSet/>
      <dgm:spPr/>
      <dgm:t>
        <a:bodyPr/>
        <a:lstStyle/>
        <a:p>
          <a:endParaRPr lang="en-GB"/>
        </a:p>
      </dgm:t>
    </dgm:pt>
    <dgm:pt modelId="{B790520B-5C38-D844-B5F4-C7A4584AA076}">
      <dgm:prSet phldrT="[Text]"/>
      <dgm:spPr/>
      <dgm:t>
        <a:bodyPr/>
        <a:lstStyle/>
        <a:p>
          <a:r>
            <a:rPr lang="en-GB"/>
            <a:t>Supervisory Board</a:t>
          </a:r>
        </a:p>
      </dgm:t>
    </dgm:pt>
    <dgm:pt modelId="{ECCFE54A-21A5-4B42-A6FA-0B301AABDD06}" type="parTrans" cxnId="{848F16AE-9087-0447-B461-989E7A7F5583}">
      <dgm:prSet/>
      <dgm:spPr/>
      <dgm:t>
        <a:bodyPr/>
        <a:lstStyle/>
        <a:p>
          <a:endParaRPr lang="en-GB"/>
        </a:p>
      </dgm:t>
    </dgm:pt>
    <dgm:pt modelId="{DE5DB692-F84B-9142-B248-92A918C8649D}" type="sibTrans" cxnId="{848F16AE-9087-0447-B461-989E7A7F5583}">
      <dgm:prSet/>
      <dgm:spPr/>
      <dgm:t>
        <a:bodyPr/>
        <a:lstStyle/>
        <a:p>
          <a:endParaRPr lang="en-GB"/>
        </a:p>
      </dgm:t>
    </dgm:pt>
    <dgm:pt modelId="{6DA71B6E-000E-9246-8894-EE40A36399CA}">
      <dgm:prSet/>
      <dgm:spPr/>
      <dgm:t>
        <a:bodyPr/>
        <a:lstStyle/>
        <a:p>
          <a:r>
            <a:rPr lang="en-GB"/>
            <a:t>Audit Committee</a:t>
          </a:r>
        </a:p>
      </dgm:t>
    </dgm:pt>
    <dgm:pt modelId="{0EF87494-390C-2B47-97F7-83899939865C}" type="parTrans" cxnId="{7D6B2CD1-0112-324D-BC86-D3940B91C3A2}">
      <dgm:prSet/>
      <dgm:spPr/>
      <dgm:t>
        <a:bodyPr/>
        <a:lstStyle/>
        <a:p>
          <a:endParaRPr lang="en-GB"/>
        </a:p>
      </dgm:t>
    </dgm:pt>
    <dgm:pt modelId="{56E93EEA-6096-FE41-A263-4CF9116A8B73}" type="sibTrans" cxnId="{7D6B2CD1-0112-324D-BC86-D3940B91C3A2}">
      <dgm:prSet/>
      <dgm:spPr/>
      <dgm:t>
        <a:bodyPr/>
        <a:lstStyle/>
        <a:p>
          <a:endParaRPr lang="en-GB"/>
        </a:p>
      </dgm:t>
    </dgm:pt>
    <dgm:pt modelId="{2B353D6C-5305-BD4B-8811-78C44846292F}">
      <dgm:prSet/>
      <dgm:spPr/>
      <dgm:t>
        <a:bodyPr/>
        <a:lstStyle/>
        <a:p>
          <a:r>
            <a:rPr lang="en-GB"/>
            <a:t>Renumeration, Personal and Nominee Committee</a:t>
          </a:r>
        </a:p>
      </dgm:t>
    </dgm:pt>
    <dgm:pt modelId="{13CAD06F-7B62-BC45-B960-C44066AA3B68}" type="parTrans" cxnId="{399CEED2-FA81-444E-B72E-A699E65EFC12}">
      <dgm:prSet/>
      <dgm:spPr/>
      <dgm:t>
        <a:bodyPr/>
        <a:lstStyle/>
        <a:p>
          <a:endParaRPr lang="en-GB"/>
        </a:p>
      </dgm:t>
    </dgm:pt>
    <dgm:pt modelId="{07DD1B3B-81AE-5946-9F1D-69DF6CAC77F5}" type="sibTrans" cxnId="{399CEED2-FA81-444E-B72E-A699E65EFC12}">
      <dgm:prSet/>
      <dgm:spPr/>
      <dgm:t>
        <a:bodyPr/>
        <a:lstStyle/>
        <a:p>
          <a:endParaRPr lang="en-GB"/>
        </a:p>
      </dgm:t>
    </dgm:pt>
    <dgm:pt modelId="{D16FBF4C-1655-4E4C-B22D-F894F353FDA2}">
      <dgm:prSet/>
      <dgm:spPr/>
      <dgm:t>
        <a:bodyPr/>
        <a:lstStyle/>
        <a:p>
          <a:r>
            <a:rPr lang="en-GB"/>
            <a:t>Risk and Compliance Committee</a:t>
          </a:r>
        </a:p>
      </dgm:t>
    </dgm:pt>
    <dgm:pt modelId="{3424870B-3E86-CF48-AF56-49C81F55A3B7}" type="parTrans" cxnId="{4DD6A7AA-515A-D449-B7E8-F37D09A3ED37}">
      <dgm:prSet/>
      <dgm:spPr/>
      <dgm:t>
        <a:bodyPr/>
        <a:lstStyle/>
        <a:p>
          <a:endParaRPr lang="en-GB"/>
        </a:p>
      </dgm:t>
    </dgm:pt>
    <dgm:pt modelId="{407E8A7C-565A-E34A-99A2-18E5AE51F41E}" type="sibTrans" cxnId="{4DD6A7AA-515A-D449-B7E8-F37D09A3ED37}">
      <dgm:prSet/>
      <dgm:spPr/>
      <dgm:t>
        <a:bodyPr/>
        <a:lstStyle/>
        <a:p>
          <a:endParaRPr lang="en-GB"/>
        </a:p>
      </dgm:t>
    </dgm:pt>
    <dgm:pt modelId="{3BBABD89-03F5-FD47-9A41-0508ABFC38C6}" type="pres">
      <dgm:prSet presAssocID="{41B73ACE-AD2B-CC4C-8166-F07EF5071879}" presName="hierChild1" presStyleCnt="0">
        <dgm:presLayoutVars>
          <dgm:orgChart val="1"/>
          <dgm:chPref val="1"/>
          <dgm:dir/>
          <dgm:animOne val="branch"/>
          <dgm:animLvl val="lvl"/>
          <dgm:resizeHandles/>
        </dgm:presLayoutVars>
      </dgm:prSet>
      <dgm:spPr/>
    </dgm:pt>
    <dgm:pt modelId="{710C9164-45E8-ED49-8054-EA41022B6874}" type="pres">
      <dgm:prSet presAssocID="{8CA34E2E-F447-8B4A-BA36-13276CCC017A}" presName="hierRoot1" presStyleCnt="0">
        <dgm:presLayoutVars>
          <dgm:hierBranch val="init"/>
        </dgm:presLayoutVars>
      </dgm:prSet>
      <dgm:spPr/>
    </dgm:pt>
    <dgm:pt modelId="{F888EB31-3E24-A741-98A3-0720E49264A4}" type="pres">
      <dgm:prSet presAssocID="{8CA34E2E-F447-8B4A-BA36-13276CCC017A}" presName="rootComposite1" presStyleCnt="0"/>
      <dgm:spPr/>
    </dgm:pt>
    <dgm:pt modelId="{820F5BAA-B934-DE4F-8590-66B0453439DD}" type="pres">
      <dgm:prSet presAssocID="{8CA34E2E-F447-8B4A-BA36-13276CCC017A}" presName="rootText1" presStyleLbl="node0" presStyleIdx="0" presStyleCnt="1">
        <dgm:presLayoutVars>
          <dgm:chPref val="3"/>
        </dgm:presLayoutVars>
      </dgm:prSet>
      <dgm:spPr/>
    </dgm:pt>
    <dgm:pt modelId="{3398C5DF-A2BE-BE49-B63F-86F25EF4A70E}" type="pres">
      <dgm:prSet presAssocID="{8CA34E2E-F447-8B4A-BA36-13276CCC017A}" presName="rootConnector1" presStyleLbl="node1" presStyleIdx="0" presStyleCnt="0"/>
      <dgm:spPr/>
    </dgm:pt>
    <dgm:pt modelId="{2DDE3B11-E615-F542-9AB2-C47255839A6A}" type="pres">
      <dgm:prSet presAssocID="{8CA34E2E-F447-8B4A-BA36-13276CCC017A}" presName="hierChild2" presStyleCnt="0"/>
      <dgm:spPr/>
    </dgm:pt>
    <dgm:pt modelId="{8F805822-C731-1044-9841-38D641F11D7F}" type="pres">
      <dgm:prSet presAssocID="{77A15DC6-A808-1D42-8BCB-099F72F2917C}" presName="Name37" presStyleLbl="parChTrans1D2" presStyleIdx="0" presStyleCnt="2"/>
      <dgm:spPr/>
    </dgm:pt>
    <dgm:pt modelId="{C880619A-E62F-BD4B-A957-697E1147A134}" type="pres">
      <dgm:prSet presAssocID="{D7788D40-FE8F-2949-ABD8-3B266B00720E}" presName="hierRoot2" presStyleCnt="0">
        <dgm:presLayoutVars>
          <dgm:hierBranch val="init"/>
        </dgm:presLayoutVars>
      </dgm:prSet>
      <dgm:spPr/>
    </dgm:pt>
    <dgm:pt modelId="{C982C91D-DECF-E74D-9017-EC38B13D59E4}" type="pres">
      <dgm:prSet presAssocID="{D7788D40-FE8F-2949-ABD8-3B266B00720E}" presName="rootComposite" presStyleCnt="0"/>
      <dgm:spPr/>
    </dgm:pt>
    <dgm:pt modelId="{3D60D80F-AFA0-CE4B-AEE9-D7BA88338F8E}" type="pres">
      <dgm:prSet presAssocID="{D7788D40-FE8F-2949-ABD8-3B266B00720E}" presName="rootText" presStyleLbl="node2" presStyleIdx="0" presStyleCnt="2">
        <dgm:presLayoutVars>
          <dgm:chPref val="3"/>
        </dgm:presLayoutVars>
      </dgm:prSet>
      <dgm:spPr/>
    </dgm:pt>
    <dgm:pt modelId="{6B1A73F4-0D60-9342-AA7C-D3EE309B10C3}" type="pres">
      <dgm:prSet presAssocID="{D7788D40-FE8F-2949-ABD8-3B266B00720E}" presName="rootConnector" presStyleLbl="node2" presStyleIdx="0" presStyleCnt="2"/>
      <dgm:spPr/>
    </dgm:pt>
    <dgm:pt modelId="{A571300E-EC28-BD40-9A39-91A46DE05E73}" type="pres">
      <dgm:prSet presAssocID="{D7788D40-FE8F-2949-ABD8-3B266B00720E}" presName="hierChild4" presStyleCnt="0"/>
      <dgm:spPr/>
    </dgm:pt>
    <dgm:pt modelId="{CD49F5F6-9E80-8C4E-90B1-84D84D1BA961}" type="pres">
      <dgm:prSet presAssocID="{D7788D40-FE8F-2949-ABD8-3B266B00720E}" presName="hierChild5" presStyleCnt="0"/>
      <dgm:spPr/>
    </dgm:pt>
    <dgm:pt modelId="{FA466468-61FC-7642-9457-845A5B4683B2}" type="pres">
      <dgm:prSet presAssocID="{ECCFE54A-21A5-4B42-A6FA-0B301AABDD06}" presName="Name37" presStyleLbl="parChTrans1D2" presStyleIdx="1" presStyleCnt="2"/>
      <dgm:spPr/>
    </dgm:pt>
    <dgm:pt modelId="{D0B3007E-6C96-4446-8875-1DA726549959}" type="pres">
      <dgm:prSet presAssocID="{B790520B-5C38-D844-B5F4-C7A4584AA076}" presName="hierRoot2" presStyleCnt="0">
        <dgm:presLayoutVars>
          <dgm:hierBranch val="init"/>
        </dgm:presLayoutVars>
      </dgm:prSet>
      <dgm:spPr/>
    </dgm:pt>
    <dgm:pt modelId="{33BA5DB3-4D19-FA48-B0F5-EC1A1142DEA4}" type="pres">
      <dgm:prSet presAssocID="{B790520B-5C38-D844-B5F4-C7A4584AA076}" presName="rootComposite" presStyleCnt="0"/>
      <dgm:spPr/>
    </dgm:pt>
    <dgm:pt modelId="{EC39C23A-F4ED-D74E-BEC1-00DDE905D425}" type="pres">
      <dgm:prSet presAssocID="{B790520B-5C38-D844-B5F4-C7A4584AA076}" presName="rootText" presStyleLbl="node2" presStyleIdx="1" presStyleCnt="2">
        <dgm:presLayoutVars>
          <dgm:chPref val="3"/>
        </dgm:presLayoutVars>
      </dgm:prSet>
      <dgm:spPr/>
    </dgm:pt>
    <dgm:pt modelId="{2B40FF71-230C-BE48-A4F4-BA08C27A2511}" type="pres">
      <dgm:prSet presAssocID="{B790520B-5C38-D844-B5F4-C7A4584AA076}" presName="rootConnector" presStyleLbl="node2" presStyleIdx="1" presStyleCnt="2"/>
      <dgm:spPr/>
    </dgm:pt>
    <dgm:pt modelId="{7417F581-8F9C-9F42-95C7-7527AB8ECF8A}" type="pres">
      <dgm:prSet presAssocID="{B790520B-5C38-D844-B5F4-C7A4584AA076}" presName="hierChild4" presStyleCnt="0"/>
      <dgm:spPr/>
    </dgm:pt>
    <dgm:pt modelId="{0D19D78E-45E7-4B48-9483-BD1729991226}" type="pres">
      <dgm:prSet presAssocID="{0EF87494-390C-2B47-97F7-83899939865C}" presName="Name37" presStyleLbl="parChTrans1D3" presStyleIdx="0" presStyleCnt="3"/>
      <dgm:spPr/>
    </dgm:pt>
    <dgm:pt modelId="{A4491DD2-D116-AA45-AD08-5AF56C6AD837}" type="pres">
      <dgm:prSet presAssocID="{6DA71B6E-000E-9246-8894-EE40A36399CA}" presName="hierRoot2" presStyleCnt="0">
        <dgm:presLayoutVars>
          <dgm:hierBranch val="init"/>
        </dgm:presLayoutVars>
      </dgm:prSet>
      <dgm:spPr/>
    </dgm:pt>
    <dgm:pt modelId="{AE4D6999-7A8D-5B48-96EE-6EC07A102486}" type="pres">
      <dgm:prSet presAssocID="{6DA71B6E-000E-9246-8894-EE40A36399CA}" presName="rootComposite" presStyleCnt="0"/>
      <dgm:spPr/>
    </dgm:pt>
    <dgm:pt modelId="{3F60AF45-919D-2A4A-90D0-308A5038FE8D}" type="pres">
      <dgm:prSet presAssocID="{6DA71B6E-000E-9246-8894-EE40A36399CA}" presName="rootText" presStyleLbl="node3" presStyleIdx="0" presStyleCnt="3">
        <dgm:presLayoutVars>
          <dgm:chPref val="3"/>
        </dgm:presLayoutVars>
      </dgm:prSet>
      <dgm:spPr/>
    </dgm:pt>
    <dgm:pt modelId="{05521131-6F5F-094E-8CDD-FE000BAE355B}" type="pres">
      <dgm:prSet presAssocID="{6DA71B6E-000E-9246-8894-EE40A36399CA}" presName="rootConnector" presStyleLbl="node3" presStyleIdx="0" presStyleCnt="3"/>
      <dgm:spPr/>
    </dgm:pt>
    <dgm:pt modelId="{D1A022A7-7E0B-9244-85B6-DF7589DAD95E}" type="pres">
      <dgm:prSet presAssocID="{6DA71B6E-000E-9246-8894-EE40A36399CA}" presName="hierChild4" presStyleCnt="0"/>
      <dgm:spPr/>
    </dgm:pt>
    <dgm:pt modelId="{FB815B07-4089-294D-9C00-3714247A2CD5}" type="pres">
      <dgm:prSet presAssocID="{6DA71B6E-000E-9246-8894-EE40A36399CA}" presName="hierChild5" presStyleCnt="0"/>
      <dgm:spPr/>
    </dgm:pt>
    <dgm:pt modelId="{381FC659-BF21-6445-8ECB-C1E0BD4235D6}" type="pres">
      <dgm:prSet presAssocID="{13CAD06F-7B62-BC45-B960-C44066AA3B68}" presName="Name37" presStyleLbl="parChTrans1D3" presStyleIdx="1" presStyleCnt="3"/>
      <dgm:spPr/>
    </dgm:pt>
    <dgm:pt modelId="{5E04A2B3-C547-7445-B8C6-0E9631F7D030}" type="pres">
      <dgm:prSet presAssocID="{2B353D6C-5305-BD4B-8811-78C44846292F}" presName="hierRoot2" presStyleCnt="0">
        <dgm:presLayoutVars>
          <dgm:hierBranch val="init"/>
        </dgm:presLayoutVars>
      </dgm:prSet>
      <dgm:spPr/>
    </dgm:pt>
    <dgm:pt modelId="{348FDB04-FF25-7C42-9C05-BCB862C28AB8}" type="pres">
      <dgm:prSet presAssocID="{2B353D6C-5305-BD4B-8811-78C44846292F}" presName="rootComposite" presStyleCnt="0"/>
      <dgm:spPr/>
    </dgm:pt>
    <dgm:pt modelId="{A6687298-DAD4-D349-A7BA-8ED0E6979CBB}" type="pres">
      <dgm:prSet presAssocID="{2B353D6C-5305-BD4B-8811-78C44846292F}" presName="rootText" presStyleLbl="node3" presStyleIdx="1" presStyleCnt="3">
        <dgm:presLayoutVars>
          <dgm:chPref val="3"/>
        </dgm:presLayoutVars>
      </dgm:prSet>
      <dgm:spPr/>
    </dgm:pt>
    <dgm:pt modelId="{27B597EE-6AD5-A146-ACE7-884319F3FA50}" type="pres">
      <dgm:prSet presAssocID="{2B353D6C-5305-BD4B-8811-78C44846292F}" presName="rootConnector" presStyleLbl="node3" presStyleIdx="1" presStyleCnt="3"/>
      <dgm:spPr/>
    </dgm:pt>
    <dgm:pt modelId="{7667A642-4B67-BC48-B14F-3FA5BA779197}" type="pres">
      <dgm:prSet presAssocID="{2B353D6C-5305-BD4B-8811-78C44846292F}" presName="hierChild4" presStyleCnt="0"/>
      <dgm:spPr/>
    </dgm:pt>
    <dgm:pt modelId="{D8CD310A-5729-EF49-BB28-29B52113DFF1}" type="pres">
      <dgm:prSet presAssocID="{2B353D6C-5305-BD4B-8811-78C44846292F}" presName="hierChild5" presStyleCnt="0"/>
      <dgm:spPr/>
    </dgm:pt>
    <dgm:pt modelId="{D072867A-A3DA-704B-AAFA-78CDBF00F907}" type="pres">
      <dgm:prSet presAssocID="{3424870B-3E86-CF48-AF56-49C81F55A3B7}" presName="Name37" presStyleLbl="parChTrans1D3" presStyleIdx="2" presStyleCnt="3"/>
      <dgm:spPr/>
    </dgm:pt>
    <dgm:pt modelId="{37136DDB-3F17-7D44-A902-CF2A7134AF4A}" type="pres">
      <dgm:prSet presAssocID="{D16FBF4C-1655-4E4C-B22D-F894F353FDA2}" presName="hierRoot2" presStyleCnt="0">
        <dgm:presLayoutVars>
          <dgm:hierBranch val="init"/>
        </dgm:presLayoutVars>
      </dgm:prSet>
      <dgm:spPr/>
    </dgm:pt>
    <dgm:pt modelId="{A8711513-A4EF-B847-9957-EFCB33FF230B}" type="pres">
      <dgm:prSet presAssocID="{D16FBF4C-1655-4E4C-B22D-F894F353FDA2}" presName="rootComposite" presStyleCnt="0"/>
      <dgm:spPr/>
    </dgm:pt>
    <dgm:pt modelId="{14F4526E-9A12-1C42-BBF5-DAE718FA2E57}" type="pres">
      <dgm:prSet presAssocID="{D16FBF4C-1655-4E4C-B22D-F894F353FDA2}" presName="rootText" presStyleLbl="node3" presStyleIdx="2" presStyleCnt="3">
        <dgm:presLayoutVars>
          <dgm:chPref val="3"/>
        </dgm:presLayoutVars>
      </dgm:prSet>
      <dgm:spPr/>
    </dgm:pt>
    <dgm:pt modelId="{2B208373-6C92-484D-B14A-1D4C7A33AD01}" type="pres">
      <dgm:prSet presAssocID="{D16FBF4C-1655-4E4C-B22D-F894F353FDA2}" presName="rootConnector" presStyleLbl="node3" presStyleIdx="2" presStyleCnt="3"/>
      <dgm:spPr/>
    </dgm:pt>
    <dgm:pt modelId="{71B64122-22D5-BC49-9E6B-FDAC87CC2854}" type="pres">
      <dgm:prSet presAssocID="{D16FBF4C-1655-4E4C-B22D-F894F353FDA2}" presName="hierChild4" presStyleCnt="0"/>
      <dgm:spPr/>
    </dgm:pt>
    <dgm:pt modelId="{CC42F710-AED9-A546-8B00-D510C5B3B467}" type="pres">
      <dgm:prSet presAssocID="{D16FBF4C-1655-4E4C-B22D-F894F353FDA2}" presName="hierChild5" presStyleCnt="0"/>
      <dgm:spPr/>
    </dgm:pt>
    <dgm:pt modelId="{61D8F87C-0EBE-AA41-9628-78D980DE7934}" type="pres">
      <dgm:prSet presAssocID="{B790520B-5C38-D844-B5F4-C7A4584AA076}" presName="hierChild5" presStyleCnt="0"/>
      <dgm:spPr/>
    </dgm:pt>
    <dgm:pt modelId="{61BE9909-1602-B84D-8E24-559B6FE84A5D}" type="pres">
      <dgm:prSet presAssocID="{8CA34E2E-F447-8B4A-BA36-13276CCC017A}" presName="hierChild3" presStyleCnt="0"/>
      <dgm:spPr/>
    </dgm:pt>
  </dgm:ptLst>
  <dgm:cxnLst>
    <dgm:cxn modelId="{B37D7303-7089-7B4C-9AD5-65C1933959F7}" type="presOf" srcId="{B790520B-5C38-D844-B5F4-C7A4584AA076}" destId="{EC39C23A-F4ED-D74E-BEC1-00DDE905D425}" srcOrd="0" destOrd="0" presId="urn:microsoft.com/office/officeart/2005/8/layout/orgChart1"/>
    <dgm:cxn modelId="{26006A29-59F6-D44F-BC6B-E975F47B0A78}" type="presOf" srcId="{2B353D6C-5305-BD4B-8811-78C44846292F}" destId="{A6687298-DAD4-D349-A7BA-8ED0E6979CBB}" srcOrd="0" destOrd="0" presId="urn:microsoft.com/office/officeart/2005/8/layout/orgChart1"/>
    <dgm:cxn modelId="{C86A5331-5E6F-0A40-AF19-76B5F0181358}" type="presOf" srcId="{13CAD06F-7B62-BC45-B960-C44066AA3B68}" destId="{381FC659-BF21-6445-8ECB-C1E0BD4235D6}" srcOrd="0" destOrd="0" presId="urn:microsoft.com/office/officeart/2005/8/layout/orgChart1"/>
    <dgm:cxn modelId="{34BAE543-6B41-8446-ADAA-9F50A5A6536F}" type="presOf" srcId="{D7788D40-FE8F-2949-ABD8-3B266B00720E}" destId="{6B1A73F4-0D60-9342-AA7C-D3EE309B10C3}" srcOrd="1" destOrd="0" presId="urn:microsoft.com/office/officeart/2005/8/layout/orgChart1"/>
    <dgm:cxn modelId="{3F2B8F57-DC6B-DA44-B0A1-8DE768891C6E}" srcId="{41B73ACE-AD2B-CC4C-8166-F07EF5071879}" destId="{8CA34E2E-F447-8B4A-BA36-13276CCC017A}" srcOrd="0" destOrd="0" parTransId="{B833436A-DFBE-724E-854F-9A721C82B4AF}" sibTransId="{C669A8AD-67F6-0E41-B1B2-5A7CCD611505}"/>
    <dgm:cxn modelId="{909E6359-05D3-A14C-8C08-82855B166596}" type="presOf" srcId="{8CA34E2E-F447-8B4A-BA36-13276CCC017A}" destId="{3398C5DF-A2BE-BE49-B63F-86F25EF4A70E}" srcOrd="1" destOrd="0" presId="urn:microsoft.com/office/officeart/2005/8/layout/orgChart1"/>
    <dgm:cxn modelId="{DE10F463-8D1D-3843-AEA6-BD9D8DBB49D4}" type="presOf" srcId="{3424870B-3E86-CF48-AF56-49C81F55A3B7}" destId="{D072867A-A3DA-704B-AAFA-78CDBF00F907}" srcOrd="0" destOrd="0" presId="urn:microsoft.com/office/officeart/2005/8/layout/orgChart1"/>
    <dgm:cxn modelId="{FB763B75-D8A9-8B44-AF5C-6096A3AA019D}" type="presOf" srcId="{D7788D40-FE8F-2949-ABD8-3B266B00720E}" destId="{3D60D80F-AFA0-CE4B-AEE9-D7BA88338F8E}" srcOrd="0" destOrd="0" presId="urn:microsoft.com/office/officeart/2005/8/layout/orgChart1"/>
    <dgm:cxn modelId="{A4739880-057E-2E46-9E5D-7AEE7AC47B1B}" type="presOf" srcId="{D16FBF4C-1655-4E4C-B22D-F894F353FDA2}" destId="{14F4526E-9A12-1C42-BBF5-DAE718FA2E57}" srcOrd="0" destOrd="0" presId="urn:microsoft.com/office/officeart/2005/8/layout/orgChart1"/>
    <dgm:cxn modelId="{37160582-A2E0-0748-9D0C-0952963B2286}" type="presOf" srcId="{6DA71B6E-000E-9246-8894-EE40A36399CA}" destId="{05521131-6F5F-094E-8CDD-FE000BAE355B}" srcOrd="1" destOrd="0" presId="urn:microsoft.com/office/officeart/2005/8/layout/orgChart1"/>
    <dgm:cxn modelId="{E558DD82-5B36-9D48-BECD-60CC6FFC2689}" type="presOf" srcId="{6DA71B6E-000E-9246-8894-EE40A36399CA}" destId="{3F60AF45-919D-2A4A-90D0-308A5038FE8D}" srcOrd="0" destOrd="0" presId="urn:microsoft.com/office/officeart/2005/8/layout/orgChart1"/>
    <dgm:cxn modelId="{47A1BCA2-B045-C44C-AE1C-02DC0A4AA516}" type="presOf" srcId="{0EF87494-390C-2B47-97F7-83899939865C}" destId="{0D19D78E-45E7-4B48-9483-BD1729991226}" srcOrd="0" destOrd="0" presId="urn:microsoft.com/office/officeart/2005/8/layout/orgChart1"/>
    <dgm:cxn modelId="{4DD6A7AA-515A-D449-B7E8-F37D09A3ED37}" srcId="{B790520B-5C38-D844-B5F4-C7A4584AA076}" destId="{D16FBF4C-1655-4E4C-B22D-F894F353FDA2}" srcOrd="2" destOrd="0" parTransId="{3424870B-3E86-CF48-AF56-49C81F55A3B7}" sibTransId="{407E8A7C-565A-E34A-99A2-18E5AE51F41E}"/>
    <dgm:cxn modelId="{B43B12AB-F3BD-6547-9F2F-085ABA36986E}" type="presOf" srcId="{D16FBF4C-1655-4E4C-B22D-F894F353FDA2}" destId="{2B208373-6C92-484D-B14A-1D4C7A33AD01}" srcOrd="1" destOrd="0" presId="urn:microsoft.com/office/officeart/2005/8/layout/orgChart1"/>
    <dgm:cxn modelId="{848F16AE-9087-0447-B461-989E7A7F5583}" srcId="{8CA34E2E-F447-8B4A-BA36-13276CCC017A}" destId="{B790520B-5C38-D844-B5F4-C7A4584AA076}" srcOrd="1" destOrd="0" parTransId="{ECCFE54A-21A5-4B42-A6FA-0B301AABDD06}" sibTransId="{DE5DB692-F84B-9142-B248-92A918C8649D}"/>
    <dgm:cxn modelId="{16CB5EBA-4B0E-B645-9E75-9C317CE33565}" type="presOf" srcId="{ECCFE54A-21A5-4B42-A6FA-0B301AABDD06}" destId="{FA466468-61FC-7642-9457-845A5B4683B2}" srcOrd="0" destOrd="0" presId="urn:microsoft.com/office/officeart/2005/8/layout/orgChart1"/>
    <dgm:cxn modelId="{9A3D30BE-67BF-3C4C-BC04-43EC0C9DEE83}" type="presOf" srcId="{2B353D6C-5305-BD4B-8811-78C44846292F}" destId="{27B597EE-6AD5-A146-ACE7-884319F3FA50}" srcOrd="1" destOrd="0" presId="urn:microsoft.com/office/officeart/2005/8/layout/orgChart1"/>
    <dgm:cxn modelId="{273A46C2-C40C-E94E-813A-34E4B9B3CD6F}" srcId="{8CA34E2E-F447-8B4A-BA36-13276CCC017A}" destId="{D7788D40-FE8F-2949-ABD8-3B266B00720E}" srcOrd="0" destOrd="0" parTransId="{77A15DC6-A808-1D42-8BCB-099F72F2917C}" sibTransId="{7EAEFF0A-27CA-E34E-8ACA-978D53D47ADB}"/>
    <dgm:cxn modelId="{7D6B2CD1-0112-324D-BC86-D3940B91C3A2}" srcId="{B790520B-5C38-D844-B5F4-C7A4584AA076}" destId="{6DA71B6E-000E-9246-8894-EE40A36399CA}" srcOrd="0" destOrd="0" parTransId="{0EF87494-390C-2B47-97F7-83899939865C}" sibTransId="{56E93EEA-6096-FE41-A263-4CF9116A8B73}"/>
    <dgm:cxn modelId="{399CEED2-FA81-444E-B72E-A699E65EFC12}" srcId="{B790520B-5C38-D844-B5F4-C7A4584AA076}" destId="{2B353D6C-5305-BD4B-8811-78C44846292F}" srcOrd="1" destOrd="0" parTransId="{13CAD06F-7B62-BC45-B960-C44066AA3B68}" sibTransId="{07DD1B3B-81AE-5946-9F1D-69DF6CAC77F5}"/>
    <dgm:cxn modelId="{21CFC5D3-1566-1749-B4A6-FFFE981972C3}" type="presOf" srcId="{41B73ACE-AD2B-CC4C-8166-F07EF5071879}" destId="{3BBABD89-03F5-FD47-9A41-0508ABFC38C6}" srcOrd="0" destOrd="0" presId="urn:microsoft.com/office/officeart/2005/8/layout/orgChart1"/>
    <dgm:cxn modelId="{DDBBBFD6-5A3D-1940-9510-08ABCD3DCD4C}" type="presOf" srcId="{8CA34E2E-F447-8B4A-BA36-13276CCC017A}" destId="{820F5BAA-B934-DE4F-8590-66B0453439DD}" srcOrd="0" destOrd="0" presId="urn:microsoft.com/office/officeart/2005/8/layout/orgChart1"/>
    <dgm:cxn modelId="{45C4EAD6-67B4-9A44-A070-B1957F9A29F2}" type="presOf" srcId="{B790520B-5C38-D844-B5F4-C7A4584AA076}" destId="{2B40FF71-230C-BE48-A4F4-BA08C27A2511}" srcOrd="1" destOrd="0" presId="urn:microsoft.com/office/officeart/2005/8/layout/orgChart1"/>
    <dgm:cxn modelId="{1B5332EC-E24A-0C46-AC8A-1401BFCD2E3D}" type="presOf" srcId="{77A15DC6-A808-1D42-8BCB-099F72F2917C}" destId="{8F805822-C731-1044-9841-38D641F11D7F}" srcOrd="0" destOrd="0" presId="urn:microsoft.com/office/officeart/2005/8/layout/orgChart1"/>
    <dgm:cxn modelId="{48398B35-3924-584C-8134-D94627BC0198}" type="presParOf" srcId="{3BBABD89-03F5-FD47-9A41-0508ABFC38C6}" destId="{710C9164-45E8-ED49-8054-EA41022B6874}" srcOrd="0" destOrd="0" presId="urn:microsoft.com/office/officeart/2005/8/layout/orgChart1"/>
    <dgm:cxn modelId="{36FC0923-FF76-344A-B857-C88BAA47A290}" type="presParOf" srcId="{710C9164-45E8-ED49-8054-EA41022B6874}" destId="{F888EB31-3E24-A741-98A3-0720E49264A4}" srcOrd="0" destOrd="0" presId="urn:microsoft.com/office/officeart/2005/8/layout/orgChart1"/>
    <dgm:cxn modelId="{D810BDB0-A0D6-0941-96C9-58569FA63E13}" type="presParOf" srcId="{F888EB31-3E24-A741-98A3-0720E49264A4}" destId="{820F5BAA-B934-DE4F-8590-66B0453439DD}" srcOrd="0" destOrd="0" presId="urn:microsoft.com/office/officeart/2005/8/layout/orgChart1"/>
    <dgm:cxn modelId="{029EDFA1-9C8E-904A-93D4-18B7A4574799}" type="presParOf" srcId="{F888EB31-3E24-A741-98A3-0720E49264A4}" destId="{3398C5DF-A2BE-BE49-B63F-86F25EF4A70E}" srcOrd="1" destOrd="0" presId="urn:microsoft.com/office/officeart/2005/8/layout/orgChart1"/>
    <dgm:cxn modelId="{75EC3714-5730-984E-A70E-DD55FBA708D9}" type="presParOf" srcId="{710C9164-45E8-ED49-8054-EA41022B6874}" destId="{2DDE3B11-E615-F542-9AB2-C47255839A6A}" srcOrd="1" destOrd="0" presId="urn:microsoft.com/office/officeart/2005/8/layout/orgChart1"/>
    <dgm:cxn modelId="{75085989-6E19-6C46-8216-14D2B206EF46}" type="presParOf" srcId="{2DDE3B11-E615-F542-9AB2-C47255839A6A}" destId="{8F805822-C731-1044-9841-38D641F11D7F}" srcOrd="0" destOrd="0" presId="urn:microsoft.com/office/officeart/2005/8/layout/orgChart1"/>
    <dgm:cxn modelId="{40FC07D5-7233-DD4A-92BD-189B82D9DE9D}" type="presParOf" srcId="{2DDE3B11-E615-F542-9AB2-C47255839A6A}" destId="{C880619A-E62F-BD4B-A957-697E1147A134}" srcOrd="1" destOrd="0" presId="urn:microsoft.com/office/officeart/2005/8/layout/orgChart1"/>
    <dgm:cxn modelId="{7C7D9CD3-8F4E-644F-A115-3C882A8E46E6}" type="presParOf" srcId="{C880619A-E62F-BD4B-A957-697E1147A134}" destId="{C982C91D-DECF-E74D-9017-EC38B13D59E4}" srcOrd="0" destOrd="0" presId="urn:microsoft.com/office/officeart/2005/8/layout/orgChart1"/>
    <dgm:cxn modelId="{9D0E6EB2-36E7-1146-9204-22E1143A06CF}" type="presParOf" srcId="{C982C91D-DECF-E74D-9017-EC38B13D59E4}" destId="{3D60D80F-AFA0-CE4B-AEE9-D7BA88338F8E}" srcOrd="0" destOrd="0" presId="urn:microsoft.com/office/officeart/2005/8/layout/orgChart1"/>
    <dgm:cxn modelId="{F4D6B670-EC37-3A42-B08A-0D878F8BC1A6}" type="presParOf" srcId="{C982C91D-DECF-E74D-9017-EC38B13D59E4}" destId="{6B1A73F4-0D60-9342-AA7C-D3EE309B10C3}" srcOrd="1" destOrd="0" presId="urn:microsoft.com/office/officeart/2005/8/layout/orgChart1"/>
    <dgm:cxn modelId="{72781ECB-BDDA-374A-BDD1-D7E57D6EB68D}" type="presParOf" srcId="{C880619A-E62F-BD4B-A957-697E1147A134}" destId="{A571300E-EC28-BD40-9A39-91A46DE05E73}" srcOrd="1" destOrd="0" presId="urn:microsoft.com/office/officeart/2005/8/layout/orgChart1"/>
    <dgm:cxn modelId="{152D6D09-CC62-824C-A7EF-5AE349EB537C}" type="presParOf" srcId="{C880619A-E62F-BD4B-A957-697E1147A134}" destId="{CD49F5F6-9E80-8C4E-90B1-84D84D1BA961}" srcOrd="2" destOrd="0" presId="urn:microsoft.com/office/officeart/2005/8/layout/orgChart1"/>
    <dgm:cxn modelId="{03A9A0BE-F816-684A-9392-CCF311D57FD5}" type="presParOf" srcId="{2DDE3B11-E615-F542-9AB2-C47255839A6A}" destId="{FA466468-61FC-7642-9457-845A5B4683B2}" srcOrd="2" destOrd="0" presId="urn:microsoft.com/office/officeart/2005/8/layout/orgChart1"/>
    <dgm:cxn modelId="{B5DED093-4948-B54C-B267-AA3C9EAAF681}" type="presParOf" srcId="{2DDE3B11-E615-F542-9AB2-C47255839A6A}" destId="{D0B3007E-6C96-4446-8875-1DA726549959}" srcOrd="3" destOrd="0" presId="urn:microsoft.com/office/officeart/2005/8/layout/orgChart1"/>
    <dgm:cxn modelId="{245EC103-5E17-1D47-9347-E4C1A6F1250F}" type="presParOf" srcId="{D0B3007E-6C96-4446-8875-1DA726549959}" destId="{33BA5DB3-4D19-FA48-B0F5-EC1A1142DEA4}" srcOrd="0" destOrd="0" presId="urn:microsoft.com/office/officeart/2005/8/layout/orgChart1"/>
    <dgm:cxn modelId="{58B4C63B-09DF-DF41-B471-39670B8305FA}" type="presParOf" srcId="{33BA5DB3-4D19-FA48-B0F5-EC1A1142DEA4}" destId="{EC39C23A-F4ED-D74E-BEC1-00DDE905D425}" srcOrd="0" destOrd="0" presId="urn:microsoft.com/office/officeart/2005/8/layout/orgChart1"/>
    <dgm:cxn modelId="{599EFC2A-9F92-0646-82F3-68EDB2FCD962}" type="presParOf" srcId="{33BA5DB3-4D19-FA48-B0F5-EC1A1142DEA4}" destId="{2B40FF71-230C-BE48-A4F4-BA08C27A2511}" srcOrd="1" destOrd="0" presId="urn:microsoft.com/office/officeart/2005/8/layout/orgChart1"/>
    <dgm:cxn modelId="{0BBAF84A-F473-DC44-A648-4044D98BF3CB}" type="presParOf" srcId="{D0B3007E-6C96-4446-8875-1DA726549959}" destId="{7417F581-8F9C-9F42-95C7-7527AB8ECF8A}" srcOrd="1" destOrd="0" presId="urn:microsoft.com/office/officeart/2005/8/layout/orgChart1"/>
    <dgm:cxn modelId="{11C21250-7E7B-2E49-9A11-1296920438C6}" type="presParOf" srcId="{7417F581-8F9C-9F42-95C7-7527AB8ECF8A}" destId="{0D19D78E-45E7-4B48-9483-BD1729991226}" srcOrd="0" destOrd="0" presId="urn:microsoft.com/office/officeart/2005/8/layout/orgChart1"/>
    <dgm:cxn modelId="{5248D57E-7867-E442-BF3F-790B2176CD94}" type="presParOf" srcId="{7417F581-8F9C-9F42-95C7-7527AB8ECF8A}" destId="{A4491DD2-D116-AA45-AD08-5AF56C6AD837}" srcOrd="1" destOrd="0" presId="urn:microsoft.com/office/officeart/2005/8/layout/orgChart1"/>
    <dgm:cxn modelId="{B65E56CB-B2F2-5249-A8AA-A0A7B371D7B1}" type="presParOf" srcId="{A4491DD2-D116-AA45-AD08-5AF56C6AD837}" destId="{AE4D6999-7A8D-5B48-96EE-6EC07A102486}" srcOrd="0" destOrd="0" presId="urn:microsoft.com/office/officeart/2005/8/layout/orgChart1"/>
    <dgm:cxn modelId="{08BC515C-1172-4F40-8DCF-6CCBDDD4479C}" type="presParOf" srcId="{AE4D6999-7A8D-5B48-96EE-6EC07A102486}" destId="{3F60AF45-919D-2A4A-90D0-308A5038FE8D}" srcOrd="0" destOrd="0" presId="urn:microsoft.com/office/officeart/2005/8/layout/orgChart1"/>
    <dgm:cxn modelId="{9AB323DA-5171-3D4A-AD3E-E5B467F666BA}" type="presParOf" srcId="{AE4D6999-7A8D-5B48-96EE-6EC07A102486}" destId="{05521131-6F5F-094E-8CDD-FE000BAE355B}" srcOrd="1" destOrd="0" presId="urn:microsoft.com/office/officeart/2005/8/layout/orgChart1"/>
    <dgm:cxn modelId="{55128084-44AB-7546-AB10-34FE47890515}" type="presParOf" srcId="{A4491DD2-D116-AA45-AD08-5AF56C6AD837}" destId="{D1A022A7-7E0B-9244-85B6-DF7589DAD95E}" srcOrd="1" destOrd="0" presId="urn:microsoft.com/office/officeart/2005/8/layout/orgChart1"/>
    <dgm:cxn modelId="{FA0F4078-FDD8-1844-941E-1B406150CB1A}" type="presParOf" srcId="{A4491DD2-D116-AA45-AD08-5AF56C6AD837}" destId="{FB815B07-4089-294D-9C00-3714247A2CD5}" srcOrd="2" destOrd="0" presId="urn:microsoft.com/office/officeart/2005/8/layout/orgChart1"/>
    <dgm:cxn modelId="{352D06FE-40DE-8F42-B937-6B43D262103A}" type="presParOf" srcId="{7417F581-8F9C-9F42-95C7-7527AB8ECF8A}" destId="{381FC659-BF21-6445-8ECB-C1E0BD4235D6}" srcOrd="2" destOrd="0" presId="urn:microsoft.com/office/officeart/2005/8/layout/orgChart1"/>
    <dgm:cxn modelId="{346431C6-4B6F-144C-BE7C-68EB45D37C53}" type="presParOf" srcId="{7417F581-8F9C-9F42-95C7-7527AB8ECF8A}" destId="{5E04A2B3-C547-7445-B8C6-0E9631F7D030}" srcOrd="3" destOrd="0" presId="urn:microsoft.com/office/officeart/2005/8/layout/orgChart1"/>
    <dgm:cxn modelId="{943F3221-62B8-F04D-B1C8-540D6CC9008D}" type="presParOf" srcId="{5E04A2B3-C547-7445-B8C6-0E9631F7D030}" destId="{348FDB04-FF25-7C42-9C05-BCB862C28AB8}" srcOrd="0" destOrd="0" presId="urn:microsoft.com/office/officeart/2005/8/layout/orgChart1"/>
    <dgm:cxn modelId="{C1405668-B89D-C845-89FF-D58001555C06}" type="presParOf" srcId="{348FDB04-FF25-7C42-9C05-BCB862C28AB8}" destId="{A6687298-DAD4-D349-A7BA-8ED0E6979CBB}" srcOrd="0" destOrd="0" presId="urn:microsoft.com/office/officeart/2005/8/layout/orgChart1"/>
    <dgm:cxn modelId="{FEF9FFE1-AE53-6944-BCD8-90DC0AC7BF77}" type="presParOf" srcId="{348FDB04-FF25-7C42-9C05-BCB862C28AB8}" destId="{27B597EE-6AD5-A146-ACE7-884319F3FA50}" srcOrd="1" destOrd="0" presId="urn:microsoft.com/office/officeart/2005/8/layout/orgChart1"/>
    <dgm:cxn modelId="{DAB6C8AD-A984-6B49-B5CA-160477437083}" type="presParOf" srcId="{5E04A2B3-C547-7445-B8C6-0E9631F7D030}" destId="{7667A642-4B67-BC48-B14F-3FA5BA779197}" srcOrd="1" destOrd="0" presId="urn:microsoft.com/office/officeart/2005/8/layout/orgChart1"/>
    <dgm:cxn modelId="{D2EB9580-EF29-5142-9DE2-06862526FE5B}" type="presParOf" srcId="{5E04A2B3-C547-7445-B8C6-0E9631F7D030}" destId="{D8CD310A-5729-EF49-BB28-29B52113DFF1}" srcOrd="2" destOrd="0" presId="urn:microsoft.com/office/officeart/2005/8/layout/orgChart1"/>
    <dgm:cxn modelId="{B8B425D8-85EE-8343-AE6E-2DFAF625A016}" type="presParOf" srcId="{7417F581-8F9C-9F42-95C7-7527AB8ECF8A}" destId="{D072867A-A3DA-704B-AAFA-78CDBF00F907}" srcOrd="4" destOrd="0" presId="urn:microsoft.com/office/officeart/2005/8/layout/orgChart1"/>
    <dgm:cxn modelId="{17D97421-1500-5C4B-AEA2-932E60A9EA65}" type="presParOf" srcId="{7417F581-8F9C-9F42-95C7-7527AB8ECF8A}" destId="{37136DDB-3F17-7D44-A902-CF2A7134AF4A}" srcOrd="5" destOrd="0" presId="urn:microsoft.com/office/officeart/2005/8/layout/orgChart1"/>
    <dgm:cxn modelId="{4A1571CD-4D58-4543-B214-4F9DD6A3C8B2}" type="presParOf" srcId="{37136DDB-3F17-7D44-A902-CF2A7134AF4A}" destId="{A8711513-A4EF-B847-9957-EFCB33FF230B}" srcOrd="0" destOrd="0" presId="urn:microsoft.com/office/officeart/2005/8/layout/orgChart1"/>
    <dgm:cxn modelId="{167AEA74-134A-B646-960C-A8F4C49D1335}" type="presParOf" srcId="{A8711513-A4EF-B847-9957-EFCB33FF230B}" destId="{14F4526E-9A12-1C42-BBF5-DAE718FA2E57}" srcOrd="0" destOrd="0" presId="urn:microsoft.com/office/officeart/2005/8/layout/orgChart1"/>
    <dgm:cxn modelId="{46EED0C7-E114-444E-B3C1-BB1880D03B03}" type="presParOf" srcId="{A8711513-A4EF-B847-9957-EFCB33FF230B}" destId="{2B208373-6C92-484D-B14A-1D4C7A33AD01}" srcOrd="1" destOrd="0" presId="urn:microsoft.com/office/officeart/2005/8/layout/orgChart1"/>
    <dgm:cxn modelId="{8465D0B7-6C7D-9B49-86A2-22712301423A}" type="presParOf" srcId="{37136DDB-3F17-7D44-A902-CF2A7134AF4A}" destId="{71B64122-22D5-BC49-9E6B-FDAC87CC2854}" srcOrd="1" destOrd="0" presId="urn:microsoft.com/office/officeart/2005/8/layout/orgChart1"/>
    <dgm:cxn modelId="{185F5DB2-4A9A-1045-88CD-CE37C8FE2A77}" type="presParOf" srcId="{37136DDB-3F17-7D44-A902-CF2A7134AF4A}" destId="{CC42F710-AED9-A546-8B00-D510C5B3B467}" srcOrd="2" destOrd="0" presId="urn:microsoft.com/office/officeart/2005/8/layout/orgChart1"/>
    <dgm:cxn modelId="{4F80E434-A963-0A49-AB94-83C6987B7017}" type="presParOf" srcId="{D0B3007E-6C96-4446-8875-1DA726549959}" destId="{61D8F87C-0EBE-AA41-9628-78D980DE7934}" srcOrd="2" destOrd="0" presId="urn:microsoft.com/office/officeart/2005/8/layout/orgChart1"/>
    <dgm:cxn modelId="{415ED37B-A28B-CE44-A5E6-135C5B00CC3B}" type="presParOf" srcId="{710C9164-45E8-ED49-8054-EA41022B6874}" destId="{61BE9909-1602-B84D-8E24-559B6FE84A5D}"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21281D-61F5-4F4E-93BB-2841FE6A7EAC}">
      <dsp:nvSpPr>
        <dsp:cNvPr id="0" name=""/>
        <dsp:cNvSpPr/>
      </dsp:nvSpPr>
      <dsp:spPr>
        <a:xfrm rot="4396374">
          <a:off x="1784020" y="505440"/>
          <a:ext cx="2192678" cy="1529119"/>
        </a:xfrm>
        <a:prstGeom prst="swooshArrow">
          <a:avLst>
            <a:gd name="adj1" fmla="val 16310"/>
            <a:gd name="adj2" fmla="val 3137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62824D-50C6-0E47-AFD1-25A48E75B6EA}">
      <dsp:nvSpPr>
        <dsp:cNvPr id="0" name=""/>
        <dsp:cNvSpPr/>
      </dsp:nvSpPr>
      <dsp:spPr>
        <a:xfrm>
          <a:off x="2531363" y="656335"/>
          <a:ext cx="55372" cy="55372"/>
        </a:xfrm>
        <a:prstGeom prst="ellipse">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43D9D9E-17D6-AE4E-901C-6F7B8AF0CB4A}">
      <dsp:nvSpPr>
        <dsp:cNvPr id="0" name=""/>
        <dsp:cNvSpPr/>
      </dsp:nvSpPr>
      <dsp:spPr>
        <a:xfrm>
          <a:off x="2796794" y="842010"/>
          <a:ext cx="55372" cy="55372"/>
        </a:xfrm>
        <a:prstGeom prst="ellipse">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AEE32E7-1AF6-D842-A32C-F137F54A3F0D}">
      <dsp:nvSpPr>
        <dsp:cNvPr id="0" name=""/>
        <dsp:cNvSpPr/>
      </dsp:nvSpPr>
      <dsp:spPr>
        <a:xfrm>
          <a:off x="3020313" y="1058418"/>
          <a:ext cx="55372" cy="55372"/>
        </a:xfrm>
        <a:prstGeom prst="ellipse">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25DDF0-9E66-FC43-8C9D-07A4EA6E5033}">
      <dsp:nvSpPr>
        <dsp:cNvPr id="0" name=""/>
        <dsp:cNvSpPr/>
      </dsp:nvSpPr>
      <dsp:spPr>
        <a:xfrm>
          <a:off x="1637029" y="0"/>
          <a:ext cx="1033780" cy="406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b" anchorCtr="0">
          <a:noAutofit/>
        </a:bodyPr>
        <a:lstStyle/>
        <a:p>
          <a:pPr marL="0" lvl="0" indent="0" algn="ctr" defTabSz="577850">
            <a:lnSpc>
              <a:spcPct val="90000"/>
            </a:lnSpc>
            <a:spcBef>
              <a:spcPct val="0"/>
            </a:spcBef>
            <a:spcAft>
              <a:spcPct val="35000"/>
            </a:spcAft>
            <a:buNone/>
          </a:pPr>
          <a:r>
            <a:rPr lang="en-GB" sz="1300" kern="1200"/>
            <a:t>2017</a:t>
          </a:r>
        </a:p>
      </dsp:txBody>
      <dsp:txXfrm>
        <a:off x="1637029" y="0"/>
        <a:ext cx="1033780" cy="406400"/>
      </dsp:txXfrm>
    </dsp:sp>
    <dsp:sp modelId="{FBD88287-62C0-A54E-B78F-D9E453D93752}">
      <dsp:nvSpPr>
        <dsp:cNvPr id="0" name=""/>
        <dsp:cNvSpPr/>
      </dsp:nvSpPr>
      <dsp:spPr>
        <a:xfrm>
          <a:off x="2866389" y="480821"/>
          <a:ext cx="1564640" cy="406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l" defTabSz="577850">
            <a:lnSpc>
              <a:spcPct val="90000"/>
            </a:lnSpc>
            <a:spcBef>
              <a:spcPct val="0"/>
            </a:spcBef>
            <a:spcAft>
              <a:spcPct val="35000"/>
            </a:spcAft>
            <a:buNone/>
          </a:pPr>
          <a:r>
            <a:rPr lang="en-GB" sz="1300" kern="1200"/>
            <a:t>Oct 2018</a:t>
          </a:r>
        </a:p>
      </dsp:txBody>
      <dsp:txXfrm>
        <a:off x="2866389" y="480821"/>
        <a:ext cx="1564640" cy="406400"/>
      </dsp:txXfrm>
    </dsp:sp>
    <dsp:sp modelId="{7CC05252-F433-1E41-B261-950CB83FCF0F}">
      <dsp:nvSpPr>
        <dsp:cNvPr id="0" name=""/>
        <dsp:cNvSpPr/>
      </dsp:nvSpPr>
      <dsp:spPr>
        <a:xfrm>
          <a:off x="1637029" y="666495"/>
          <a:ext cx="922020" cy="406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r" defTabSz="577850">
            <a:lnSpc>
              <a:spcPct val="90000"/>
            </a:lnSpc>
            <a:spcBef>
              <a:spcPct val="0"/>
            </a:spcBef>
            <a:spcAft>
              <a:spcPct val="35000"/>
            </a:spcAft>
            <a:buNone/>
          </a:pPr>
          <a:r>
            <a:rPr lang="en-GB" sz="1300" kern="1200"/>
            <a:t>Oct 2019</a:t>
          </a:r>
        </a:p>
      </dsp:txBody>
      <dsp:txXfrm>
        <a:off x="1637029" y="666495"/>
        <a:ext cx="922020" cy="406400"/>
      </dsp:txXfrm>
    </dsp:sp>
    <dsp:sp modelId="{9C7CDCCA-F38D-6646-BA07-CDC80EE4CF03}">
      <dsp:nvSpPr>
        <dsp:cNvPr id="0" name=""/>
        <dsp:cNvSpPr/>
      </dsp:nvSpPr>
      <dsp:spPr>
        <a:xfrm>
          <a:off x="3213658" y="1297686"/>
          <a:ext cx="55372" cy="55372"/>
        </a:xfrm>
        <a:prstGeom prst="ellipse">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2C7F3A7-EC8F-0C46-B694-EE98473C7E1F}">
      <dsp:nvSpPr>
        <dsp:cNvPr id="0" name=""/>
        <dsp:cNvSpPr/>
      </dsp:nvSpPr>
      <dsp:spPr>
        <a:xfrm>
          <a:off x="3341370" y="882904"/>
          <a:ext cx="1089660" cy="406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l" defTabSz="577850">
            <a:lnSpc>
              <a:spcPct val="90000"/>
            </a:lnSpc>
            <a:spcBef>
              <a:spcPct val="0"/>
            </a:spcBef>
            <a:spcAft>
              <a:spcPct val="35000"/>
            </a:spcAft>
            <a:buNone/>
          </a:pPr>
          <a:r>
            <a:rPr lang="en-GB" sz="1300" kern="1200"/>
            <a:t>Apr 28 2020</a:t>
          </a:r>
        </a:p>
      </dsp:txBody>
      <dsp:txXfrm>
        <a:off x="3341370" y="882904"/>
        <a:ext cx="1089660" cy="406400"/>
      </dsp:txXfrm>
    </dsp:sp>
    <dsp:sp modelId="{63CA48B1-1365-C242-A809-E68101788EA1}">
      <dsp:nvSpPr>
        <dsp:cNvPr id="0" name=""/>
        <dsp:cNvSpPr/>
      </dsp:nvSpPr>
      <dsp:spPr>
        <a:xfrm>
          <a:off x="1637029" y="1122172"/>
          <a:ext cx="1397000" cy="406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r" defTabSz="577850">
            <a:lnSpc>
              <a:spcPct val="90000"/>
            </a:lnSpc>
            <a:spcBef>
              <a:spcPct val="0"/>
            </a:spcBef>
            <a:spcAft>
              <a:spcPct val="35000"/>
            </a:spcAft>
            <a:buNone/>
          </a:pPr>
          <a:r>
            <a:rPr lang="en-GB" sz="1300" kern="1200"/>
            <a:t>June 18, 2020</a:t>
          </a:r>
        </a:p>
      </dsp:txBody>
      <dsp:txXfrm>
        <a:off x="1637029" y="1122172"/>
        <a:ext cx="1397000" cy="406400"/>
      </dsp:txXfrm>
    </dsp:sp>
    <dsp:sp modelId="{93853E91-EA8C-7D42-8B78-CAB8C3E87FB3}">
      <dsp:nvSpPr>
        <dsp:cNvPr id="0" name=""/>
        <dsp:cNvSpPr/>
      </dsp:nvSpPr>
      <dsp:spPr>
        <a:xfrm>
          <a:off x="3369563" y="1541780"/>
          <a:ext cx="55372" cy="55372"/>
        </a:xfrm>
        <a:prstGeom prst="ellipse">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DBC7A54-BA5C-474D-B39A-94D182A64AE2}">
      <dsp:nvSpPr>
        <dsp:cNvPr id="0" name=""/>
        <dsp:cNvSpPr/>
      </dsp:nvSpPr>
      <dsp:spPr>
        <a:xfrm>
          <a:off x="3620770" y="1366266"/>
          <a:ext cx="810260" cy="406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l" defTabSz="577850">
            <a:lnSpc>
              <a:spcPct val="90000"/>
            </a:lnSpc>
            <a:spcBef>
              <a:spcPct val="0"/>
            </a:spcBef>
            <a:spcAft>
              <a:spcPct val="35000"/>
            </a:spcAft>
            <a:buNone/>
          </a:pPr>
          <a:r>
            <a:rPr lang="en-GB" sz="1300" kern="1200"/>
            <a:t>June 22, 2020</a:t>
          </a:r>
        </a:p>
      </dsp:txBody>
      <dsp:txXfrm>
        <a:off x="3620770" y="1366266"/>
        <a:ext cx="810260" cy="406400"/>
      </dsp:txXfrm>
    </dsp:sp>
    <dsp:sp modelId="{E79B42F7-6258-F143-BB86-35B86157E9C4}">
      <dsp:nvSpPr>
        <dsp:cNvPr id="0" name=""/>
        <dsp:cNvSpPr/>
      </dsp:nvSpPr>
      <dsp:spPr>
        <a:xfrm>
          <a:off x="3034029" y="2133600"/>
          <a:ext cx="1397000" cy="406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t" anchorCtr="0">
          <a:noAutofit/>
        </a:bodyPr>
        <a:lstStyle/>
        <a:p>
          <a:pPr marL="0" lvl="0" indent="0" algn="ctr" defTabSz="577850">
            <a:lnSpc>
              <a:spcPct val="90000"/>
            </a:lnSpc>
            <a:spcBef>
              <a:spcPct val="0"/>
            </a:spcBef>
            <a:spcAft>
              <a:spcPct val="35000"/>
            </a:spcAft>
            <a:buNone/>
          </a:pPr>
          <a:r>
            <a:rPr lang="en-GB" sz="1300" kern="1200"/>
            <a:t>June 25, 2020</a:t>
          </a:r>
        </a:p>
      </dsp:txBody>
      <dsp:txXfrm>
        <a:off x="3034029" y="2133600"/>
        <a:ext cx="1397000" cy="4064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EC9BCE-CB76-7641-8E22-B3B4093FAAA8}">
      <dsp:nvSpPr>
        <dsp:cNvPr id="0" name=""/>
        <dsp:cNvSpPr/>
      </dsp:nvSpPr>
      <dsp:spPr>
        <a:xfrm>
          <a:off x="1761677" y="2203450"/>
          <a:ext cx="549276" cy="1046638"/>
        </a:xfrm>
        <a:custGeom>
          <a:avLst/>
          <a:gdLst/>
          <a:ahLst/>
          <a:cxnLst/>
          <a:rect l="0" t="0" r="0" b="0"/>
          <a:pathLst>
            <a:path>
              <a:moveTo>
                <a:pt x="0" y="0"/>
              </a:moveTo>
              <a:lnTo>
                <a:pt x="274638" y="0"/>
              </a:lnTo>
              <a:lnTo>
                <a:pt x="274638" y="1046638"/>
              </a:lnTo>
              <a:lnTo>
                <a:pt x="549276" y="104663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06765" y="2697219"/>
        <a:ext cx="59100" cy="59100"/>
      </dsp:txXfrm>
    </dsp:sp>
    <dsp:sp modelId="{D6AA41FD-C86D-2842-BA0C-EFF37509D81C}">
      <dsp:nvSpPr>
        <dsp:cNvPr id="0" name=""/>
        <dsp:cNvSpPr/>
      </dsp:nvSpPr>
      <dsp:spPr>
        <a:xfrm>
          <a:off x="1761677" y="2157730"/>
          <a:ext cx="549276" cy="91440"/>
        </a:xfrm>
        <a:custGeom>
          <a:avLst/>
          <a:gdLst/>
          <a:ahLst/>
          <a:cxnLst/>
          <a:rect l="0" t="0" r="0" b="0"/>
          <a:pathLst>
            <a:path>
              <a:moveTo>
                <a:pt x="0" y="45720"/>
              </a:moveTo>
              <a:lnTo>
                <a:pt x="549276" y="4572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22583" y="2189718"/>
        <a:ext cx="27463" cy="27463"/>
      </dsp:txXfrm>
    </dsp:sp>
    <dsp:sp modelId="{B3C68685-79CD-3E4D-B826-EE86FC235278}">
      <dsp:nvSpPr>
        <dsp:cNvPr id="0" name=""/>
        <dsp:cNvSpPr/>
      </dsp:nvSpPr>
      <dsp:spPr>
        <a:xfrm>
          <a:off x="1761677" y="1156811"/>
          <a:ext cx="549276" cy="1046638"/>
        </a:xfrm>
        <a:custGeom>
          <a:avLst/>
          <a:gdLst/>
          <a:ahLst/>
          <a:cxnLst/>
          <a:rect l="0" t="0" r="0" b="0"/>
          <a:pathLst>
            <a:path>
              <a:moveTo>
                <a:pt x="0" y="1046638"/>
              </a:moveTo>
              <a:lnTo>
                <a:pt x="274638" y="1046638"/>
              </a:lnTo>
              <a:lnTo>
                <a:pt x="274638" y="0"/>
              </a:lnTo>
              <a:lnTo>
                <a:pt x="549276"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06765" y="1650580"/>
        <a:ext cx="59100" cy="59100"/>
      </dsp:txXfrm>
    </dsp:sp>
    <dsp:sp modelId="{E0C8D6F5-29EE-A34A-9208-EB196BD232D8}">
      <dsp:nvSpPr>
        <dsp:cNvPr id="0" name=""/>
        <dsp:cNvSpPr/>
      </dsp:nvSpPr>
      <dsp:spPr>
        <a:xfrm rot="16200000">
          <a:off x="-860428" y="1784794"/>
          <a:ext cx="4406900" cy="83731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marL="0" lvl="0" indent="0" algn="ctr" defTabSz="2533650">
            <a:lnSpc>
              <a:spcPct val="90000"/>
            </a:lnSpc>
            <a:spcBef>
              <a:spcPct val="0"/>
            </a:spcBef>
            <a:spcAft>
              <a:spcPct val="35000"/>
            </a:spcAft>
            <a:buNone/>
          </a:pPr>
          <a:r>
            <a:rPr lang="en-GB" sz="5700" kern="1200"/>
            <a:t>Wirecard</a:t>
          </a:r>
        </a:p>
      </dsp:txBody>
      <dsp:txXfrm>
        <a:off x="-860428" y="1784794"/>
        <a:ext cx="4406900" cy="837311"/>
      </dsp:txXfrm>
    </dsp:sp>
    <dsp:sp modelId="{A3DB61EA-79E5-1742-9DE4-0A9B93059363}">
      <dsp:nvSpPr>
        <dsp:cNvPr id="0" name=""/>
        <dsp:cNvSpPr/>
      </dsp:nvSpPr>
      <dsp:spPr>
        <a:xfrm>
          <a:off x="2310953" y="738155"/>
          <a:ext cx="2746380" cy="83731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GB" sz="2500" kern="1200"/>
            <a:t>Payment Processing Services</a:t>
          </a:r>
        </a:p>
      </dsp:txBody>
      <dsp:txXfrm>
        <a:off x="2310953" y="738155"/>
        <a:ext cx="2746380" cy="837311"/>
      </dsp:txXfrm>
    </dsp:sp>
    <dsp:sp modelId="{A50BF54E-24D6-DF43-A315-F744F143A8DC}">
      <dsp:nvSpPr>
        <dsp:cNvPr id="0" name=""/>
        <dsp:cNvSpPr/>
      </dsp:nvSpPr>
      <dsp:spPr>
        <a:xfrm>
          <a:off x="2310953" y="1784794"/>
          <a:ext cx="2746380" cy="83731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GB" sz="2500" kern="1200"/>
            <a:t>Third Party Acquirer</a:t>
          </a:r>
        </a:p>
      </dsp:txBody>
      <dsp:txXfrm>
        <a:off x="2310953" y="1784794"/>
        <a:ext cx="2746380" cy="837311"/>
      </dsp:txXfrm>
    </dsp:sp>
    <dsp:sp modelId="{763E276F-87E7-6D4B-BBD3-0D5FD9457BE9}">
      <dsp:nvSpPr>
        <dsp:cNvPr id="0" name=""/>
        <dsp:cNvSpPr/>
      </dsp:nvSpPr>
      <dsp:spPr>
        <a:xfrm>
          <a:off x="2310953" y="2831433"/>
          <a:ext cx="2746380" cy="83731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GB" sz="2500" kern="1200"/>
            <a:t>Merchant Cash Advances</a:t>
          </a:r>
        </a:p>
      </dsp:txBody>
      <dsp:txXfrm>
        <a:off x="2310953" y="2831433"/>
        <a:ext cx="2746380" cy="8373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72867A-A3DA-704B-AAFA-78CDBF00F907}">
      <dsp:nvSpPr>
        <dsp:cNvPr id="0" name=""/>
        <dsp:cNvSpPr/>
      </dsp:nvSpPr>
      <dsp:spPr>
        <a:xfrm>
          <a:off x="3036493" y="2668514"/>
          <a:ext cx="330471" cy="4141904"/>
        </a:xfrm>
        <a:custGeom>
          <a:avLst/>
          <a:gdLst/>
          <a:ahLst/>
          <a:cxnLst/>
          <a:rect l="0" t="0" r="0" b="0"/>
          <a:pathLst>
            <a:path>
              <a:moveTo>
                <a:pt x="0" y="0"/>
              </a:moveTo>
              <a:lnTo>
                <a:pt x="0" y="4141904"/>
              </a:lnTo>
              <a:lnTo>
                <a:pt x="330471" y="41419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FC659-BF21-6445-8ECB-C1E0BD4235D6}">
      <dsp:nvSpPr>
        <dsp:cNvPr id="0" name=""/>
        <dsp:cNvSpPr/>
      </dsp:nvSpPr>
      <dsp:spPr>
        <a:xfrm>
          <a:off x="3036493" y="2668514"/>
          <a:ext cx="330471" cy="2577674"/>
        </a:xfrm>
        <a:custGeom>
          <a:avLst/>
          <a:gdLst/>
          <a:ahLst/>
          <a:cxnLst/>
          <a:rect l="0" t="0" r="0" b="0"/>
          <a:pathLst>
            <a:path>
              <a:moveTo>
                <a:pt x="0" y="0"/>
              </a:moveTo>
              <a:lnTo>
                <a:pt x="0" y="2577674"/>
              </a:lnTo>
              <a:lnTo>
                <a:pt x="330471" y="257767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19D78E-45E7-4B48-9483-BD1729991226}">
      <dsp:nvSpPr>
        <dsp:cNvPr id="0" name=""/>
        <dsp:cNvSpPr/>
      </dsp:nvSpPr>
      <dsp:spPr>
        <a:xfrm>
          <a:off x="3036493" y="2668514"/>
          <a:ext cx="330471" cy="1013444"/>
        </a:xfrm>
        <a:custGeom>
          <a:avLst/>
          <a:gdLst/>
          <a:ahLst/>
          <a:cxnLst/>
          <a:rect l="0" t="0" r="0" b="0"/>
          <a:pathLst>
            <a:path>
              <a:moveTo>
                <a:pt x="0" y="0"/>
              </a:moveTo>
              <a:lnTo>
                <a:pt x="0" y="1013444"/>
              </a:lnTo>
              <a:lnTo>
                <a:pt x="330471" y="101344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466468-61FC-7642-9457-845A5B4683B2}">
      <dsp:nvSpPr>
        <dsp:cNvPr id="0" name=""/>
        <dsp:cNvSpPr/>
      </dsp:nvSpPr>
      <dsp:spPr>
        <a:xfrm>
          <a:off x="2584849" y="1104284"/>
          <a:ext cx="1332900" cy="462659"/>
        </a:xfrm>
        <a:custGeom>
          <a:avLst/>
          <a:gdLst/>
          <a:ahLst/>
          <a:cxnLst/>
          <a:rect l="0" t="0" r="0" b="0"/>
          <a:pathLst>
            <a:path>
              <a:moveTo>
                <a:pt x="0" y="0"/>
              </a:moveTo>
              <a:lnTo>
                <a:pt x="0" y="231329"/>
              </a:lnTo>
              <a:lnTo>
                <a:pt x="1332900" y="231329"/>
              </a:lnTo>
              <a:lnTo>
                <a:pt x="1332900" y="462659"/>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805822-C731-1044-9841-38D641F11D7F}">
      <dsp:nvSpPr>
        <dsp:cNvPr id="0" name=""/>
        <dsp:cNvSpPr/>
      </dsp:nvSpPr>
      <dsp:spPr>
        <a:xfrm>
          <a:off x="1251949" y="1104284"/>
          <a:ext cx="1332900" cy="462659"/>
        </a:xfrm>
        <a:custGeom>
          <a:avLst/>
          <a:gdLst/>
          <a:ahLst/>
          <a:cxnLst/>
          <a:rect l="0" t="0" r="0" b="0"/>
          <a:pathLst>
            <a:path>
              <a:moveTo>
                <a:pt x="1332900" y="0"/>
              </a:moveTo>
              <a:lnTo>
                <a:pt x="1332900" y="231329"/>
              </a:lnTo>
              <a:lnTo>
                <a:pt x="0" y="231329"/>
              </a:lnTo>
              <a:lnTo>
                <a:pt x="0" y="462659"/>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F5BAA-B934-DE4F-8590-66B0453439DD}">
      <dsp:nvSpPr>
        <dsp:cNvPr id="0" name=""/>
        <dsp:cNvSpPr/>
      </dsp:nvSpPr>
      <dsp:spPr>
        <a:xfrm>
          <a:off x="1483279" y="2714"/>
          <a:ext cx="2203140" cy="110157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GB" sz="2000" b="1" kern="1200"/>
            <a:t>Wirecard</a:t>
          </a:r>
        </a:p>
      </dsp:txBody>
      <dsp:txXfrm>
        <a:off x="1483279" y="2714"/>
        <a:ext cx="2203140" cy="1101570"/>
      </dsp:txXfrm>
    </dsp:sp>
    <dsp:sp modelId="{3D60D80F-AFA0-CE4B-AEE9-D7BA88338F8E}">
      <dsp:nvSpPr>
        <dsp:cNvPr id="0" name=""/>
        <dsp:cNvSpPr/>
      </dsp:nvSpPr>
      <dsp:spPr>
        <a:xfrm>
          <a:off x="150379" y="1566944"/>
          <a:ext cx="2203140" cy="110157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GB" sz="2000" kern="1200"/>
            <a:t>Management Board</a:t>
          </a:r>
        </a:p>
      </dsp:txBody>
      <dsp:txXfrm>
        <a:off x="150379" y="1566944"/>
        <a:ext cx="2203140" cy="1101570"/>
      </dsp:txXfrm>
    </dsp:sp>
    <dsp:sp modelId="{EC39C23A-F4ED-D74E-BEC1-00DDE905D425}">
      <dsp:nvSpPr>
        <dsp:cNvPr id="0" name=""/>
        <dsp:cNvSpPr/>
      </dsp:nvSpPr>
      <dsp:spPr>
        <a:xfrm>
          <a:off x="2816179" y="1566944"/>
          <a:ext cx="2203140" cy="110157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GB" sz="2000" kern="1200"/>
            <a:t>Supervisory Board</a:t>
          </a:r>
        </a:p>
      </dsp:txBody>
      <dsp:txXfrm>
        <a:off x="2816179" y="1566944"/>
        <a:ext cx="2203140" cy="1101570"/>
      </dsp:txXfrm>
    </dsp:sp>
    <dsp:sp modelId="{3F60AF45-919D-2A4A-90D0-308A5038FE8D}">
      <dsp:nvSpPr>
        <dsp:cNvPr id="0" name=""/>
        <dsp:cNvSpPr/>
      </dsp:nvSpPr>
      <dsp:spPr>
        <a:xfrm>
          <a:off x="3366964" y="3131174"/>
          <a:ext cx="2203140" cy="110157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GB" sz="2000" kern="1200"/>
            <a:t>Audit Committee</a:t>
          </a:r>
        </a:p>
      </dsp:txBody>
      <dsp:txXfrm>
        <a:off x="3366964" y="3131174"/>
        <a:ext cx="2203140" cy="1101570"/>
      </dsp:txXfrm>
    </dsp:sp>
    <dsp:sp modelId="{A6687298-DAD4-D349-A7BA-8ED0E6979CBB}">
      <dsp:nvSpPr>
        <dsp:cNvPr id="0" name=""/>
        <dsp:cNvSpPr/>
      </dsp:nvSpPr>
      <dsp:spPr>
        <a:xfrm>
          <a:off x="3366964" y="4695404"/>
          <a:ext cx="2203140" cy="110157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GB" sz="2000" kern="1200"/>
            <a:t>Renumeration, Personal and Nominee Committee</a:t>
          </a:r>
        </a:p>
      </dsp:txBody>
      <dsp:txXfrm>
        <a:off x="3366964" y="4695404"/>
        <a:ext cx="2203140" cy="1101570"/>
      </dsp:txXfrm>
    </dsp:sp>
    <dsp:sp modelId="{14F4526E-9A12-1C42-BBF5-DAE718FA2E57}">
      <dsp:nvSpPr>
        <dsp:cNvPr id="0" name=""/>
        <dsp:cNvSpPr/>
      </dsp:nvSpPr>
      <dsp:spPr>
        <a:xfrm>
          <a:off x="3366964" y="6259634"/>
          <a:ext cx="2203140" cy="110157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GB" sz="2000" kern="1200"/>
            <a:t>Risk and Compliance Committee</a:t>
          </a:r>
        </a:p>
      </dsp:txBody>
      <dsp:txXfrm>
        <a:off x="3366964" y="6259634"/>
        <a:ext cx="2203140" cy="1101570"/>
      </dsp:txXfrm>
    </dsp:sp>
  </dsp:spTree>
</dsp:drawing>
</file>

<file path=word/diagrams/layout1.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5E25D4-ABD5-3241-BF80-0C4B954FA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1</Pages>
  <Words>4100</Words>
  <Characters>23374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Issues At wirecard AG.</dc:title>
  <dc:subject>Individual Report</dc:subject>
  <dc:creator/>
  <cp:lastModifiedBy>Khushi Patel</cp:lastModifiedBy>
  <cp:revision>1505</cp:revision>
  <cp:lastPrinted>2024-07-03T17:05:00Z</cp:lastPrinted>
  <dcterms:created xsi:type="dcterms:W3CDTF">2024-05-24T22:00:00Z</dcterms:created>
  <dcterms:modified xsi:type="dcterms:W3CDTF">2024-07-07T07:59:00Z</dcterms:modified>
  <cp:category>Audit, Assurance and Professional Ethics</cp:category>
</cp:coreProperties>
</file>