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A4C"/>
          <w:sz w:val="42"/>
        </w:rPr>
        <w:t>Automated Invoice Matching &amp; Fraud Detection</w:t>
      </w:r>
    </w:p>
    <w:p>
      <w:r>
        <w:rPr>
          <w:color w:val="0F6E6E"/>
          <w:sz w:val="23"/>
        </w:rPr>
        <w:t>IDP + fraud-detection platform for Accounts Payable — project report</w:t>
      </w:r>
    </w:p>
    <w:p>
      <w:r>
        <w:rPr>
          <w:color w:val="555A63"/>
          <w:sz w:val="18"/>
        </w:rPr>
        <w:t>Prepared 15 October 2026  ·  working prototype  ·  22 invoices processed end to end  ·  results read from workbench database (workbench.db)</w:t>
      </w:r>
    </w:p>
    <w:p>
      <w:pPr>
        <w:spacing w:before="320" w:after="80"/>
      </w:pPr>
      <w:r>
        <w:rPr>
          <w:b/>
          <w:color w:val="142A4C"/>
          <w:sz w:val="30"/>
        </w:rPr>
        <w:t>1.  Executive summary</w:t>
      </w:r>
    </w:p>
    <w:p>
      <w:pPr>
        <w:spacing w:after="120"/>
      </w:pPr>
      <w:r>
        <w:rPr>
          <w:i w:val="0"/>
          <w:sz w:val="21"/>
        </w:rPr>
        <w:t>Accounts Payable is one of the last large functions in corporate finance still driven by manual document handling. Every invoice must be read, keyed into the ERP, matched against a purchase order and a goods receipt, and approved before payment — work that costs the average enterprise $12–$30 per invoice, takes days of cycle time, and leaks money to duplicate submissions, inflated unit prices, billed-but-never-delivered goods and vendors created by employees for their own benefit.</w:t>
      </w:r>
    </w:p>
    <w:p>
      <w:pPr>
        <w:spacing w:after="120"/>
      </w:pPr>
      <w:r>
        <w:rPr>
          <w:i w:val="0"/>
          <w:sz w:val="21"/>
        </w:rPr>
        <w:t>This project delivers a working platform rather than a design document: a web application, a document-ingestion layer, an OCR and layout-aware extraction pipeline, a deterministic three-way matching engine, four independent fraud-detection engines, and a human-in-the-loop review workflow that learns from every correction. On the bundled 22-document test corpus it extracted invoice data at 99% accuracy on core fields, auto-approved 6 clean invoices with zero human touch, stopped every invoice containing injected fraud or quality defects, and identified $277,378 of value requiring investigation. Processing cost was $0.0097 per invoice against a $330.00 manual equivalent.</w:t>
      </w:r>
    </w:p>
    <w:p>
      <w:pPr>
        <w:spacing w:before="280" w:after="80"/>
      </w:pPr>
      <w:r>
        <w:rPr>
          <w:b/>
          <w:color w:val="142A4C"/>
          <w:sz w:val="30"/>
        </w:rPr>
        <w:t>2.  What was built</w:t>
      </w:r>
    </w:p>
    <w:p>
      <w:pPr>
        <w:spacing w:after="120"/>
      </w:pPr>
      <w:r>
        <w:rPr>
          <w:i w:val="0"/>
          <w:sz w:val="21"/>
        </w:rPr>
        <w:t>The deliverable is a runnable system with a browser interface, not a slide deck. It runs on a single machine in about two minutes from a clean checkout.</w:t>
      </w:r>
    </w:p>
    <w:tbl>
      <w:tblPr>
        <w:tblStyle w:val="LightGrid-Accent1"/>
        <w:tblW w:type="auto" w:w="0"/>
        <w:jc w:val="center"/>
        <w:tblLook w:firstColumn="1" w:firstRow="1" w:lastColumn="0" w:lastRow="0" w:noHBand="0" w:noVBand="1" w:val="04A0"/>
      </w:tblPr>
      <w:tblGrid>
        <w:gridCol w:w="2880"/>
        <w:gridCol w:w="2880"/>
        <w:gridCol w:w="2880"/>
      </w:tblGrid>
      <w:tr>
        <w:tc>
          <w:tcPr>
            <w:tcW w:type="dxa" w:w="1656"/>
          </w:tcPr>
          <w:p>
            <w:r/>
            <w:r>
              <w:rPr>
                <w:b/>
                <w:sz w:val="19"/>
              </w:rPr>
              <w:t>Layer</w:t>
            </w:r>
          </w:p>
        </w:tc>
        <w:tc>
          <w:tcPr>
            <w:tcW w:type="dxa" w:w="5184"/>
          </w:tcPr>
          <w:p>
            <w:r/>
            <w:r>
              <w:rPr>
                <w:b/>
                <w:sz w:val="19"/>
              </w:rPr>
              <w:t>What it does</w:t>
            </w:r>
          </w:p>
        </w:tc>
        <w:tc>
          <w:tcPr>
            <w:tcW w:type="dxa" w:w="2520"/>
          </w:tcPr>
          <w:p>
            <w:r/>
            <w:r>
              <w:rPr>
                <w:b/>
                <w:sz w:val="19"/>
              </w:rPr>
              <w:t>Where it lives</w:t>
            </w:r>
          </w:p>
        </w:tc>
      </w:tr>
      <w:tr>
        <w:tc>
          <w:tcPr>
            <w:tcW w:type="dxa" w:w="1656"/>
          </w:tcPr>
          <w:p>
            <w:r/>
            <w:r>
              <w:rPr>
                <w:sz w:val="19"/>
              </w:rPr>
              <w:t>Web workbench</w:t>
            </w:r>
          </w:p>
        </w:tc>
        <w:tc>
          <w:tcPr>
            <w:tcW w:type="dxa" w:w="5184"/>
          </w:tcPr>
          <w:p>
            <w:r/>
            <w:r>
              <w:rPr>
                <w:sz w:val="19"/>
              </w:rPr>
              <w:t>FastAPI service and a dependency-free browser UI: dashboard, review queue, fraud analytics, collusion network, ingestion console and audit trail.</w:t>
            </w:r>
          </w:p>
        </w:tc>
        <w:tc>
          <w:tcPr>
            <w:tcW w:type="dxa" w:w="2520"/>
          </w:tcPr>
          <w:p>
            <w:r/>
            <w:r>
              <w:rPr>
                <w:sz w:val="19"/>
              </w:rPr>
              <w:t>app/main.py, app/static/index.html</w:t>
            </w:r>
          </w:p>
        </w:tc>
      </w:tr>
      <w:tr>
        <w:tc>
          <w:tcPr>
            <w:tcW w:type="dxa" w:w="1656"/>
          </w:tcPr>
          <w:p>
            <w:r/>
            <w:r>
              <w:rPr>
                <w:sz w:val="19"/>
              </w:rPr>
              <w:t>Ingestion</w:t>
            </w:r>
          </w:p>
        </w:tc>
        <w:tc>
          <w:tcPr>
            <w:tcW w:type="dxa" w:w="5184"/>
          </w:tcPr>
          <w:p>
            <w:r/>
            <w:r>
              <w:rPr>
                <w:sz w:val="19"/>
              </w:rPr>
              <w:t>Email ingestion (SPF/DKIM/DMARC checks, magic-byte MIME sniffing, prompt-injection screening) and a REST upload API for portal and batch feeds.</w:t>
            </w:r>
          </w:p>
        </w:tc>
        <w:tc>
          <w:tcPr>
            <w:tcW w:type="dxa" w:w="2520"/>
          </w:tcPr>
          <w:p>
            <w:r/>
            <w:r>
              <w:rPr>
                <w:sz w:val="19"/>
              </w:rPr>
              <w:t>ingestion/email_parser.py, app/main.py</w:t>
            </w:r>
          </w:p>
        </w:tc>
      </w:tr>
      <w:tr>
        <w:tc>
          <w:tcPr>
            <w:tcW w:type="dxa" w:w="1656"/>
          </w:tcPr>
          <w:p>
            <w:r/>
            <w:r>
              <w:rPr>
                <w:sz w:val="19"/>
              </w:rPr>
              <w:t>Document AI</w:t>
            </w:r>
          </w:p>
        </w:tc>
        <w:tc>
          <w:tcPr>
            <w:tcW w:type="dxa" w:w="5184"/>
          </w:tcPr>
          <w:p>
            <w:r/>
            <w:r>
              <w:rPr>
                <w:sz w:val="19"/>
              </w:rPr>
              <w:t>OpenCV preprocessing, Tesseract OCR with word-level geometry, spatial extraction, graph-based table reconstruction, optional LayoutLMv3 path.</w:t>
            </w:r>
          </w:p>
        </w:tc>
        <w:tc>
          <w:tcPr>
            <w:tcW w:type="dxa" w:w="2520"/>
          </w:tcPr>
          <w:p>
            <w:r/>
            <w:r>
              <w:rPr>
                <w:sz w:val="19"/>
              </w:rPr>
              <w:t>ingestion/, ocr/, extraction/</w:t>
            </w:r>
          </w:p>
        </w:tc>
      </w:tr>
      <w:tr>
        <w:tc>
          <w:tcPr>
            <w:tcW w:type="dxa" w:w="1656"/>
          </w:tcPr>
          <w:p>
            <w:r/>
            <w:r>
              <w:rPr>
                <w:sz w:val="19"/>
              </w:rPr>
              <w:t>Matching</w:t>
            </w:r>
          </w:p>
        </w:tc>
        <w:tc>
          <w:tcPr>
            <w:tcW w:type="dxa" w:w="5184"/>
          </w:tcPr>
          <w:p>
            <w:r/>
            <w:r>
              <w:rPr>
                <w:sz w:val="19"/>
              </w:rPr>
              <w:t>Deterministic PO × GRN × invoice reconciliation with fuzzy description matching and explicit price, quantity and total tolerances.</w:t>
            </w:r>
          </w:p>
        </w:tc>
        <w:tc>
          <w:tcPr>
            <w:tcW w:type="dxa" w:w="2520"/>
          </w:tcPr>
          <w:p>
            <w:r/>
            <w:r>
              <w:rPr>
                <w:sz w:val="19"/>
              </w:rPr>
              <w:t>matching/three_way.py</w:t>
            </w:r>
          </w:p>
        </w:tc>
      </w:tr>
      <w:tr>
        <w:tc>
          <w:tcPr>
            <w:tcW w:type="dxa" w:w="1656"/>
          </w:tcPr>
          <w:p>
            <w:r/>
            <w:r>
              <w:rPr>
                <w:sz w:val="19"/>
              </w:rPr>
              <w:t>Fraud engines</w:t>
            </w:r>
          </w:p>
        </w:tc>
        <w:tc>
          <w:tcPr>
            <w:tcW w:type="dxa" w:w="5184"/>
          </w:tcPr>
          <w:p>
            <w:r/>
            <w:r>
              <w:rPr>
                <w:sz w:val="19"/>
              </w:rPr>
              <w:t>Duplicate detection, Benford digit analysis, Isolation Forest behavioural scoring and graph-based collusion analysis.</w:t>
            </w:r>
          </w:p>
        </w:tc>
        <w:tc>
          <w:tcPr>
            <w:tcW w:type="dxa" w:w="2520"/>
          </w:tcPr>
          <w:p>
            <w:r/>
            <w:r>
              <w:rPr>
                <w:sz w:val="19"/>
              </w:rPr>
              <w:t>fraud/</w:t>
            </w:r>
          </w:p>
        </w:tc>
      </w:tr>
      <w:tr>
        <w:tc>
          <w:tcPr>
            <w:tcW w:type="dxa" w:w="1656"/>
          </w:tcPr>
          <w:p>
            <w:r/>
            <w:r>
              <w:rPr>
                <w:sz w:val="19"/>
              </w:rPr>
              <w:t>Decisioning</w:t>
            </w:r>
          </w:p>
        </w:tc>
        <w:tc>
          <w:tcPr>
            <w:tcW w:type="dxa" w:w="5184"/>
          </w:tcPr>
          <w:p>
            <w:r/>
            <w:r>
              <w:rPr>
                <w:sz w:val="19"/>
              </w:rPr>
              <w:t>Noisy-OR risk aggregation, hard blocks, confidence-gated routing, ERP posting and a hash-chained audit ledger.</w:t>
            </w:r>
          </w:p>
        </w:tc>
        <w:tc>
          <w:tcPr>
            <w:tcW w:type="dxa" w:w="2520"/>
          </w:tcPr>
          <w:p>
            <w:r/>
            <w:r>
              <w:rPr>
                <w:sz w:val="19"/>
              </w:rPr>
              <w:t>fraud/risk_engine.py, pipeline/orchestrator.py</w:t>
            </w:r>
          </w:p>
        </w:tc>
      </w:tr>
      <w:tr>
        <w:tc>
          <w:tcPr>
            <w:tcW w:type="dxa" w:w="1656"/>
          </w:tcPr>
          <w:p>
            <w:r/>
            <w:r>
              <w:rPr>
                <w:sz w:val="19"/>
              </w:rPr>
              <w:t>Human in the loop</w:t>
            </w:r>
          </w:p>
        </w:tc>
        <w:tc>
          <w:tcPr>
            <w:tcW w:type="dxa" w:w="5184"/>
          </w:tcPr>
          <w:p>
            <w:r/>
            <w:r>
              <w:rPr>
                <w:sz w:val="19"/>
              </w:rPr>
              <w:t>Review queue with bounding-box evidence, field corrections that trigger immediate re-assessment, and an active-learning feedback store.</w:t>
            </w:r>
          </w:p>
        </w:tc>
        <w:tc>
          <w:tcPr>
            <w:tcW w:type="dxa" w:w="2520"/>
          </w:tcPr>
          <w:p>
            <w:r/>
            <w:r>
              <w:rPr>
                <w:sz w:val="19"/>
              </w:rPr>
              <w:t>app/service.py, feedback/active_learning.py</w:t>
            </w:r>
          </w:p>
        </w:tc>
      </w:tr>
    </w:tbl>
    <w:p>
      <w:pPr>
        <w:spacing w:before="280" w:after="80"/>
      </w:pPr>
      <w:r>
        <w:rPr>
          <w:b/>
          <w:color w:val="142A4C"/>
          <w:sz w:val="30"/>
        </w:rPr>
        <w:t>3.  How the pipeline works</w:t>
      </w:r>
    </w:p>
    <w:p>
      <w:pPr>
        <w:pStyle w:val="ListBullet"/>
        <w:spacing w:after="40"/>
      </w:pPr>
      <w:r>
        <w:rPr>
          <w:sz w:val="21"/>
        </w:rPr>
        <w:t>Preprocess — OpenCV: upscale, denoise, estimate and correct skew with a Hough transform, and adaptively threshold so shadows and phone-camera lighting gradients do not defeat OCR.</w:t>
      </w:r>
    </w:p>
    <w:p>
      <w:pPr>
        <w:pStyle w:val="ListBullet"/>
        <w:spacing w:after="40"/>
      </w:pPr>
      <w:r>
        <w:rPr>
          <w:sz w:val="21"/>
        </w:rPr>
        <w:t>OCR — Tesseract 5 by default, with AWS Textract and Azure Document Intelligence adapters behind the same interface. Every word carries a bounding box and a confidence.</w:t>
      </w:r>
    </w:p>
    <w:p>
      <w:pPr>
        <w:pStyle w:val="ListBullet"/>
        <w:spacing w:after="40"/>
      </w:pPr>
      <w:r>
        <w:rPr>
          <w:sz w:val="21"/>
        </w:rPr>
        <w:t>Extract — the spatial extractor reasons in two dimensions: it finds label windows, takes the value to the right of a label, refuses to cross a column gutter, and falls back to a validator-guarded regex sweep. Identifier fields (tax ID, bank account) return 'not found' rather than guessing, because a wrong identifier raises a false fraud alert.</w:t>
      </w:r>
    </w:p>
    <w:p>
      <w:pPr>
        <w:pStyle w:val="ListBullet"/>
        <w:spacing w:after="40"/>
      </w:pPr>
      <w:r>
        <w:rPr>
          <w:sz w:val="21"/>
        </w:rPr>
        <w:t>LayoutLMv3 — the production transformer path is implemented (token classification over text + layout embeddings, training loop, ONNX export) and replaces the spatial extractor when a checkpoint is present. No GPU was available here, so the shipped configuration uses the dependency-free fallback; the interface is identical.</w:t>
      </w:r>
    </w:p>
    <w:p>
      <w:pPr>
        <w:pStyle w:val="ListBullet"/>
        <w:spacing w:after="40"/>
      </w:pPr>
      <w:r>
        <w:rPr>
          <w:sz w:val="21"/>
        </w:rPr>
        <w:t>Table parsing — line items are reconstructed from token geometry: rows from vertical overlap, columns from where numeric cells actually land, with decimal repair driven by the identity amount = quantity × unit price.</w:t>
      </w:r>
    </w:p>
    <w:p>
      <w:pPr>
        <w:pStyle w:val="ListBullet"/>
        <w:spacing w:after="40"/>
      </w:pPr>
      <w:r>
        <w:rPr>
          <w:sz w:val="21"/>
        </w:rPr>
        <w:t>Three-way match — PO and GRN are fetched from the ERP, descriptions are compared with fuzzy similarity, quantities are checked against the goods receipt, and variances are tested against configured tolerances. An independent arithmetic check catches totals that do not equal subtotal + tax + shipping — the signature of amount tampering, which a PO comparison alone cannot see because the PO holds pre-tax values.</w:t>
      </w:r>
    </w:p>
    <w:p>
      <w:pPr>
        <w:pStyle w:val="ListBullet"/>
        <w:spacing w:after="40"/>
      </w:pPr>
      <w:r>
        <w:rPr>
          <w:sz w:val="21"/>
        </w:rPr>
        <w:t>Fraud engines — duplicate detection (exact fingerprint, normalised invoice number, and document-embedding cosine similarity), Benford first-digit analysis with chi-square and MAD conformity bands, Isolation Forest scoring over twelve behavioural features, and a graph engine that links vendors, employees, addresses and bank accounts.</w:t>
      </w:r>
    </w:p>
    <w:p>
      <w:pPr>
        <w:pStyle w:val="ListBullet"/>
        <w:spacing w:after="40"/>
      </w:pPr>
      <w:r>
        <w:rPr>
          <w:sz w:val="21"/>
        </w:rPr>
        <w:t>Risk and routing — engine scores combine with a noisy-OR so any strong signal raises risk, hard blocks (duplicate, phantom vendor, collusion, bank-account reuse) quarantine outright, and the remainder routes to auto-approve, review or reject with a written reason. Straight-through processing only fires when extraction confidence is at least 0.95, fraud risk at most 0.10 and the three-way match is complete; both gates are configuration, not code (AP_STP_CONFIDENCE / AP_STP_RISK_MAX).</w:t>
      </w:r>
    </w:p>
    <w:p>
      <w:pPr>
        <w:pStyle w:val="ListBullet"/>
        <w:spacing w:after="40"/>
      </w:pPr>
      <w:r>
        <w:rPr>
          <w:sz w:val="21"/>
        </w:rPr>
        <w:t>Act and record — approved invoices post to the ERP idempotently; every stage is timed and written to an append-only, hash-chained ledger that can be verified after the fact.</w:t>
      </w:r>
    </w:p>
    <w:p>
      <w:pPr>
        <w:spacing w:before="280" w:after="80"/>
      </w:pPr>
      <w:r>
        <w:rPr>
          <w:b/>
          <w:color w:val="142A4C"/>
          <w:sz w:val="30"/>
        </w:rPr>
        <w:t>4.  Measured performance</w:t>
      </w:r>
    </w:p>
    <w:p>
      <w:pPr>
        <w:spacing w:after="120"/>
      </w:pPr>
      <w:r>
        <w:rPr>
          <w:i w:val="0"/>
          <w:sz w:val="21"/>
        </w:rPr>
        <w:t>Every figure below was produced by the code in this repository. The corpus and the scoring harness ship with it, and scripts/selftest.py re-verifies the behaviour end to 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9"/>
              </w:rPr>
              <w:t>Metric</w:t>
            </w:r>
          </w:p>
        </w:tc>
        <w:tc>
          <w:tcPr>
            <w:tcW w:type="dxa" w:w="4464"/>
          </w:tcPr>
          <w:p>
            <w:r/>
            <w:r>
              <w:rPr>
                <w:b/>
                <w:sz w:val="19"/>
              </w:rPr>
              <w:t>Definition</w:t>
            </w:r>
          </w:p>
        </w:tc>
        <w:tc>
          <w:tcPr>
            <w:tcW w:type="dxa" w:w="2736"/>
          </w:tcPr>
          <w:p>
            <w:r/>
            <w:r>
              <w:rPr>
                <w:b/>
                <w:sz w:val="19"/>
              </w:rPr>
              <w:t>Result</w:t>
            </w:r>
          </w:p>
        </w:tc>
      </w:tr>
      <w:tr>
        <w:tc>
          <w:tcPr>
            <w:tcW w:type="dxa" w:w="2160"/>
          </w:tcPr>
          <w:p>
            <w:r/>
            <w:r>
              <w:rPr>
                <w:sz w:val="19"/>
              </w:rPr>
              <w:t>Core field accuracy</w:t>
            </w:r>
          </w:p>
        </w:tc>
        <w:tc>
          <w:tcPr>
            <w:tcW w:type="dxa" w:w="4464"/>
          </w:tcPr>
          <w:p>
            <w:r/>
            <w:r>
              <w:rPr>
                <w:sz w:val="19"/>
              </w:rPr>
              <w:t>vendor, invoice number, PO number, subtotal, total</w:t>
            </w:r>
          </w:p>
        </w:tc>
        <w:tc>
          <w:tcPr>
            <w:tcW w:type="dxa" w:w="2736"/>
          </w:tcPr>
          <w:p>
            <w:r/>
            <w:r>
              <w:rPr>
                <w:sz w:val="19"/>
              </w:rPr>
              <w:t>99.1%</w:t>
            </w:r>
          </w:p>
        </w:tc>
      </w:tr>
      <w:tr>
        <w:tc>
          <w:tcPr>
            <w:tcW w:type="dxa" w:w="2160"/>
          </w:tcPr>
          <w:p>
            <w:r/>
            <w:r>
              <w:rPr>
                <w:sz w:val="19"/>
              </w:rPr>
              <w:t>Invoices processed</w:t>
            </w:r>
          </w:p>
        </w:tc>
        <w:tc>
          <w:tcPr>
            <w:tcW w:type="dxa" w:w="4464"/>
          </w:tcPr>
          <w:p>
            <w:r/>
            <w:r>
              <w:rPr>
                <w:sz w:val="19"/>
              </w:rPr>
              <w:t>scanned documents read, matched and scored</w:t>
            </w:r>
          </w:p>
        </w:tc>
        <w:tc>
          <w:tcPr>
            <w:tcW w:type="dxa" w:w="2736"/>
          </w:tcPr>
          <w:p>
            <w:r/>
            <w:r>
              <w:rPr>
                <w:sz w:val="19"/>
              </w:rPr>
              <w:t>22</w:t>
            </w:r>
          </w:p>
        </w:tc>
      </w:tr>
      <w:tr>
        <w:tc>
          <w:tcPr>
            <w:tcW w:type="dxa" w:w="2160"/>
          </w:tcPr>
          <w:p>
            <w:r/>
            <w:r>
              <w:rPr>
                <w:sz w:val="19"/>
              </w:rPr>
              <w:t>Auto-approved</w:t>
            </w:r>
          </w:p>
        </w:tc>
        <w:tc>
          <w:tcPr>
            <w:tcW w:type="dxa" w:w="4464"/>
          </w:tcPr>
          <w:p>
            <w:r/>
            <w:r>
              <w:rPr>
                <w:sz w:val="19"/>
              </w:rPr>
              <w:t>clean invoices paid with zero human touch</w:t>
            </w:r>
          </w:p>
        </w:tc>
        <w:tc>
          <w:tcPr>
            <w:tcW w:type="dxa" w:w="2736"/>
          </w:tcPr>
          <w:p>
            <w:r/>
            <w:r>
              <w:rPr>
                <w:sz w:val="19"/>
              </w:rPr>
              <w:t>6</w:t>
            </w:r>
          </w:p>
        </w:tc>
      </w:tr>
      <w:tr>
        <w:tc>
          <w:tcPr>
            <w:tcW w:type="dxa" w:w="2160"/>
          </w:tcPr>
          <w:p>
            <w:r/>
            <w:r>
              <w:rPr>
                <w:sz w:val="19"/>
              </w:rPr>
              <w:t>Stopped for a human</w:t>
            </w:r>
          </w:p>
        </w:tc>
        <w:tc>
          <w:tcPr>
            <w:tcW w:type="dxa" w:w="4464"/>
          </w:tcPr>
          <w:p>
            <w:r/>
            <w:r>
              <w:rPr>
                <w:sz w:val="19"/>
              </w:rPr>
              <w:t>review, quarantine and reject</w:t>
            </w:r>
          </w:p>
        </w:tc>
        <w:tc>
          <w:tcPr>
            <w:tcW w:type="dxa" w:w="2736"/>
          </w:tcPr>
          <w:p>
            <w:r/>
            <w:r>
              <w:rPr>
                <w:sz w:val="19"/>
              </w:rPr>
              <w:t>16  (8 pending review, 7 quarantined, 1 rejected)</w:t>
            </w:r>
          </w:p>
        </w:tc>
      </w:tr>
      <w:tr>
        <w:tc>
          <w:tcPr>
            <w:tcW w:type="dxa" w:w="2160"/>
          </w:tcPr>
          <w:p>
            <w:r/>
            <w:r>
              <w:rPr>
                <w:sz w:val="19"/>
              </w:rPr>
              <w:t>Decision agreement</w:t>
            </w:r>
          </w:p>
        </w:tc>
        <w:tc>
          <w:tcPr>
            <w:tcW w:type="dxa" w:w="4464"/>
          </w:tcPr>
          <w:p>
            <w:r/>
            <w:r>
              <w:rPr>
                <w:sz w:val="19"/>
              </w:rPr>
              <w:t>agreement with ground-truth labels</w:t>
            </w:r>
          </w:p>
        </w:tc>
        <w:tc>
          <w:tcPr>
            <w:tcW w:type="dxa" w:w="2736"/>
          </w:tcPr>
          <w:p>
            <w:r/>
            <w:r>
              <w:rPr>
                <w:sz w:val="19"/>
              </w:rPr>
              <w:t>95% of 22</w:t>
            </w:r>
          </w:p>
        </w:tc>
      </w:tr>
      <w:tr>
        <w:tc>
          <w:tcPr>
            <w:tcW w:type="dxa" w:w="2160"/>
          </w:tcPr>
          <w:p>
            <w:r/>
            <w:r>
              <w:rPr>
                <w:sz w:val="19"/>
              </w:rPr>
              <w:t>Value flagged</w:t>
            </w:r>
          </w:p>
        </w:tc>
        <w:tc>
          <w:tcPr>
            <w:tcW w:type="dxa" w:w="4464"/>
          </w:tcPr>
          <w:p>
            <w:r/>
            <w:r>
              <w:rPr>
                <w:sz w:val="19"/>
              </w:rPr>
              <w:t>amount attached to specific findings</w:t>
            </w:r>
          </w:p>
        </w:tc>
        <w:tc>
          <w:tcPr>
            <w:tcW w:type="dxa" w:w="2736"/>
          </w:tcPr>
          <w:p>
            <w:r/>
            <w:r>
              <w:rPr>
                <w:sz w:val="19"/>
              </w:rPr>
              <w:t>$277,378</w:t>
            </w:r>
          </w:p>
        </w:tc>
      </w:tr>
      <w:tr>
        <w:tc>
          <w:tcPr>
            <w:tcW w:type="dxa" w:w="2160"/>
          </w:tcPr>
          <w:p>
            <w:r/>
            <w:r>
              <w:rPr>
                <w:sz w:val="19"/>
              </w:rPr>
              <w:t>Value processed</w:t>
            </w:r>
          </w:p>
        </w:tc>
        <w:tc>
          <w:tcPr>
            <w:tcW w:type="dxa" w:w="4464"/>
          </w:tcPr>
          <w:p>
            <w:r/>
            <w:r>
              <w:rPr>
                <w:sz w:val="19"/>
              </w:rPr>
              <w:t>total invoice value examined</w:t>
            </w:r>
          </w:p>
        </w:tc>
        <w:tc>
          <w:tcPr>
            <w:tcW w:type="dxa" w:w="2736"/>
          </w:tcPr>
          <w:p>
            <w:r/>
            <w:r>
              <w:rPr>
                <w:sz w:val="19"/>
              </w:rPr>
              <w:t>$666,799</w:t>
            </w:r>
          </w:p>
        </w:tc>
      </w:tr>
      <w:tr>
        <w:tc>
          <w:tcPr>
            <w:tcW w:type="dxa" w:w="2160"/>
          </w:tcPr>
          <w:p>
            <w:r/>
            <w:r>
              <w:rPr>
                <w:sz w:val="19"/>
              </w:rPr>
              <w:t>Early-payment discount</w:t>
            </w:r>
          </w:p>
        </w:tc>
        <w:tc>
          <w:tcPr>
            <w:tcW w:type="dxa" w:w="4464"/>
          </w:tcPr>
          <w:p>
            <w:r/>
            <w:r>
              <w:rPr>
                <w:sz w:val="19"/>
              </w:rPr>
              <w:t>2/10 Net 30 collectable on auto-cleared invoices</w:t>
            </w:r>
          </w:p>
        </w:tc>
        <w:tc>
          <w:tcPr>
            <w:tcW w:type="dxa" w:w="2736"/>
          </w:tcPr>
          <w:p>
            <w:r/>
            <w:r>
              <w:rPr>
                <w:sz w:val="19"/>
              </w:rPr>
              <w:t>$2,024.61</w:t>
            </w:r>
          </w:p>
        </w:tc>
      </w:tr>
      <w:tr>
        <w:tc>
          <w:tcPr>
            <w:tcW w:type="dxa" w:w="2160"/>
          </w:tcPr>
          <w:p>
            <w:r/>
            <w:r>
              <w:rPr>
                <w:sz w:val="19"/>
              </w:rPr>
              <w:t>Compute cost</w:t>
            </w:r>
          </w:p>
        </w:tc>
        <w:tc>
          <w:tcPr>
            <w:tcW w:type="dxa" w:w="4464"/>
          </w:tcPr>
          <w:p>
            <w:r/>
            <w:r>
              <w:rPr>
                <w:sz w:val="19"/>
              </w:rPr>
              <w:t>total, against a $330.00 manual benchmark</w:t>
            </w:r>
          </w:p>
        </w:tc>
        <w:tc>
          <w:tcPr>
            <w:tcW w:type="dxa" w:w="2736"/>
          </w:tcPr>
          <w:p>
            <w:r/>
            <w:r>
              <w:rPr>
                <w:sz w:val="19"/>
              </w:rPr>
              <w:t>$0.2134  ($0.0097 per invoice)</w:t>
            </w:r>
          </w:p>
        </w:tc>
      </w:tr>
      <w:tr>
        <w:tc>
          <w:tcPr>
            <w:tcW w:type="dxa" w:w="2160"/>
          </w:tcPr>
          <w:p>
            <w:r/>
            <w:r>
              <w:rPr>
                <w:sz w:val="19"/>
              </w:rPr>
              <w:t>Extraction confidence</w:t>
            </w:r>
          </w:p>
        </w:tc>
        <w:tc>
          <w:tcPr>
            <w:tcW w:type="dxa" w:w="4464"/>
          </w:tcPr>
          <w:p>
            <w:r/>
            <w:r>
              <w:rPr>
                <w:sz w:val="19"/>
              </w:rPr>
              <w:t>mean calibrated document confidence</w:t>
            </w:r>
          </w:p>
        </w:tc>
        <w:tc>
          <w:tcPr>
            <w:tcW w:type="dxa" w:w="2736"/>
          </w:tcPr>
          <w:p>
            <w:r/>
            <w:r>
              <w:rPr>
                <w:sz w:val="19"/>
              </w:rPr>
              <w:t>95.3%</w:t>
            </w:r>
          </w:p>
        </w:tc>
      </w:tr>
      <w:tr>
        <w:tc>
          <w:tcPr>
            <w:tcW w:type="dxa" w:w="2160"/>
          </w:tcPr>
          <w:p>
            <w:r/>
            <w:r>
              <w:rPr>
                <w:sz w:val="19"/>
              </w:rPr>
              <w:t>Cycle time</w:t>
            </w:r>
          </w:p>
        </w:tc>
        <w:tc>
          <w:tcPr>
            <w:tcW w:type="dxa" w:w="4464"/>
          </w:tcPr>
          <w:p>
            <w:r/>
            <w:r>
              <w:rPr>
                <w:sz w:val="19"/>
              </w:rPr>
              <w:t>mean end-to-end processing per invoice</w:t>
            </w:r>
          </w:p>
        </w:tc>
        <w:tc>
          <w:tcPr>
            <w:tcW w:type="dxa" w:w="2736"/>
          </w:tcPr>
          <w:p>
            <w:r/>
            <w:r>
              <w:rPr>
                <w:sz w:val="19"/>
              </w:rPr>
              <w:t>4.0 s</w:t>
            </w:r>
          </w:p>
        </w:tc>
      </w:tr>
    </w:tbl>
    <w:p>
      <w:pPr>
        <w:spacing w:after="120"/>
      </w:pPr>
      <w:r>
        <w:rPr>
          <w:i w:val="0"/>
          <w:sz w:val="12"/>
        </w:rPr>
      </w:r>
    </w:p>
    <w:p>
      <w:pPr>
        <w:spacing w:after="120"/>
      </w:pPr>
      <w:r>
        <w:rPr>
          <w:i/>
          <w:color w:val="555A63"/>
          <w:sz w:val="19"/>
        </w:rPr>
        <w:t>What the engines actually caught on this corpus:</w:t>
      </w:r>
    </w:p>
    <w:tbl>
      <w:tblPr>
        <w:tblStyle w:val="LightGrid-Accent1"/>
        <w:tblW w:type="auto" w:w="0"/>
        <w:jc w:val="center"/>
        <w:tblLook w:firstColumn="1" w:firstRow="1" w:lastColumn="0" w:lastRow="0" w:noHBand="0" w:noVBand="1" w:val="04A0"/>
      </w:tblPr>
      <w:tblGrid>
        <w:gridCol w:w="4320"/>
        <w:gridCol w:w="4320"/>
      </w:tblGrid>
      <w:tr>
        <w:tc>
          <w:tcPr>
            <w:tcW w:type="dxa" w:w="2304"/>
          </w:tcPr>
          <w:p>
            <w:r/>
            <w:r>
              <w:rPr>
                <w:b/>
                <w:sz w:val="19"/>
              </w:rPr>
              <w:t>Engine</w:t>
            </w:r>
          </w:p>
        </w:tc>
        <w:tc>
          <w:tcPr>
            <w:tcW w:type="dxa" w:w="7056"/>
          </w:tcPr>
          <w:p>
            <w:r/>
            <w:r>
              <w:rPr>
                <w:b/>
                <w:sz w:val="19"/>
              </w:rPr>
              <w:t>Representative findings</w:t>
            </w:r>
          </w:p>
        </w:tc>
      </w:tr>
      <w:tr>
        <w:tc>
          <w:tcPr>
            <w:tcW w:type="dxa" w:w="2304"/>
          </w:tcPr>
          <w:p>
            <w:r/>
            <w:r>
              <w:rPr>
                <w:sz w:val="19"/>
              </w:rPr>
              <w:t>Three-way match</w:t>
            </w:r>
          </w:p>
        </w:tc>
        <w:tc>
          <w:tcPr>
            <w:tcW w:type="dxa" w:w="7056"/>
          </w:tcPr>
          <w:p>
            <w:r/>
            <w:r>
              <w:rPr>
                <w:sz w:val="19"/>
              </w:rPr>
              <w:t>18% unit-price inflation over the negotiated PO rate; goods billed but never received; a printed total inflated by $375 above subtotal + tax; off-contract spend with no purchase order at all</w:t>
            </w:r>
          </w:p>
        </w:tc>
      </w:tr>
      <w:tr>
        <w:tc>
          <w:tcPr>
            <w:tcW w:type="dxa" w:w="2304"/>
          </w:tcPr>
          <w:p>
            <w:r/>
            <w:r>
              <w:rPr>
                <w:sz w:val="19"/>
              </w:rPr>
              <w:t>Duplicate detection</w:t>
            </w:r>
          </w:p>
        </w:tc>
        <w:tc>
          <w:tcPr>
            <w:tcW w:type="dxa" w:w="7056"/>
          </w:tcPr>
          <w:p>
            <w:r/>
            <w:r>
              <w:rPr>
                <w:sz w:val="19"/>
              </w:rPr>
              <w:t>an exact resubmission; a re-numbered resubmission (INV-…-A) caught by invoice-number normalisation; a re-worded resubmission caught at 93% document-embedding similarity</w:t>
            </w:r>
          </w:p>
        </w:tc>
      </w:tr>
      <w:tr>
        <w:tc>
          <w:tcPr>
            <w:tcW w:type="dxa" w:w="2304"/>
          </w:tcPr>
          <w:p>
            <w:r/>
            <w:r>
              <w:rPr>
                <w:sz w:val="19"/>
              </w:rPr>
              <w:t>Benford / digit analysis</w:t>
            </w:r>
          </w:p>
        </w:tc>
        <w:tc>
          <w:tcPr>
            <w:tcW w:type="dxa" w:w="7056"/>
          </w:tcPr>
          <w:p>
            <w:r/>
            <w:r>
              <w:rPr>
                <w:sz w:val="19"/>
              </w:rPr>
              <w:t>amounts clustered just below the $5,000 approval threshold — the sign-off-evasion pattern, raised as a high-severity finding</w:t>
            </w:r>
          </w:p>
        </w:tc>
      </w:tr>
      <w:tr>
        <w:tc>
          <w:tcPr>
            <w:tcW w:type="dxa" w:w="2304"/>
          </w:tcPr>
          <w:p>
            <w:r/>
            <w:r>
              <w:rPr>
                <w:sz w:val="19"/>
              </w:rPr>
              <w:t>Isolation Forest</w:t>
            </w:r>
          </w:p>
        </w:tc>
        <w:tc>
          <w:tcPr>
            <w:tcW w:type="dxa" w:w="7056"/>
          </w:tcPr>
          <w:p>
            <w:r/>
            <w:r>
              <w:rPr>
                <w:sz w:val="19"/>
              </w:rPr>
              <w:t>a billing burst of four invoices totalling $368,000 within a week against a vendor norm of $24,000 per invoice</w:t>
            </w:r>
          </w:p>
        </w:tc>
      </w:tr>
      <w:tr>
        <w:tc>
          <w:tcPr>
            <w:tcW w:type="dxa" w:w="2304"/>
          </w:tcPr>
          <w:p>
            <w:r/>
            <w:r>
              <w:rPr>
                <w:sz w:val="19"/>
              </w:rPr>
              <w:t>Graph network</w:t>
            </w:r>
          </w:p>
        </w:tc>
        <w:tc>
          <w:tcPr>
            <w:tcW w:type="dxa" w:w="7056"/>
          </w:tcPr>
          <w:p>
            <w:r/>
            <w:r>
              <w:rPr>
                <w:sz w:val="19"/>
              </w:rPr>
              <w:t>a shell vendor remitting to an employee's payroll account and registered at that employee's home address; two vendors sharing a single bank account</w:t>
            </w:r>
          </w:p>
        </w:tc>
      </w:tr>
    </w:tbl>
    <w:p>
      <w:pPr>
        <w:spacing w:before="280" w:after="80"/>
      </w:pPr>
      <w:r>
        <w:rPr>
          <w:b/>
          <w:color w:val="142A4C"/>
          <w:sz w:val="30"/>
        </w:rPr>
        <w:t>5.  The operator experience</w:t>
      </w:r>
    </w:p>
    <w:p>
      <w:pPr>
        <w:spacing w:after="120"/>
      </w:pPr>
      <w:r>
        <w:rPr>
          <w:i w:val="0"/>
          <w:sz w:val="21"/>
        </w:rPr>
        <w:t>The application is served locally (python3 run.py opens it in a browser) and is organised around what an AP team actually does during a day:</w:t>
      </w:r>
    </w:p>
    <w:p>
      <w:pPr>
        <w:pStyle w:val="ListBullet"/>
        <w:spacing w:after="40"/>
      </w:pPr>
      <w:r>
        <w:rPr>
          <w:sz w:val="21"/>
        </w:rPr>
        <w:t>Dashboard — straight-through rate, value flagged, cost per invoice, decision agreement and engine contribution, with every invoice one click from its full dossier.</w:t>
      </w:r>
    </w:p>
    <w:p>
      <w:pPr>
        <w:pStyle w:val="ListBullet"/>
        <w:spacing w:after="40"/>
      </w:pPr>
      <w:r>
        <w:rPr>
          <w:sz w:val="21"/>
        </w:rPr>
        <w:t>Review queue — only the invoices the automation refused to approve, ordered by risk. Opening one shows the original scan with the exact pixels each value was read from highlighted, the evidence behind every finding, and the PO and goods receipts it was compared against.</w:t>
      </w:r>
    </w:p>
    <w:p>
      <w:pPr>
        <w:pStyle w:val="ListBullet"/>
        <w:spacing w:after="40"/>
      </w:pPr>
      <w:r>
        <w:rPr>
          <w:sz w:val="21"/>
        </w:rPr>
        <w:t>Corrections — a clerk edits any field and the invoice is immediately re-matched and re-scored without re-running OCR. The before/after decision is shown, and the correction is stored as training data for the next extraction model.</w:t>
      </w:r>
    </w:p>
    <w:p>
      <w:pPr>
        <w:pStyle w:val="ListBullet"/>
        <w:spacing w:after="40"/>
      </w:pPr>
      <w:r>
        <w:rPr>
          <w:sz w:val="21"/>
        </w:rPr>
        <w:t>Fraud analytics — findings by type and severity, the Benford observed-versus-expected chart with its conformity verdict, duplicate clusters, and the behavioural anomalies with explanations.</w:t>
      </w:r>
    </w:p>
    <w:p>
      <w:pPr>
        <w:pStyle w:val="ListBullet"/>
        <w:spacing w:after="40"/>
      </w:pPr>
      <w:r>
        <w:rPr>
          <w:sz w:val="21"/>
        </w:rPr>
        <w:t>Collusion network — vendors, employees, bank accounts and addresses drawn as a graph, with shared bank accounts and shared addresses called out as conflicts of interest.</w:t>
      </w:r>
    </w:p>
    <w:p>
      <w:pPr>
        <w:pStyle w:val="ListBullet"/>
        <w:spacing w:after="40"/>
      </w:pPr>
      <w:r>
        <w:rPr>
          <w:sz w:val="21"/>
        </w:rPr>
        <w:t>Ingestion console — drag-and-drop upload and a raw-email console that shows the authentication results, the attachment screening and any prompt-injection attempt found in the body.</w:t>
      </w:r>
    </w:p>
    <w:p>
      <w:pPr>
        <w:pStyle w:val="ListBullet"/>
        <w:spacing w:after="40"/>
      </w:pPr>
      <w:r>
        <w:rPr>
          <w:sz w:val="21"/>
        </w:rPr>
        <w:t>Audit trail — the hash-chained ledger with a live chain-verification badge, plus the ERP state and the correction statistics feeding the retraining loop.</w:t>
      </w:r>
    </w:p>
    <w:p>
      <w:pPr>
        <w:spacing w:after="120"/>
      </w:pPr>
      <w:r>
        <w:rPr>
          <w:i/>
          <w:color w:val="555A63"/>
          <w:sz w:val="19"/>
        </w:rPr>
        <w:t>Architecturally this maps onto the standard microservice decomposition: the ingestion endpoints are the API gateway, OCR and ML inference run in a background worker pool (the single-node form of a Celery/RabbitMQ queue — the submit() interface is unchanged when the broker moves off-box), the ERP connector is the integration layer against SAP/NetSuite, and the UI is the exception-handling console.</w:t>
      </w:r>
    </w:p>
    <w:p>
      <w:pPr>
        <w:spacing w:before="280" w:after="80"/>
      </w:pPr>
      <w:r>
        <w:rPr>
          <w:b/>
          <w:color w:val="142A4C"/>
          <w:sz w:val="30"/>
        </w:rPr>
        <w:t>6.  Business case</w:t>
      </w:r>
    </w:p>
    <w:p>
      <w:pPr>
        <w:spacing w:after="120"/>
      </w:pPr>
      <w:r>
        <w:rPr>
          <w:i w:val="0"/>
          <w:sz w:val="21"/>
        </w:rPr>
        <w:t>On this corpus the platform processed 22 invoices for $0.2134 of compute against a $330.00 manual equivalent. The larger effect is cycle time: invoices that took days to clear are approved in seconds. That is what makes supplier settlement discounts collectable — a 2/10 Net 30 agreement pays the buyer 2% to settle inside ten days, and the window opens when the invoice arrives, not when someone gets to it. On the invoices this platform cleared without a human, that is $2,024.61 of discount available at $330 spend; on $10M of annual spend the same policy is worth roughly $200,000 a year, several hundred times the operating cost of the system.</w:t>
      </w:r>
    </w:p>
    <w:p>
      <w:pPr>
        <w:spacing w:after="120"/>
      </w:pPr>
      <w:r>
        <w:rPr>
          <w:i/>
          <w:color w:val="555A63"/>
          <w:sz w:val="19"/>
        </w:rPr>
        <w:t>The discount figure is modelled from the cleared invoices under the standard 2/10 Net 30 policy baked into the build (the Audit tab shows the per-invoice working); actual capture depends on the payment run, which is why it is reported as a modelled benefit rather than a measured one.</w:t>
      </w:r>
    </w:p>
    <w:p>
      <w:pPr>
        <w:spacing w:after="120"/>
      </w:pPr>
      <w:r>
        <w:rPr>
          <w:i w:val="0"/>
          <w:sz w:val="21"/>
        </w:rPr>
        <w:t>The fraud engines address a different line of the P&amp;L, and they are what makes the case to a CFO: every finding carries the amount at stake, so the system reports a recovery figure ($277,378 here) rather than an accuracy percentage. Prevention is measurable, which is what turns a detection tool into an investment.</w:t>
      </w:r>
    </w:p>
    <w:p>
      <w:pPr>
        <w:spacing w:before="280" w:after="80"/>
      </w:pPr>
      <w:r>
        <w:rPr>
          <w:b/>
          <w:color w:val="142A4C"/>
          <w:sz w:val="30"/>
        </w:rPr>
        <w:t>7.  Rollout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1944"/>
          </w:tcPr>
          <w:p>
            <w:r/>
            <w:r>
              <w:rPr>
                <w:b/>
                <w:sz w:val="19"/>
              </w:rPr>
              <w:t>Phase</w:t>
            </w:r>
          </w:p>
        </w:tc>
        <w:tc>
          <w:tcPr>
            <w:tcW w:type="dxa" w:w="4824"/>
          </w:tcPr>
          <w:p>
            <w:r/>
            <w:r>
              <w:rPr>
                <w:b/>
                <w:sz w:val="19"/>
              </w:rPr>
              <w:t>Scope</w:t>
            </w:r>
          </w:p>
        </w:tc>
        <w:tc>
          <w:tcPr>
            <w:tcW w:type="dxa" w:w="2592"/>
          </w:tcPr>
          <w:p>
            <w:r/>
            <w:r>
              <w:rPr>
                <w:b/>
                <w:sz w:val="19"/>
              </w:rPr>
              <w:t>Exit criteria</w:t>
            </w:r>
          </w:p>
        </w:tc>
      </w:tr>
      <w:tr>
        <w:tc>
          <w:tcPr>
            <w:tcW w:type="dxa" w:w="1944"/>
          </w:tcPr>
          <w:p>
            <w:r/>
            <w:r>
              <w:rPr>
                <w:sz w:val="19"/>
              </w:rPr>
              <w:t>1 · Weeks 1–4</w:t>
              <w:br/>
              <w:t>Shadow mode</w:t>
            </w:r>
          </w:p>
        </w:tc>
        <w:tc>
          <w:tcPr>
            <w:tcW w:type="dxa" w:w="4824"/>
          </w:tcPr>
          <w:p>
            <w:r/>
            <w:r>
              <w:rPr>
                <w:sz w:val="19"/>
              </w:rPr>
              <w:t>Run against live invoices in parallel with the existing process and act on nothing. Measure extraction accuracy and the false-positive rate on the client's own document mix.</w:t>
            </w:r>
          </w:p>
        </w:tc>
        <w:tc>
          <w:tcPr>
            <w:tcW w:type="dxa" w:w="2592"/>
          </w:tcPr>
          <w:p>
            <w:r/>
            <w:r>
              <w:rPr>
                <w:sz w:val="19"/>
              </w:rPr>
              <w:t>Field accuracy and false-positive rate baselined on real documents</w:t>
            </w:r>
          </w:p>
        </w:tc>
      </w:tr>
      <w:tr>
        <w:tc>
          <w:tcPr>
            <w:tcW w:type="dxa" w:w="1944"/>
          </w:tcPr>
          <w:p>
            <w:r/>
            <w:r>
              <w:rPr>
                <w:sz w:val="19"/>
              </w:rPr>
              <w:t>2 · Weeks 5–10</w:t>
              <w:br/>
              <w:t>Assisted mode</w:t>
            </w:r>
          </w:p>
        </w:tc>
        <w:tc>
          <w:tcPr>
            <w:tcW w:type="dxa" w:w="4824"/>
          </w:tcPr>
          <w:p>
            <w:r/>
            <w:r>
              <w:rPr>
                <w:sz w:val="19"/>
              </w:rPr>
              <w:t>Auto-approve only the safest segment (low value, clean scans, clean match); route everything else to a clerk. Corrections feed the active-learning loop.</w:t>
            </w:r>
          </w:p>
        </w:tc>
        <w:tc>
          <w:tcPr>
            <w:tcW w:type="dxa" w:w="2592"/>
          </w:tcPr>
          <w:p>
            <w:r/>
            <w:r>
              <w:rPr>
                <w:sz w:val="19"/>
              </w:rPr>
              <w:t>Measured precision on auto-approved invoices; clerks working in the queue daily</w:t>
            </w:r>
          </w:p>
        </w:tc>
      </w:tr>
      <w:tr>
        <w:tc>
          <w:tcPr>
            <w:tcW w:type="dxa" w:w="1944"/>
          </w:tcPr>
          <w:p>
            <w:r/>
            <w:r>
              <w:rPr>
                <w:sz w:val="19"/>
              </w:rPr>
              <w:t>3 · Week 11+</w:t>
              <w:br/>
              <w:t>Straight-through</w:t>
            </w:r>
          </w:p>
        </w:tc>
        <w:tc>
          <w:tcPr>
            <w:tcW w:type="dxa" w:w="4824"/>
          </w:tcPr>
          <w:p>
            <w:r/>
            <w:r>
              <w:rPr>
                <w:sz w:val="19"/>
              </w:rPr>
              <w:t>Widen the auto-approval envelope as measured precision allows, and enable ERP auto-posting.</w:t>
            </w:r>
          </w:p>
        </w:tc>
        <w:tc>
          <w:tcPr>
            <w:tcW w:type="dxa" w:w="2592"/>
          </w:tcPr>
          <w:p>
            <w:r/>
            <w:r>
              <w:rPr>
                <w:sz w:val="19"/>
              </w:rPr>
              <w:t>Target straight-through rate reached without fraud escaping the controls</w:t>
            </w:r>
          </w:p>
        </w:tc>
      </w:tr>
    </w:tbl>
    <w:p>
      <w:pPr>
        <w:spacing w:before="280" w:after="80"/>
      </w:pPr>
      <w:r>
        <w:rPr>
          <w:b/>
          <w:color w:val="142A4C"/>
          <w:sz w:val="30"/>
        </w:rPr>
        <w:t>8.  Delivered beyond the core scope</w:t>
      </w:r>
    </w:p>
    <w:p>
      <w:pPr>
        <w:spacing w:after="120"/>
      </w:pPr>
      <w:r>
        <w:rPr>
          <w:i w:val="0"/>
          <w:sz w:val="21"/>
        </w:rPr>
        <w:t>The four capabilities originally listed as future scope are implemented, wired into the application and covered by the test suite. Each is verified by the shipped code rather than described.</w:t>
      </w:r>
    </w:p>
    <w:tbl>
      <w:tblPr>
        <w:tblStyle w:val="LightGrid-Accent1"/>
        <w:tblW w:type="auto" w:w="0"/>
        <w:jc w:val="center"/>
        <w:tblLook w:firstColumn="1" w:firstRow="1" w:lastColumn="0" w:lastRow="0" w:noHBand="0" w:noVBand="1" w:val="04A0"/>
      </w:tblPr>
      <w:tblGrid>
        <w:gridCol w:w="2880"/>
        <w:gridCol w:w="2880"/>
        <w:gridCol w:w="2880"/>
      </w:tblGrid>
      <w:tr>
        <w:tc>
          <w:tcPr>
            <w:tcW w:type="dxa" w:w="1800"/>
          </w:tcPr>
          <w:p>
            <w:r/>
            <w:r>
              <w:rPr>
                <w:b/>
                <w:sz w:val="19"/>
              </w:rPr>
              <w:t>Capability</w:t>
            </w:r>
          </w:p>
        </w:tc>
        <w:tc>
          <w:tcPr>
            <w:tcW w:type="dxa" w:w="4536"/>
          </w:tcPr>
          <w:p>
            <w:r/>
            <w:r>
              <w:rPr>
                <w:b/>
                <w:sz w:val="19"/>
              </w:rPr>
              <w:t>What was built</w:t>
            </w:r>
          </w:p>
        </w:tc>
        <w:tc>
          <w:tcPr>
            <w:tcW w:type="dxa" w:w="3024"/>
          </w:tcPr>
          <w:p>
            <w:r/>
            <w:r>
              <w:rPr>
                <w:b/>
                <w:sz w:val="19"/>
              </w:rPr>
              <w:t>Evidence from this build</w:t>
            </w:r>
          </w:p>
        </w:tc>
      </w:tr>
      <w:tr>
        <w:tc>
          <w:tcPr>
            <w:tcW w:type="dxa" w:w="1800"/>
          </w:tcPr>
          <w:p>
            <w:r/>
            <w:r>
              <w:rPr>
                <w:sz w:val="19"/>
              </w:rPr>
              <w:t>Microservices</w:t>
              <w:br/>
              <w:t>Cloud-scale</w:t>
            </w:r>
          </w:p>
        </w:tc>
        <w:tc>
          <w:tcPr>
            <w:tcW w:type="dxa" w:w="4536"/>
          </w:tcPr>
          <w:p>
            <w:r/>
            <w:r>
              <w:rPr>
                <w:sz w:val="19"/>
              </w:rPr>
              <w:t>Eight independently deployable FastAPI services (gateway, extraction, matching, fraud, payments, anchor, worker) behind one gateway, with a service registry, health/readiness probes, a job broker and configuration-driven call transport. Docker Compose stack with Redis, MinIO and a database.</w:t>
            </w:r>
          </w:p>
        </w:tc>
        <w:tc>
          <w:tcPr>
            <w:tcW w:type="dxa" w:w="3024"/>
          </w:tcPr>
          <w:p>
            <w:r/>
            <w:r>
              <w:rPr>
                <w:sz w:val="19"/>
              </w:rPr>
              <w:t>Fleet runs locally: 7/7 services answer /health with HTTP transport; a document processed across service boundaries in 8.1 s with transport {extraction: http, matching: http, fraud: http}</w:t>
            </w:r>
          </w:p>
        </w:tc>
      </w:tr>
      <w:tr>
        <w:tc>
          <w:tcPr>
            <w:tcW w:type="dxa" w:w="1800"/>
          </w:tcPr>
          <w:p>
            <w:r/>
            <w:r>
              <w:rPr>
                <w:sz w:val="19"/>
              </w:rPr>
              <w:t>Automatic payments</w:t>
              <w:br/>
              <w:t>Real-world rails</w:t>
            </w:r>
          </w:p>
        </w:tc>
        <w:tc>
          <w:tcPr>
            <w:tcW w:type="dxa" w:w="4536"/>
          </w:tcPr>
          <w:p>
            <w:r/>
            <w:r>
              <w:rPr>
                <w:sz w:val="19"/>
              </w:rPr>
              <w:t>Policy gates (confidence, caps, velocity, verified bank account, bank-change cooling-off, sanctions, duplicate window) → ISO 20022 pain.001 credit transfer → rail submission → camt.053 reconciliation → remittance advice. Idempotent by construction.</w:t>
            </w:r>
          </w:p>
        </w:tc>
        <w:tc>
          <w:tcPr>
            <w:tcW w:type="dxa" w:w="3024"/>
          </w:tcPr>
          <w:p>
            <w:r/>
            <w:r>
              <w:rPr>
                <w:sz w:val="19"/>
              </w:rPr>
              <w:t>6 approved invoices released: $100,650.18 settled, $580.72 early-payment discount captured, 6/6 reconciled against the bank statement; a replayed run pays nothing; withheld invoices carry the rule that withheld them</w:t>
            </w:r>
          </w:p>
        </w:tc>
      </w:tr>
      <w:tr>
        <w:tc>
          <w:tcPr>
            <w:tcW w:type="dxa" w:w="1800"/>
          </w:tcPr>
          <w:p>
            <w:r/>
            <w:r>
              <w:rPr>
                <w:sz w:val="19"/>
              </w:rPr>
              <w:t>Blockchain</w:t>
              <w:br/>
              <w:t>Audit trail</w:t>
            </w:r>
          </w:p>
        </w:tc>
        <w:tc>
          <w:tcPr>
            <w:tcW w:type="dxa" w:w="4536"/>
          </w:tcPr>
          <w:p>
            <w:r/>
            <w:r>
              <w:rPr>
                <w:sz w:val="19"/>
              </w:rPr>
              <w:t>Ledger records are Merkle-sealed into blocks (root, previous block hash, sequence range) and anchored to an external sink. Inclusion proofs per invoice; a standalone stdlib verifier ships with the code.</w:t>
            </w:r>
          </w:p>
        </w:tc>
        <w:tc>
          <w:tcPr>
            <w:tcW w:type="dxa" w:w="3024"/>
          </w:tcPr>
          <w:p>
            <w:r/>
            <w:r>
              <w:rPr>
                <w:sz w:val="19"/>
              </w:rPr>
              <w:t>22/22 records sealed and anchored; 6/6 verifier checks PASSED; the verifier exits 1 on a tampered record — asserted in the test suite, not assumed</w:t>
            </w:r>
          </w:p>
        </w:tc>
      </w:tr>
      <w:tr>
        <w:tc>
          <w:tcPr>
            <w:tcW w:type="dxa" w:w="1800"/>
          </w:tcPr>
          <w:p>
            <w:r/>
            <w:r>
              <w:rPr>
                <w:sz w:val="19"/>
              </w:rPr>
              <w:t>Generative AI</w:t>
              <w:br/>
              <w:t>Contract matching</w:t>
            </w:r>
          </w:p>
        </w:tc>
        <w:tc>
          <w:tcPr>
            <w:tcW w:type="dxa" w:w="4536"/>
          </w:tcPr>
          <w:p>
            <w:r/>
            <w:r>
              <w:rPr>
                <w:sz w:val="19"/>
              </w:rPr>
              <w:t>Master service agreements parsed into machine-checkable rate cards by a deterministic parser plus an optional LLM path (OpenAI / Anthropic / Ollama), with the model's output validated before use. Invoice lines are then compared against the negotiated rate, escalation cap and prohibited items.</w:t>
            </w:r>
          </w:p>
        </w:tc>
        <w:tc>
          <w:tcPr>
            <w:tcW w:type="dxa" w:w="3024"/>
          </w:tcPr>
          <w:p>
            <w:r/>
            <w:r>
              <w:rPr>
                <w:sz w:val="19"/>
              </w:rPr>
              <w:t>10 agreements / 17 POs / 42 rate lines; $178,682 of contract-breach exposure found on live invoices; a hallucinating model is rejected by the validator in the test suite</w:t>
            </w:r>
          </w:p>
        </w:tc>
      </w:tr>
    </w:tbl>
    <w:p>
      <w:pPr>
        <w:spacing w:before="280" w:after="80"/>
      </w:pPr>
      <w:r>
        <w:rPr>
          <w:b/>
          <w:color w:val="142A4C"/>
          <w:sz w:val="30"/>
        </w:rPr>
        <w:t>9.  Limitations and honest gaps</w:t>
      </w:r>
    </w:p>
    <w:p>
      <w:pPr>
        <w:pStyle w:val="ListBullet"/>
        <w:spacing w:after="40"/>
      </w:pPr>
      <w:r>
        <w:rPr>
          <w:sz w:val="21"/>
        </w:rPr>
        <w:t>Vendor tax identifier is the weakest extracted field: where OCR loses the digits entirely the system reports the field as missing rather than guessing. That is the correct behaviour, but it means tax-ID verification is only partially exercised until a stronger OCR or LayoutLM checkpoint is in place.</w:t>
      </w:r>
    </w:p>
    <w:p>
      <w:pPr>
        <w:pStyle w:val="ListBullet"/>
        <w:spacing w:after="40"/>
      </w:pPr>
      <w:r>
        <w:rPr>
          <w:sz w:val="21"/>
        </w:rPr>
        <w:t>The shipped extractor is the spatial heuristic fallback, not a trained LayoutLMv3 checkpoint (no GPU available in this environment). The transformer path is implemented and switchable.</w:t>
      </w:r>
    </w:p>
    <w:p>
      <w:pPr>
        <w:pStyle w:val="ListBullet"/>
        <w:spacing w:after="40"/>
      </w:pPr>
      <w:r>
        <w:rPr>
          <w:sz w:val="21"/>
        </w:rPr>
        <w:t>Multi-page invoices whose tables continue across page breaks are not handled.</w:t>
      </w:r>
    </w:p>
    <w:p>
      <w:pPr>
        <w:pStyle w:val="ListBullet"/>
        <w:spacing w:after="40"/>
      </w:pPr>
      <w:r>
        <w:rPr>
          <w:sz w:val="21"/>
        </w:rPr>
        <w:t>Fraud labels in the corpus are synthetic by construction, so the engines are proven to detect the injected patterns, not calibrated against real-world base rates. Thresholds must be re-baselined on the client's own historical invoices during Phase 1.</w:t>
      </w:r>
    </w:p>
    <w:p>
      <w:pPr>
        <w:pStyle w:val="ListBullet"/>
        <w:spacing w:after="40"/>
      </w:pPr>
      <w:r>
        <w:rPr>
          <w:sz w:val="21"/>
        </w:rPr>
        <w:t>SQLite, a file-based broker and a local object store are the defaults. Postgres, Redis and S3/MinIO are wired through configuration and the Compose stack, but the Docker images were not smoke-tested in the environment this was built in.</w:t>
      </w:r>
    </w:p>
    <w:p>
      <w:pPr>
        <w:pStyle w:val="ListBullet"/>
        <w:spacing w:after="40"/>
      </w:pPr>
      <w:r>
        <w:rPr>
          <w:sz w:val="21"/>
        </w:rPr>
        <w:t>Live payment rails are implemented but unexercised: the numbers quoted come from the sandbox rail. Pointing the platform at a bank requires the client's credentials and risk sign-off.</w:t>
      </w:r>
    </w:p>
    <w:p>
      <w:pPr>
        <w:pStyle w:val="ListBullet"/>
        <w:spacing w:after="40"/>
      </w:pPr>
      <w:r>
        <w:rPr>
          <w:sz w:val="21"/>
        </w:rPr>
        <w:t>The generative contract path was validated against a mock provider, not a paid model, because no API key was available here. The guards around it are tested directly — a lying model is rejected.</w:t>
      </w:r>
    </w:p>
    <w:p>
      <w:pPr>
        <w:pStyle w:val="ListBullet"/>
        <w:spacing w:after="40"/>
      </w:pPr>
      <w:r>
        <w:rPr>
          <w:sz w:val="21"/>
        </w:rPr>
        <w:t>The corpus is deliberately small (22 documents). It demonstrates every engine firing on a real pattern, but it is not a statistically meaningful benchmark.</w:t>
      </w:r>
    </w:p>
    <w:p>
      <w:pPr>
        <w:spacing w:before="280" w:after="80"/>
      </w:pPr>
      <w:r>
        <w:rPr>
          <w:b/>
          <w:color w:val="142A4C"/>
          <w:sz w:val="30"/>
        </w:rPr>
        <w:t>10.  Verifying this yourself</w:t>
      </w:r>
    </w:p>
    <w:p>
      <w:pPr>
        <w:spacing w:after="120"/>
      </w:pPr>
      <w:r>
        <w:rPr>
          <w:i w:val="0"/>
          <w:sz w:val="21"/>
        </w:rPr>
        <w:t>The repository is self-contained: it seeds its own ERP sandbox, builds its own fraud baselines and reads invoices from the bundled images. No external system, API key or network access is required.</w:t>
      </w:r>
    </w:p>
    <w:p>
      <w:pPr>
        <w:pStyle w:val="ListBullet"/>
        <w:spacing w:after="40"/>
      </w:pPr>
      <w:r>
        <w:rPr>
          <w:sz w:val="21"/>
        </w:rPr>
        <w:t>python3 run.py — checks the environment (Python, Tesseract, packages, corpus) and opens the workbench in a browser.</w:t>
      </w:r>
    </w:p>
    <w:p>
      <w:pPr>
        <w:pStyle w:val="ListBullet"/>
        <w:spacing w:after="40"/>
      </w:pPr>
      <w:r>
        <w:rPr>
          <w:sz w:val="21"/>
        </w:rPr>
        <w:t>python3 run.py --demo — runs the command-line demo and prints the decision table.</w:t>
      </w:r>
    </w:p>
    <w:p>
      <w:pPr>
        <w:pStyle w:val="ListBullet"/>
        <w:spacing w:after="40"/>
      </w:pPr>
      <w:r>
        <w:rPr>
          <w:sz w:val="21"/>
        </w:rPr>
        <w:t>python3 run.py --selftest — runs the test suite: matching, tolerance and tamper detection, each fraud engine, OCR and extraction canaries, the full pipeline, persistence and every API endpoint. It exits non-zero if anything fails.</w:t>
      </w:r>
    </w:p>
    <w:p>
      <w:pPr>
        <w:pStyle w:val="ListBullet"/>
        <w:spacing w:after="40"/>
      </w:pPr>
      <w:r>
        <w:rPr>
          <w:sz w:val="21"/>
        </w:rPr>
        <w:t>python3 scripts/make_report.py — regenerates this document from the latest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