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C8CEF" w14:textId="7CC0F6AA" w:rsidR="00BD076E" w:rsidRPr="00BD076E" w:rsidRDefault="00BD076E" w:rsidP="00BD076E">
      <w:pPr>
        <w:spacing w:after="0" w:line="240" w:lineRule="auto"/>
        <w:jc w:val="center"/>
        <w:rPr>
          <w:b/>
          <w:bCs/>
          <w:sz w:val="28"/>
          <w:szCs w:val="28"/>
        </w:rPr>
      </w:pPr>
      <w:r w:rsidRPr="00BD076E">
        <w:rPr>
          <w:b/>
          <w:bCs/>
          <w:sz w:val="28"/>
          <w:szCs w:val="28"/>
        </w:rPr>
        <w:t xml:space="preserve">Starfish Foundation, Inc. </w:t>
      </w:r>
    </w:p>
    <w:p w14:paraId="11C3C0E3" w14:textId="367BEE2D" w:rsidR="00BD076E" w:rsidRPr="00BD076E" w:rsidRDefault="00BD076E" w:rsidP="00BD076E">
      <w:pPr>
        <w:spacing w:after="0" w:line="240" w:lineRule="auto"/>
        <w:jc w:val="center"/>
        <w:rPr>
          <w:b/>
          <w:bCs/>
          <w:sz w:val="24"/>
          <w:szCs w:val="24"/>
        </w:rPr>
      </w:pPr>
      <w:r w:rsidRPr="00BD076E">
        <w:rPr>
          <w:b/>
          <w:bCs/>
          <w:sz w:val="24"/>
          <w:szCs w:val="24"/>
        </w:rPr>
        <w:t xml:space="preserve">Fundraising Analysis, </w:t>
      </w:r>
      <w:r w:rsidR="005C6389">
        <w:rPr>
          <w:b/>
          <w:bCs/>
          <w:sz w:val="24"/>
          <w:szCs w:val="24"/>
        </w:rPr>
        <w:t>January 2021</w:t>
      </w:r>
    </w:p>
    <w:p w14:paraId="2090B612" w14:textId="77777777" w:rsidR="00BD076E" w:rsidRDefault="00BD076E" w:rsidP="00033215">
      <w:pPr>
        <w:spacing w:after="0" w:line="240" w:lineRule="auto"/>
        <w:rPr>
          <w:b/>
          <w:bCs/>
        </w:rPr>
      </w:pPr>
    </w:p>
    <w:p w14:paraId="6BE5D231" w14:textId="77777777" w:rsidR="00BD076E" w:rsidRDefault="00BD076E" w:rsidP="00033215">
      <w:pPr>
        <w:spacing w:after="0" w:line="240" w:lineRule="auto"/>
        <w:rPr>
          <w:b/>
          <w:bCs/>
        </w:rPr>
      </w:pPr>
    </w:p>
    <w:p w14:paraId="60AFCA44" w14:textId="6AA58B81" w:rsidR="00091592" w:rsidRPr="00BD076E" w:rsidRDefault="00091592" w:rsidP="00033215">
      <w:pPr>
        <w:spacing w:after="0" w:line="240" w:lineRule="auto"/>
        <w:rPr>
          <w:b/>
          <w:bCs/>
          <w:sz w:val="24"/>
          <w:szCs w:val="24"/>
          <w:u w:val="single"/>
        </w:rPr>
      </w:pPr>
      <w:r w:rsidRPr="00BD076E">
        <w:rPr>
          <w:b/>
          <w:bCs/>
          <w:sz w:val="24"/>
          <w:szCs w:val="24"/>
          <w:u w:val="single"/>
        </w:rPr>
        <w:t>General Note:</w:t>
      </w:r>
    </w:p>
    <w:p w14:paraId="4842C22F" w14:textId="6D62D015" w:rsidR="00091592" w:rsidRDefault="006408BE" w:rsidP="00033215">
      <w:pPr>
        <w:pBdr>
          <w:bottom w:val="single" w:sz="6" w:space="1" w:color="auto"/>
        </w:pBdr>
        <w:spacing w:after="0" w:line="240" w:lineRule="auto"/>
      </w:pPr>
      <w:r>
        <w:t>This report is a 3</w:t>
      </w:r>
      <w:r w:rsidRPr="006408BE">
        <w:rPr>
          <w:vertAlign w:val="superscript"/>
        </w:rPr>
        <w:t>rd</w:t>
      </w:r>
      <w:r>
        <w:t xml:space="preserve"> quarter updated of the mid-year fundraising analysis from September 2020.  </w:t>
      </w:r>
      <w:r w:rsidR="00673F4E">
        <w:t>This report only includes an update of the FY2021 year-to-date analysis.  It does not include an additional analysis of individual campaigns or an update of the monthly trends for the whole year, as was included in the September report, but this can be done for the year-end fundraising update after the end of the 4</w:t>
      </w:r>
      <w:r w:rsidR="00673F4E" w:rsidRPr="00673F4E">
        <w:rPr>
          <w:vertAlign w:val="superscript"/>
        </w:rPr>
        <w:t>th</w:t>
      </w:r>
      <w:r w:rsidR="00673F4E">
        <w:t xml:space="preserve"> quarter for FY2021.</w:t>
      </w:r>
    </w:p>
    <w:p w14:paraId="23713C66" w14:textId="77777777" w:rsidR="00673F4E" w:rsidRDefault="00673F4E" w:rsidP="00033215">
      <w:pPr>
        <w:pBdr>
          <w:bottom w:val="single" w:sz="6" w:space="1" w:color="auto"/>
        </w:pBdr>
        <w:spacing w:after="0" w:line="240" w:lineRule="auto"/>
      </w:pPr>
    </w:p>
    <w:p w14:paraId="6F8EDD70" w14:textId="77777777" w:rsidR="00673F4E" w:rsidRDefault="00673F4E" w:rsidP="00204BC2">
      <w:pPr>
        <w:rPr>
          <w:b/>
          <w:bCs/>
          <w:sz w:val="24"/>
          <w:szCs w:val="24"/>
          <w:u w:val="single"/>
        </w:rPr>
      </w:pPr>
    </w:p>
    <w:p w14:paraId="682E68A6" w14:textId="7DD85702" w:rsidR="00FE0EEA" w:rsidRPr="00204BC2" w:rsidRDefault="00FE0EEA" w:rsidP="00204BC2">
      <w:pPr>
        <w:rPr>
          <w:b/>
          <w:bCs/>
          <w:sz w:val="24"/>
          <w:szCs w:val="24"/>
          <w:u w:val="single"/>
        </w:rPr>
      </w:pPr>
      <w:r w:rsidRPr="00BD076E">
        <w:rPr>
          <w:b/>
          <w:bCs/>
          <w:sz w:val="24"/>
          <w:szCs w:val="24"/>
          <w:u w:val="single"/>
        </w:rPr>
        <w:t>Overview of this fiscal year (FY2021)</w:t>
      </w:r>
      <w:r w:rsidR="00453993" w:rsidRPr="00BD076E">
        <w:rPr>
          <w:b/>
          <w:bCs/>
          <w:sz w:val="24"/>
          <w:szCs w:val="24"/>
          <w:u w:val="single"/>
        </w:rPr>
        <w:t xml:space="preserve"> &amp; FY 20 Comparisons</w:t>
      </w:r>
      <w:r w:rsidRPr="00BD076E">
        <w:rPr>
          <w:b/>
          <w:bCs/>
          <w:sz w:val="24"/>
          <w:szCs w:val="24"/>
          <w:u w:val="single"/>
        </w:rPr>
        <w:t>:</w:t>
      </w:r>
    </w:p>
    <w:tbl>
      <w:tblPr>
        <w:tblW w:w="11827" w:type="dxa"/>
        <w:tblInd w:w="-455" w:type="dxa"/>
        <w:tblLook w:val="04A0" w:firstRow="1" w:lastRow="0" w:firstColumn="1" w:lastColumn="0" w:noHBand="0" w:noVBand="1"/>
      </w:tblPr>
      <w:tblGrid>
        <w:gridCol w:w="1980"/>
        <w:gridCol w:w="1350"/>
        <w:gridCol w:w="1350"/>
        <w:gridCol w:w="1170"/>
        <w:gridCol w:w="1710"/>
        <w:gridCol w:w="1710"/>
        <w:gridCol w:w="1297"/>
        <w:gridCol w:w="1260"/>
      </w:tblGrid>
      <w:tr w:rsidR="00204BC2" w:rsidRPr="00204BC2" w14:paraId="62AC79F1" w14:textId="77777777" w:rsidTr="00204BC2">
        <w:trPr>
          <w:trHeight w:val="6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89B458"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Bucket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27D89A64"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Income FY21</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3BA7C313"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Income FY20</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2DF37417"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FY21 as % of FY20</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B95511"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In-Kind Donations FY21</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016EA7"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In-Kind Donations FY20</w:t>
            </w:r>
          </w:p>
        </w:tc>
        <w:tc>
          <w:tcPr>
            <w:tcW w:w="1297" w:type="dxa"/>
            <w:tcBorders>
              <w:top w:val="single" w:sz="4" w:space="0" w:color="auto"/>
              <w:left w:val="nil"/>
              <w:bottom w:val="single" w:sz="4" w:space="0" w:color="auto"/>
              <w:right w:val="single" w:sz="4" w:space="0" w:color="auto"/>
            </w:tcBorders>
            <w:shd w:val="clear" w:color="auto" w:fill="auto"/>
            <w:vAlign w:val="bottom"/>
            <w:hideMark/>
          </w:tcPr>
          <w:p w14:paraId="35FED1B6"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Volunteer Hours FY21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0BC0132E"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Volunteer Hours FY20</w:t>
            </w:r>
          </w:p>
        </w:tc>
      </w:tr>
      <w:tr w:rsidR="00204BC2" w:rsidRPr="00204BC2" w14:paraId="04D305EA"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CEEF2A"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1: Individual Giving</w:t>
            </w:r>
          </w:p>
        </w:tc>
        <w:tc>
          <w:tcPr>
            <w:tcW w:w="1350" w:type="dxa"/>
            <w:tcBorders>
              <w:top w:val="nil"/>
              <w:left w:val="nil"/>
              <w:bottom w:val="single" w:sz="4" w:space="0" w:color="auto"/>
              <w:right w:val="single" w:sz="4" w:space="0" w:color="auto"/>
            </w:tcBorders>
            <w:shd w:val="clear" w:color="auto" w:fill="auto"/>
            <w:noWrap/>
            <w:vAlign w:val="bottom"/>
            <w:hideMark/>
          </w:tcPr>
          <w:p w14:paraId="56B9E537"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$81,669.55 </w:t>
            </w:r>
          </w:p>
        </w:tc>
        <w:tc>
          <w:tcPr>
            <w:tcW w:w="1350" w:type="dxa"/>
            <w:tcBorders>
              <w:top w:val="nil"/>
              <w:left w:val="nil"/>
              <w:bottom w:val="single" w:sz="4" w:space="0" w:color="auto"/>
              <w:right w:val="single" w:sz="4" w:space="0" w:color="auto"/>
            </w:tcBorders>
            <w:shd w:val="clear" w:color="auto" w:fill="auto"/>
            <w:noWrap/>
            <w:vAlign w:val="bottom"/>
            <w:hideMark/>
          </w:tcPr>
          <w:p w14:paraId="349B4958"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$88,207.57 </w:t>
            </w:r>
          </w:p>
        </w:tc>
        <w:tc>
          <w:tcPr>
            <w:tcW w:w="1170" w:type="dxa"/>
            <w:tcBorders>
              <w:top w:val="nil"/>
              <w:left w:val="nil"/>
              <w:bottom w:val="single" w:sz="4" w:space="0" w:color="auto"/>
              <w:right w:val="single" w:sz="4" w:space="0" w:color="auto"/>
            </w:tcBorders>
            <w:shd w:val="clear" w:color="auto" w:fill="auto"/>
            <w:noWrap/>
            <w:vAlign w:val="bottom"/>
            <w:hideMark/>
          </w:tcPr>
          <w:p w14:paraId="4459910E"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92.60%</w:t>
            </w:r>
          </w:p>
        </w:tc>
        <w:tc>
          <w:tcPr>
            <w:tcW w:w="1710" w:type="dxa"/>
            <w:tcBorders>
              <w:top w:val="nil"/>
              <w:left w:val="nil"/>
              <w:bottom w:val="single" w:sz="4" w:space="0" w:color="auto"/>
              <w:right w:val="single" w:sz="4" w:space="0" w:color="auto"/>
            </w:tcBorders>
            <w:shd w:val="clear" w:color="auto" w:fill="auto"/>
            <w:noWrap/>
            <w:vAlign w:val="bottom"/>
            <w:hideMark/>
          </w:tcPr>
          <w:p w14:paraId="3B1EA8FE"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$9,911.50 </w:t>
            </w:r>
          </w:p>
        </w:tc>
        <w:tc>
          <w:tcPr>
            <w:tcW w:w="1710" w:type="dxa"/>
            <w:tcBorders>
              <w:top w:val="nil"/>
              <w:left w:val="nil"/>
              <w:bottom w:val="single" w:sz="4" w:space="0" w:color="auto"/>
              <w:right w:val="single" w:sz="4" w:space="0" w:color="auto"/>
            </w:tcBorders>
            <w:shd w:val="clear" w:color="auto" w:fill="auto"/>
            <w:noWrap/>
            <w:vAlign w:val="bottom"/>
            <w:hideMark/>
          </w:tcPr>
          <w:p w14:paraId="2245E920"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$32,086.90 </w:t>
            </w:r>
          </w:p>
        </w:tc>
        <w:tc>
          <w:tcPr>
            <w:tcW w:w="1297" w:type="dxa"/>
            <w:tcBorders>
              <w:top w:val="nil"/>
              <w:left w:val="nil"/>
              <w:bottom w:val="single" w:sz="4" w:space="0" w:color="auto"/>
              <w:right w:val="single" w:sz="4" w:space="0" w:color="auto"/>
            </w:tcBorders>
            <w:shd w:val="clear" w:color="auto" w:fill="auto"/>
            <w:noWrap/>
            <w:vAlign w:val="bottom"/>
            <w:hideMark/>
          </w:tcPr>
          <w:p w14:paraId="6F0D23B9"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758</w:t>
            </w:r>
          </w:p>
        </w:tc>
        <w:tc>
          <w:tcPr>
            <w:tcW w:w="1260" w:type="dxa"/>
            <w:tcBorders>
              <w:top w:val="nil"/>
              <w:left w:val="nil"/>
              <w:bottom w:val="single" w:sz="4" w:space="0" w:color="auto"/>
              <w:right w:val="single" w:sz="4" w:space="0" w:color="auto"/>
            </w:tcBorders>
            <w:shd w:val="clear" w:color="auto" w:fill="auto"/>
            <w:noWrap/>
            <w:vAlign w:val="bottom"/>
            <w:hideMark/>
          </w:tcPr>
          <w:p w14:paraId="66206BC3"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1015</w:t>
            </w:r>
          </w:p>
        </w:tc>
      </w:tr>
      <w:tr w:rsidR="00204BC2" w:rsidRPr="00204BC2" w14:paraId="7D694EFF"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968EF7"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2: Major Donors</w:t>
            </w:r>
          </w:p>
        </w:tc>
        <w:tc>
          <w:tcPr>
            <w:tcW w:w="1350" w:type="dxa"/>
            <w:tcBorders>
              <w:top w:val="nil"/>
              <w:left w:val="nil"/>
              <w:bottom w:val="single" w:sz="4" w:space="0" w:color="auto"/>
              <w:right w:val="single" w:sz="4" w:space="0" w:color="auto"/>
            </w:tcBorders>
            <w:shd w:val="clear" w:color="auto" w:fill="auto"/>
            <w:noWrap/>
            <w:vAlign w:val="bottom"/>
            <w:hideMark/>
          </w:tcPr>
          <w:p w14:paraId="60F772F8"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$76,475.00 </w:t>
            </w:r>
          </w:p>
        </w:tc>
        <w:tc>
          <w:tcPr>
            <w:tcW w:w="1350" w:type="dxa"/>
            <w:tcBorders>
              <w:top w:val="nil"/>
              <w:left w:val="nil"/>
              <w:bottom w:val="single" w:sz="4" w:space="0" w:color="auto"/>
              <w:right w:val="single" w:sz="4" w:space="0" w:color="auto"/>
            </w:tcBorders>
            <w:shd w:val="clear" w:color="auto" w:fill="auto"/>
            <w:noWrap/>
            <w:vAlign w:val="bottom"/>
            <w:hideMark/>
          </w:tcPr>
          <w:p w14:paraId="10027AC0"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$132,716.00 </w:t>
            </w:r>
          </w:p>
        </w:tc>
        <w:tc>
          <w:tcPr>
            <w:tcW w:w="1170" w:type="dxa"/>
            <w:tcBorders>
              <w:top w:val="nil"/>
              <w:left w:val="nil"/>
              <w:bottom w:val="single" w:sz="4" w:space="0" w:color="auto"/>
              <w:right w:val="single" w:sz="4" w:space="0" w:color="auto"/>
            </w:tcBorders>
            <w:shd w:val="clear" w:color="auto" w:fill="auto"/>
            <w:noWrap/>
            <w:vAlign w:val="bottom"/>
            <w:hideMark/>
          </w:tcPr>
          <w:p w14:paraId="4A2BC562"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57.60%</w:t>
            </w:r>
          </w:p>
        </w:tc>
        <w:tc>
          <w:tcPr>
            <w:tcW w:w="1710" w:type="dxa"/>
            <w:tcBorders>
              <w:top w:val="nil"/>
              <w:left w:val="nil"/>
              <w:bottom w:val="single" w:sz="4" w:space="0" w:color="auto"/>
              <w:right w:val="single" w:sz="4" w:space="0" w:color="auto"/>
            </w:tcBorders>
            <w:shd w:val="clear" w:color="auto" w:fill="auto"/>
            <w:noWrap/>
            <w:vAlign w:val="bottom"/>
            <w:hideMark/>
          </w:tcPr>
          <w:p w14:paraId="0C400BD5"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noWrap/>
            <w:vAlign w:val="bottom"/>
            <w:hideMark/>
          </w:tcPr>
          <w:p w14:paraId="1012ABF2"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297" w:type="dxa"/>
            <w:tcBorders>
              <w:top w:val="nil"/>
              <w:left w:val="nil"/>
              <w:bottom w:val="single" w:sz="4" w:space="0" w:color="auto"/>
              <w:right w:val="single" w:sz="4" w:space="0" w:color="auto"/>
            </w:tcBorders>
            <w:shd w:val="clear" w:color="auto" w:fill="auto"/>
            <w:noWrap/>
            <w:vAlign w:val="bottom"/>
            <w:hideMark/>
          </w:tcPr>
          <w:p w14:paraId="375B13EB"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58</w:t>
            </w:r>
          </w:p>
        </w:tc>
        <w:tc>
          <w:tcPr>
            <w:tcW w:w="1260" w:type="dxa"/>
            <w:tcBorders>
              <w:top w:val="nil"/>
              <w:left w:val="nil"/>
              <w:bottom w:val="single" w:sz="4" w:space="0" w:color="auto"/>
              <w:right w:val="single" w:sz="4" w:space="0" w:color="auto"/>
            </w:tcBorders>
            <w:shd w:val="clear" w:color="auto" w:fill="auto"/>
            <w:noWrap/>
            <w:vAlign w:val="bottom"/>
            <w:hideMark/>
          </w:tcPr>
          <w:p w14:paraId="3C17F045"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31</w:t>
            </w:r>
          </w:p>
        </w:tc>
      </w:tr>
      <w:tr w:rsidR="00204BC2" w:rsidRPr="00204BC2" w14:paraId="6455538C"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0874DD"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3: Grants</w:t>
            </w:r>
          </w:p>
        </w:tc>
        <w:tc>
          <w:tcPr>
            <w:tcW w:w="1350" w:type="dxa"/>
            <w:tcBorders>
              <w:top w:val="nil"/>
              <w:left w:val="nil"/>
              <w:bottom w:val="single" w:sz="4" w:space="0" w:color="auto"/>
              <w:right w:val="single" w:sz="4" w:space="0" w:color="auto"/>
            </w:tcBorders>
            <w:shd w:val="clear" w:color="auto" w:fill="auto"/>
            <w:noWrap/>
            <w:vAlign w:val="bottom"/>
            <w:hideMark/>
          </w:tcPr>
          <w:p w14:paraId="7B780F3C"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$7,750.00 </w:t>
            </w:r>
          </w:p>
        </w:tc>
        <w:tc>
          <w:tcPr>
            <w:tcW w:w="1350" w:type="dxa"/>
            <w:tcBorders>
              <w:top w:val="nil"/>
              <w:left w:val="nil"/>
              <w:bottom w:val="single" w:sz="4" w:space="0" w:color="auto"/>
              <w:right w:val="single" w:sz="4" w:space="0" w:color="auto"/>
            </w:tcBorders>
            <w:shd w:val="clear" w:color="auto" w:fill="auto"/>
            <w:noWrap/>
            <w:vAlign w:val="bottom"/>
            <w:hideMark/>
          </w:tcPr>
          <w:p w14:paraId="47ED5F8A"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$1,500.00 </w:t>
            </w:r>
          </w:p>
        </w:tc>
        <w:tc>
          <w:tcPr>
            <w:tcW w:w="1170" w:type="dxa"/>
            <w:tcBorders>
              <w:top w:val="nil"/>
              <w:left w:val="nil"/>
              <w:bottom w:val="single" w:sz="4" w:space="0" w:color="auto"/>
              <w:right w:val="single" w:sz="4" w:space="0" w:color="auto"/>
            </w:tcBorders>
            <w:shd w:val="clear" w:color="auto" w:fill="auto"/>
            <w:noWrap/>
            <w:vAlign w:val="bottom"/>
            <w:hideMark/>
          </w:tcPr>
          <w:p w14:paraId="78771CF4"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516.70%</w:t>
            </w:r>
          </w:p>
        </w:tc>
        <w:tc>
          <w:tcPr>
            <w:tcW w:w="1710" w:type="dxa"/>
            <w:tcBorders>
              <w:top w:val="nil"/>
              <w:left w:val="nil"/>
              <w:bottom w:val="single" w:sz="4" w:space="0" w:color="auto"/>
              <w:right w:val="single" w:sz="4" w:space="0" w:color="auto"/>
            </w:tcBorders>
            <w:shd w:val="clear" w:color="auto" w:fill="auto"/>
            <w:noWrap/>
            <w:vAlign w:val="bottom"/>
            <w:hideMark/>
          </w:tcPr>
          <w:p w14:paraId="0C9EA518"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noWrap/>
            <w:vAlign w:val="bottom"/>
            <w:hideMark/>
          </w:tcPr>
          <w:p w14:paraId="3D30454A"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297" w:type="dxa"/>
            <w:tcBorders>
              <w:top w:val="nil"/>
              <w:left w:val="nil"/>
              <w:bottom w:val="single" w:sz="4" w:space="0" w:color="auto"/>
              <w:right w:val="single" w:sz="4" w:space="0" w:color="auto"/>
            </w:tcBorders>
            <w:shd w:val="clear" w:color="auto" w:fill="auto"/>
            <w:noWrap/>
            <w:vAlign w:val="bottom"/>
            <w:hideMark/>
          </w:tcPr>
          <w:p w14:paraId="7FDEEADD"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6</w:t>
            </w:r>
          </w:p>
        </w:tc>
        <w:tc>
          <w:tcPr>
            <w:tcW w:w="1260" w:type="dxa"/>
            <w:tcBorders>
              <w:top w:val="nil"/>
              <w:left w:val="nil"/>
              <w:bottom w:val="single" w:sz="4" w:space="0" w:color="auto"/>
              <w:right w:val="single" w:sz="4" w:space="0" w:color="auto"/>
            </w:tcBorders>
            <w:shd w:val="clear" w:color="auto" w:fill="auto"/>
            <w:noWrap/>
            <w:vAlign w:val="bottom"/>
            <w:hideMark/>
          </w:tcPr>
          <w:p w14:paraId="25E52F53"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1</w:t>
            </w:r>
          </w:p>
        </w:tc>
      </w:tr>
      <w:tr w:rsidR="00204BC2" w:rsidRPr="00204BC2" w14:paraId="01F994E3"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731E3E"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4: Corporations</w:t>
            </w:r>
          </w:p>
        </w:tc>
        <w:tc>
          <w:tcPr>
            <w:tcW w:w="1350" w:type="dxa"/>
            <w:tcBorders>
              <w:top w:val="nil"/>
              <w:left w:val="nil"/>
              <w:bottom w:val="single" w:sz="4" w:space="0" w:color="auto"/>
              <w:right w:val="single" w:sz="4" w:space="0" w:color="auto"/>
            </w:tcBorders>
            <w:shd w:val="clear" w:color="auto" w:fill="auto"/>
            <w:noWrap/>
            <w:vAlign w:val="bottom"/>
            <w:hideMark/>
          </w:tcPr>
          <w:p w14:paraId="335BF815"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$4,003.57 </w:t>
            </w:r>
          </w:p>
        </w:tc>
        <w:tc>
          <w:tcPr>
            <w:tcW w:w="1350" w:type="dxa"/>
            <w:tcBorders>
              <w:top w:val="nil"/>
              <w:left w:val="nil"/>
              <w:bottom w:val="single" w:sz="4" w:space="0" w:color="auto"/>
              <w:right w:val="single" w:sz="4" w:space="0" w:color="auto"/>
            </w:tcBorders>
            <w:shd w:val="clear" w:color="auto" w:fill="auto"/>
            <w:noWrap/>
            <w:vAlign w:val="bottom"/>
            <w:hideMark/>
          </w:tcPr>
          <w:p w14:paraId="6A490303"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$2,269.19 </w:t>
            </w:r>
          </w:p>
        </w:tc>
        <w:tc>
          <w:tcPr>
            <w:tcW w:w="1170" w:type="dxa"/>
            <w:tcBorders>
              <w:top w:val="nil"/>
              <w:left w:val="nil"/>
              <w:bottom w:val="single" w:sz="4" w:space="0" w:color="auto"/>
              <w:right w:val="single" w:sz="4" w:space="0" w:color="auto"/>
            </w:tcBorders>
            <w:shd w:val="clear" w:color="auto" w:fill="auto"/>
            <w:noWrap/>
            <w:vAlign w:val="bottom"/>
            <w:hideMark/>
          </w:tcPr>
          <w:p w14:paraId="0E056B93"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176.40%</w:t>
            </w:r>
          </w:p>
        </w:tc>
        <w:tc>
          <w:tcPr>
            <w:tcW w:w="1710" w:type="dxa"/>
            <w:tcBorders>
              <w:top w:val="nil"/>
              <w:left w:val="nil"/>
              <w:bottom w:val="single" w:sz="4" w:space="0" w:color="auto"/>
              <w:right w:val="single" w:sz="4" w:space="0" w:color="auto"/>
            </w:tcBorders>
            <w:shd w:val="clear" w:color="auto" w:fill="auto"/>
            <w:noWrap/>
            <w:vAlign w:val="bottom"/>
            <w:hideMark/>
          </w:tcPr>
          <w:p w14:paraId="00FCA5F2"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noWrap/>
            <w:vAlign w:val="bottom"/>
            <w:hideMark/>
          </w:tcPr>
          <w:p w14:paraId="7776E996"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$0.00 </w:t>
            </w:r>
          </w:p>
        </w:tc>
        <w:tc>
          <w:tcPr>
            <w:tcW w:w="1297" w:type="dxa"/>
            <w:tcBorders>
              <w:top w:val="nil"/>
              <w:left w:val="nil"/>
              <w:bottom w:val="single" w:sz="4" w:space="0" w:color="auto"/>
              <w:right w:val="single" w:sz="4" w:space="0" w:color="auto"/>
            </w:tcBorders>
            <w:shd w:val="clear" w:color="auto" w:fill="auto"/>
            <w:noWrap/>
            <w:vAlign w:val="bottom"/>
            <w:hideMark/>
          </w:tcPr>
          <w:p w14:paraId="27EC13EF"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7</w:t>
            </w:r>
          </w:p>
        </w:tc>
        <w:tc>
          <w:tcPr>
            <w:tcW w:w="1260" w:type="dxa"/>
            <w:tcBorders>
              <w:top w:val="nil"/>
              <w:left w:val="nil"/>
              <w:bottom w:val="single" w:sz="4" w:space="0" w:color="auto"/>
              <w:right w:val="single" w:sz="4" w:space="0" w:color="auto"/>
            </w:tcBorders>
            <w:shd w:val="clear" w:color="auto" w:fill="auto"/>
            <w:noWrap/>
            <w:vAlign w:val="bottom"/>
            <w:hideMark/>
          </w:tcPr>
          <w:p w14:paraId="26C5812E"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7</w:t>
            </w:r>
          </w:p>
        </w:tc>
      </w:tr>
      <w:tr w:rsidR="00204BC2" w:rsidRPr="00204BC2" w14:paraId="39A270A2"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D16D67"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5: Earned Revenue</w:t>
            </w:r>
          </w:p>
        </w:tc>
        <w:tc>
          <w:tcPr>
            <w:tcW w:w="1350" w:type="dxa"/>
            <w:tcBorders>
              <w:top w:val="nil"/>
              <w:left w:val="nil"/>
              <w:bottom w:val="single" w:sz="4" w:space="0" w:color="auto"/>
              <w:right w:val="single" w:sz="4" w:space="0" w:color="auto"/>
            </w:tcBorders>
            <w:shd w:val="clear" w:color="auto" w:fill="auto"/>
            <w:noWrap/>
            <w:vAlign w:val="bottom"/>
            <w:hideMark/>
          </w:tcPr>
          <w:p w14:paraId="235EF751"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$1,369.76 </w:t>
            </w:r>
          </w:p>
        </w:tc>
        <w:tc>
          <w:tcPr>
            <w:tcW w:w="1350" w:type="dxa"/>
            <w:tcBorders>
              <w:top w:val="nil"/>
              <w:left w:val="nil"/>
              <w:bottom w:val="single" w:sz="4" w:space="0" w:color="auto"/>
              <w:right w:val="single" w:sz="4" w:space="0" w:color="auto"/>
            </w:tcBorders>
            <w:shd w:val="clear" w:color="auto" w:fill="auto"/>
            <w:noWrap/>
            <w:vAlign w:val="bottom"/>
            <w:hideMark/>
          </w:tcPr>
          <w:p w14:paraId="0D42A250"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$7,321.79 </w:t>
            </w:r>
          </w:p>
        </w:tc>
        <w:tc>
          <w:tcPr>
            <w:tcW w:w="1170" w:type="dxa"/>
            <w:tcBorders>
              <w:top w:val="nil"/>
              <w:left w:val="nil"/>
              <w:bottom w:val="single" w:sz="4" w:space="0" w:color="auto"/>
              <w:right w:val="single" w:sz="4" w:space="0" w:color="auto"/>
            </w:tcBorders>
            <w:shd w:val="clear" w:color="auto" w:fill="auto"/>
            <w:noWrap/>
            <w:vAlign w:val="bottom"/>
            <w:hideMark/>
          </w:tcPr>
          <w:p w14:paraId="5059A044"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18.70%</w:t>
            </w:r>
          </w:p>
        </w:tc>
        <w:tc>
          <w:tcPr>
            <w:tcW w:w="1710" w:type="dxa"/>
            <w:tcBorders>
              <w:top w:val="nil"/>
              <w:left w:val="nil"/>
              <w:bottom w:val="single" w:sz="4" w:space="0" w:color="auto"/>
              <w:right w:val="single" w:sz="4" w:space="0" w:color="auto"/>
            </w:tcBorders>
            <w:shd w:val="clear" w:color="auto" w:fill="auto"/>
            <w:noWrap/>
            <w:vAlign w:val="bottom"/>
            <w:hideMark/>
          </w:tcPr>
          <w:p w14:paraId="19663C4E"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$788.94 </w:t>
            </w:r>
          </w:p>
        </w:tc>
        <w:tc>
          <w:tcPr>
            <w:tcW w:w="1710" w:type="dxa"/>
            <w:tcBorders>
              <w:top w:val="nil"/>
              <w:left w:val="nil"/>
              <w:bottom w:val="single" w:sz="4" w:space="0" w:color="auto"/>
              <w:right w:val="single" w:sz="4" w:space="0" w:color="auto"/>
            </w:tcBorders>
            <w:shd w:val="clear" w:color="auto" w:fill="auto"/>
            <w:noWrap/>
            <w:vAlign w:val="bottom"/>
            <w:hideMark/>
          </w:tcPr>
          <w:p w14:paraId="02242986"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 xml:space="preserve">$298.23 </w:t>
            </w:r>
          </w:p>
        </w:tc>
        <w:tc>
          <w:tcPr>
            <w:tcW w:w="1297" w:type="dxa"/>
            <w:tcBorders>
              <w:top w:val="nil"/>
              <w:left w:val="nil"/>
              <w:bottom w:val="single" w:sz="4" w:space="0" w:color="auto"/>
              <w:right w:val="single" w:sz="4" w:space="0" w:color="auto"/>
            </w:tcBorders>
            <w:shd w:val="clear" w:color="auto" w:fill="auto"/>
            <w:noWrap/>
            <w:vAlign w:val="bottom"/>
            <w:hideMark/>
          </w:tcPr>
          <w:p w14:paraId="40599B19"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16</w:t>
            </w:r>
          </w:p>
        </w:tc>
        <w:tc>
          <w:tcPr>
            <w:tcW w:w="1260" w:type="dxa"/>
            <w:tcBorders>
              <w:top w:val="nil"/>
              <w:left w:val="nil"/>
              <w:bottom w:val="single" w:sz="4" w:space="0" w:color="auto"/>
              <w:right w:val="single" w:sz="4" w:space="0" w:color="auto"/>
            </w:tcBorders>
            <w:shd w:val="clear" w:color="auto" w:fill="auto"/>
            <w:noWrap/>
            <w:vAlign w:val="bottom"/>
            <w:hideMark/>
          </w:tcPr>
          <w:p w14:paraId="489FE85F" w14:textId="77777777" w:rsidR="00204BC2" w:rsidRPr="00204BC2" w:rsidRDefault="00204BC2" w:rsidP="00204BC2">
            <w:pPr>
              <w:spacing w:after="0" w:line="240" w:lineRule="auto"/>
              <w:jc w:val="right"/>
              <w:rPr>
                <w:rFonts w:ascii="Calibri" w:eastAsia="Times New Roman" w:hAnsi="Calibri" w:cs="Times New Roman"/>
                <w:color w:val="000000"/>
                <w:lang w:val="en-GB" w:eastAsia="en-GB"/>
              </w:rPr>
            </w:pPr>
            <w:r w:rsidRPr="00204BC2">
              <w:rPr>
                <w:rFonts w:ascii="Calibri" w:eastAsia="Times New Roman" w:hAnsi="Calibri" w:cs="Times New Roman"/>
                <w:color w:val="000000"/>
                <w:lang w:val="en-GB" w:eastAsia="en-GB"/>
              </w:rPr>
              <w:t>43</w:t>
            </w:r>
          </w:p>
        </w:tc>
      </w:tr>
      <w:tr w:rsidR="00204BC2" w:rsidRPr="00204BC2" w14:paraId="267665C6" w14:textId="77777777" w:rsidTr="00204BC2">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C7D4D0" w14:textId="77777777" w:rsidR="00204BC2" w:rsidRPr="00204BC2" w:rsidRDefault="00204BC2" w:rsidP="00204BC2">
            <w:pPr>
              <w:spacing w:after="0" w:line="240" w:lineRule="auto"/>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Totals</w:t>
            </w:r>
          </w:p>
        </w:tc>
        <w:tc>
          <w:tcPr>
            <w:tcW w:w="1350" w:type="dxa"/>
            <w:tcBorders>
              <w:top w:val="nil"/>
              <w:left w:val="nil"/>
              <w:bottom w:val="single" w:sz="4" w:space="0" w:color="auto"/>
              <w:right w:val="single" w:sz="4" w:space="0" w:color="auto"/>
            </w:tcBorders>
            <w:shd w:val="clear" w:color="auto" w:fill="auto"/>
            <w:noWrap/>
            <w:vAlign w:val="bottom"/>
            <w:hideMark/>
          </w:tcPr>
          <w:p w14:paraId="383C00DC"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 xml:space="preserve">$171,267.88 </w:t>
            </w:r>
          </w:p>
        </w:tc>
        <w:tc>
          <w:tcPr>
            <w:tcW w:w="1350" w:type="dxa"/>
            <w:tcBorders>
              <w:top w:val="nil"/>
              <w:left w:val="nil"/>
              <w:bottom w:val="single" w:sz="4" w:space="0" w:color="auto"/>
              <w:right w:val="single" w:sz="4" w:space="0" w:color="auto"/>
            </w:tcBorders>
            <w:shd w:val="clear" w:color="auto" w:fill="auto"/>
            <w:noWrap/>
            <w:vAlign w:val="bottom"/>
            <w:hideMark/>
          </w:tcPr>
          <w:p w14:paraId="70F9D4D5"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 xml:space="preserve">$232,014.55 </w:t>
            </w:r>
          </w:p>
        </w:tc>
        <w:tc>
          <w:tcPr>
            <w:tcW w:w="1170" w:type="dxa"/>
            <w:tcBorders>
              <w:top w:val="nil"/>
              <w:left w:val="nil"/>
              <w:bottom w:val="single" w:sz="4" w:space="0" w:color="auto"/>
              <w:right w:val="single" w:sz="4" w:space="0" w:color="auto"/>
            </w:tcBorders>
            <w:shd w:val="clear" w:color="auto" w:fill="auto"/>
            <w:noWrap/>
            <w:vAlign w:val="bottom"/>
            <w:hideMark/>
          </w:tcPr>
          <w:p w14:paraId="3B66D236"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73.82%</w:t>
            </w:r>
          </w:p>
        </w:tc>
        <w:tc>
          <w:tcPr>
            <w:tcW w:w="1710" w:type="dxa"/>
            <w:tcBorders>
              <w:top w:val="nil"/>
              <w:left w:val="nil"/>
              <w:bottom w:val="single" w:sz="4" w:space="0" w:color="auto"/>
              <w:right w:val="single" w:sz="4" w:space="0" w:color="auto"/>
            </w:tcBorders>
            <w:shd w:val="clear" w:color="auto" w:fill="auto"/>
            <w:noWrap/>
            <w:vAlign w:val="bottom"/>
            <w:hideMark/>
          </w:tcPr>
          <w:p w14:paraId="729B2B92"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 xml:space="preserve">$10,700.44 </w:t>
            </w:r>
          </w:p>
        </w:tc>
        <w:tc>
          <w:tcPr>
            <w:tcW w:w="1710" w:type="dxa"/>
            <w:tcBorders>
              <w:top w:val="nil"/>
              <w:left w:val="nil"/>
              <w:bottom w:val="single" w:sz="4" w:space="0" w:color="auto"/>
              <w:right w:val="single" w:sz="4" w:space="0" w:color="auto"/>
            </w:tcBorders>
            <w:shd w:val="clear" w:color="auto" w:fill="auto"/>
            <w:noWrap/>
            <w:vAlign w:val="bottom"/>
            <w:hideMark/>
          </w:tcPr>
          <w:p w14:paraId="45E36498"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 xml:space="preserve">$32,385.13 </w:t>
            </w:r>
          </w:p>
        </w:tc>
        <w:tc>
          <w:tcPr>
            <w:tcW w:w="1297" w:type="dxa"/>
            <w:tcBorders>
              <w:top w:val="nil"/>
              <w:left w:val="nil"/>
              <w:bottom w:val="single" w:sz="4" w:space="0" w:color="auto"/>
              <w:right w:val="single" w:sz="4" w:space="0" w:color="auto"/>
            </w:tcBorders>
            <w:shd w:val="clear" w:color="auto" w:fill="auto"/>
            <w:noWrap/>
            <w:vAlign w:val="bottom"/>
            <w:hideMark/>
          </w:tcPr>
          <w:p w14:paraId="3F96EC11"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845</w:t>
            </w:r>
          </w:p>
        </w:tc>
        <w:tc>
          <w:tcPr>
            <w:tcW w:w="1260" w:type="dxa"/>
            <w:tcBorders>
              <w:top w:val="nil"/>
              <w:left w:val="nil"/>
              <w:bottom w:val="single" w:sz="4" w:space="0" w:color="auto"/>
              <w:right w:val="single" w:sz="4" w:space="0" w:color="auto"/>
            </w:tcBorders>
            <w:shd w:val="clear" w:color="auto" w:fill="auto"/>
            <w:noWrap/>
            <w:vAlign w:val="bottom"/>
            <w:hideMark/>
          </w:tcPr>
          <w:p w14:paraId="1BEB21A5" w14:textId="77777777" w:rsidR="00204BC2" w:rsidRPr="00204BC2" w:rsidRDefault="00204BC2" w:rsidP="00204BC2">
            <w:pPr>
              <w:spacing w:after="0" w:line="240" w:lineRule="auto"/>
              <w:jc w:val="right"/>
              <w:rPr>
                <w:rFonts w:ascii="Calibri" w:eastAsia="Times New Roman" w:hAnsi="Calibri" w:cs="Times New Roman"/>
                <w:b/>
                <w:bCs/>
                <w:color w:val="000000"/>
                <w:lang w:val="en-GB" w:eastAsia="en-GB"/>
              </w:rPr>
            </w:pPr>
            <w:r w:rsidRPr="00204BC2">
              <w:rPr>
                <w:rFonts w:ascii="Calibri" w:eastAsia="Times New Roman" w:hAnsi="Calibri" w:cs="Times New Roman"/>
                <w:b/>
                <w:bCs/>
                <w:color w:val="000000"/>
                <w:lang w:val="en-GB" w:eastAsia="en-GB"/>
              </w:rPr>
              <w:t>1097</w:t>
            </w:r>
          </w:p>
        </w:tc>
      </w:tr>
    </w:tbl>
    <w:p w14:paraId="5ECFEF80" w14:textId="79E2A998" w:rsidR="00204BC2" w:rsidRDefault="00204BC2" w:rsidP="00FE0EEA">
      <w:pPr>
        <w:spacing w:after="0" w:line="240" w:lineRule="auto"/>
        <w:rPr>
          <w:b/>
          <w:bCs/>
        </w:rPr>
      </w:pPr>
    </w:p>
    <w:p w14:paraId="079122D6" w14:textId="65F20D88" w:rsidR="00204BC2" w:rsidRDefault="00204BC2" w:rsidP="00FE0EEA">
      <w:pPr>
        <w:spacing w:after="0" w:line="240" w:lineRule="auto"/>
        <w:rPr>
          <w:b/>
          <w:bCs/>
        </w:rPr>
      </w:pPr>
    </w:p>
    <w:p w14:paraId="12C75837" w14:textId="32D35DDB" w:rsidR="001C6460" w:rsidRPr="001959AE" w:rsidRDefault="001C6460" w:rsidP="001C6460">
      <w:pPr>
        <w:spacing w:after="0" w:line="240" w:lineRule="auto"/>
        <w:rPr>
          <w:b/>
          <w:bCs/>
          <w:sz w:val="24"/>
          <w:szCs w:val="24"/>
        </w:rPr>
      </w:pPr>
      <w:r w:rsidRPr="001959AE">
        <w:rPr>
          <w:b/>
          <w:bCs/>
          <w:sz w:val="24"/>
          <w:szCs w:val="24"/>
        </w:rPr>
        <w:t>Evaluation of FY21 to-date (</w:t>
      </w:r>
      <w:r w:rsidR="0038531D">
        <w:rPr>
          <w:b/>
          <w:bCs/>
          <w:sz w:val="24"/>
          <w:szCs w:val="24"/>
        </w:rPr>
        <w:t>01</w:t>
      </w:r>
      <w:r w:rsidRPr="001959AE">
        <w:rPr>
          <w:b/>
          <w:bCs/>
          <w:sz w:val="24"/>
          <w:szCs w:val="24"/>
        </w:rPr>
        <w:t>/</w:t>
      </w:r>
      <w:r w:rsidR="0038531D">
        <w:rPr>
          <w:b/>
          <w:bCs/>
          <w:sz w:val="24"/>
          <w:szCs w:val="24"/>
        </w:rPr>
        <w:t>23</w:t>
      </w:r>
      <w:r w:rsidRPr="001959AE">
        <w:rPr>
          <w:b/>
          <w:bCs/>
          <w:sz w:val="24"/>
          <w:szCs w:val="24"/>
        </w:rPr>
        <w:t>/2</w:t>
      </w:r>
      <w:r w:rsidR="0038531D">
        <w:rPr>
          <w:b/>
          <w:bCs/>
          <w:sz w:val="24"/>
          <w:szCs w:val="24"/>
        </w:rPr>
        <w:t>1</w:t>
      </w:r>
      <w:r w:rsidRPr="001959AE">
        <w:rPr>
          <w:b/>
          <w:bCs/>
          <w:sz w:val="24"/>
          <w:szCs w:val="24"/>
        </w:rPr>
        <w:t>):</w:t>
      </w:r>
    </w:p>
    <w:p w14:paraId="5A5947E7" w14:textId="44352978" w:rsidR="001C6460" w:rsidRDefault="001C6460" w:rsidP="00FE0EEA">
      <w:pPr>
        <w:spacing w:after="0" w:line="240" w:lineRule="auto"/>
      </w:pPr>
      <w:r>
        <w:t xml:space="preserve">The totals above reflect income through the end of </w:t>
      </w:r>
      <w:r w:rsidR="00B61132">
        <w:t>December</w:t>
      </w:r>
      <w:r>
        <w:t xml:space="preserve"> 2020, </w:t>
      </w:r>
      <w:r w:rsidR="00B61132">
        <w:t>at the end of the 3</w:t>
      </w:r>
      <w:r w:rsidR="00B61132" w:rsidRPr="00B61132">
        <w:rPr>
          <w:vertAlign w:val="superscript"/>
        </w:rPr>
        <w:t>rd</w:t>
      </w:r>
      <w:r w:rsidR="00B61132">
        <w:t xml:space="preserve"> quarter of </w:t>
      </w:r>
      <w:r>
        <w:t xml:space="preserve">FY21 fiscal year.  </w:t>
      </w:r>
      <w:r w:rsidR="00B61132">
        <w:t>Heading into the 4</w:t>
      </w:r>
      <w:r w:rsidR="00B61132" w:rsidRPr="00B61132">
        <w:rPr>
          <w:vertAlign w:val="superscript"/>
        </w:rPr>
        <w:t>th</w:t>
      </w:r>
      <w:r w:rsidR="00B61132">
        <w:t xml:space="preserve"> quarter</w:t>
      </w:r>
      <w:r>
        <w:t>, Starfish has achieved</w:t>
      </w:r>
      <w:r w:rsidR="001A65D4">
        <w:t xml:space="preserve"> almost </w:t>
      </w:r>
      <w:r w:rsidR="00B61132">
        <w:t>74</w:t>
      </w:r>
      <w:r w:rsidR="001A65D4">
        <w:t>% of its total income raised in the entire prior year (FY20), including</w:t>
      </w:r>
      <w:r>
        <w:t xml:space="preserve"> </w:t>
      </w:r>
      <w:r w:rsidR="00B61132">
        <w:t>92</w:t>
      </w:r>
      <w:r>
        <w:t>.</w:t>
      </w:r>
      <w:r w:rsidR="00B61132">
        <w:t>6</w:t>
      </w:r>
      <w:r>
        <w:t xml:space="preserve">% of its </w:t>
      </w:r>
      <w:r w:rsidR="001A65D4">
        <w:t xml:space="preserve">FY20 </w:t>
      </w:r>
      <w:r>
        <w:t xml:space="preserve">individual giving totals.  Starfish has also achieved </w:t>
      </w:r>
      <w:r w:rsidR="00B61132">
        <w:t>57.6</w:t>
      </w:r>
      <w:r>
        <w:t xml:space="preserve">% of the </w:t>
      </w:r>
      <w:r w:rsidR="00B61132">
        <w:t>major donor</w:t>
      </w:r>
      <w:r>
        <w:t xml:space="preserve"> totals for FY20, although the total major donor gifts for FY21 are projected to be lower overall than FY20. </w:t>
      </w:r>
    </w:p>
    <w:p w14:paraId="214D55A2" w14:textId="2EDAF375" w:rsidR="00C41BBF" w:rsidRDefault="00C41BBF" w:rsidP="00FE0EEA">
      <w:pPr>
        <w:spacing w:after="0" w:line="240" w:lineRule="auto"/>
      </w:pPr>
    </w:p>
    <w:p w14:paraId="39ECE206" w14:textId="77777777" w:rsidR="00B61132" w:rsidRDefault="00C41BBF" w:rsidP="00FE0EEA">
      <w:pPr>
        <w:spacing w:after="0" w:line="240" w:lineRule="auto"/>
      </w:pPr>
      <w:r>
        <w:t xml:space="preserve">Lastly, our earned revenue totals to-date are </w:t>
      </w:r>
      <w:r w:rsidR="00B61132">
        <w:t>just under 20</w:t>
      </w:r>
      <w:r>
        <w:t>% of our totals for FY20.  This drop in large part reflects the loss of income raised by Ecuador volunteers prior to their time in Guayaquil, as well as the lower speaking fees for in-person, both of which are the direct result of COVID-related consequences</w:t>
      </w:r>
      <w:r w:rsidR="00B61132">
        <w:t>.</w:t>
      </w:r>
    </w:p>
    <w:p w14:paraId="76D3B2EE" w14:textId="77777777" w:rsidR="00B61132" w:rsidRDefault="00B61132" w:rsidP="00FE0EEA">
      <w:pPr>
        <w:spacing w:after="0" w:line="240" w:lineRule="auto"/>
      </w:pPr>
    </w:p>
    <w:p w14:paraId="20BA8D8C" w14:textId="0E3E8094" w:rsidR="00C41BBF" w:rsidRDefault="00B61132" w:rsidP="00FE0EEA">
      <w:pPr>
        <w:spacing w:after="0" w:line="240" w:lineRule="auto"/>
      </w:pPr>
      <w:r>
        <w:t>It is important to keep in mind that apart from where we are with fundraising, the overall operating budget for the organization has also dropped considerably due to decisions made by the board in the 2</w:t>
      </w:r>
      <w:r w:rsidRPr="00B61132">
        <w:rPr>
          <w:vertAlign w:val="superscript"/>
        </w:rPr>
        <w:t>nd</w:t>
      </w:r>
      <w:r>
        <w:t xml:space="preserve"> and 3</w:t>
      </w:r>
      <w:r w:rsidRPr="00B61132">
        <w:rPr>
          <w:vertAlign w:val="superscript"/>
        </w:rPr>
        <w:t>rd</w:t>
      </w:r>
      <w:r>
        <w:t xml:space="preserve"> quarters, as a result of consequences of COVID-19, and a depleted cash reserve from prior years. As a result, the fundraising in FY21 is in a position to cover a larger overall percentage of current operating and puts us in a much better position to begin to build back the cash reserve. </w:t>
      </w:r>
    </w:p>
    <w:p w14:paraId="57737CFC" w14:textId="048EAD70" w:rsidR="001C6460" w:rsidRDefault="001C6460" w:rsidP="00FE0EEA">
      <w:pPr>
        <w:spacing w:after="0" w:line="240" w:lineRule="auto"/>
      </w:pPr>
    </w:p>
    <w:p w14:paraId="7453D7B0" w14:textId="77777777" w:rsidR="001959AE" w:rsidRDefault="001959AE" w:rsidP="00FE0EEA">
      <w:pPr>
        <w:spacing w:after="0" w:line="240" w:lineRule="auto"/>
      </w:pPr>
    </w:p>
    <w:p w14:paraId="099E1DF2" w14:textId="02D5B696" w:rsidR="00BE400F" w:rsidRDefault="00BE400F" w:rsidP="009D1B5D">
      <w:pPr>
        <w:spacing w:after="0" w:line="240" w:lineRule="auto"/>
      </w:pPr>
    </w:p>
    <w:p w14:paraId="2C42AC52" w14:textId="299B5C3C" w:rsidR="00BE400F" w:rsidRDefault="00BE400F" w:rsidP="001E0211">
      <w:pPr>
        <w:spacing w:after="0" w:line="240" w:lineRule="auto"/>
        <w:jc w:val="center"/>
      </w:pPr>
    </w:p>
    <w:sectPr w:rsidR="00BE400F" w:rsidSect="002366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7BD5"/>
    <w:multiLevelType w:val="hybridMultilevel"/>
    <w:tmpl w:val="F424A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FE16E4"/>
    <w:multiLevelType w:val="hybridMultilevel"/>
    <w:tmpl w:val="9940AB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15"/>
    <w:rsid w:val="00033215"/>
    <w:rsid w:val="00057836"/>
    <w:rsid w:val="00091592"/>
    <w:rsid w:val="001321EC"/>
    <w:rsid w:val="001339DD"/>
    <w:rsid w:val="00145B18"/>
    <w:rsid w:val="001959AE"/>
    <w:rsid w:val="001A65D4"/>
    <w:rsid w:val="001C6460"/>
    <w:rsid w:val="001E0211"/>
    <w:rsid w:val="00204BC2"/>
    <w:rsid w:val="002366FE"/>
    <w:rsid w:val="0024554C"/>
    <w:rsid w:val="00251770"/>
    <w:rsid w:val="00313C7A"/>
    <w:rsid w:val="0038531D"/>
    <w:rsid w:val="0039139D"/>
    <w:rsid w:val="00453993"/>
    <w:rsid w:val="004D1ECC"/>
    <w:rsid w:val="00596A03"/>
    <w:rsid w:val="005C6389"/>
    <w:rsid w:val="00601FEB"/>
    <w:rsid w:val="006408BE"/>
    <w:rsid w:val="00673F4E"/>
    <w:rsid w:val="007749B1"/>
    <w:rsid w:val="00877D85"/>
    <w:rsid w:val="00882889"/>
    <w:rsid w:val="009D1B5D"/>
    <w:rsid w:val="00AB2BEF"/>
    <w:rsid w:val="00AD4964"/>
    <w:rsid w:val="00B61132"/>
    <w:rsid w:val="00BD076E"/>
    <w:rsid w:val="00BE400F"/>
    <w:rsid w:val="00C41BBF"/>
    <w:rsid w:val="00D00F9F"/>
    <w:rsid w:val="00EB3D36"/>
    <w:rsid w:val="00FE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AC2D"/>
  <w15:chartTrackingRefBased/>
  <w15:docId w15:val="{3BCC5313-FB8E-498E-ABCB-92ADCFA6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85"/>
    <w:pPr>
      <w:ind w:left="720"/>
      <w:contextualSpacing/>
    </w:pPr>
  </w:style>
  <w:style w:type="table" w:styleId="TableGrid">
    <w:name w:val="Table Grid"/>
    <w:basedOn w:val="TableNormal"/>
    <w:uiPriority w:val="39"/>
    <w:rsid w:val="0077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015">
      <w:bodyDiv w:val="1"/>
      <w:marLeft w:val="0"/>
      <w:marRight w:val="0"/>
      <w:marTop w:val="0"/>
      <w:marBottom w:val="0"/>
      <w:divBdr>
        <w:top w:val="none" w:sz="0" w:space="0" w:color="auto"/>
        <w:left w:val="none" w:sz="0" w:space="0" w:color="auto"/>
        <w:bottom w:val="none" w:sz="0" w:space="0" w:color="auto"/>
        <w:right w:val="none" w:sz="0" w:space="0" w:color="auto"/>
      </w:divBdr>
    </w:div>
    <w:div w:id="163059647">
      <w:bodyDiv w:val="1"/>
      <w:marLeft w:val="0"/>
      <w:marRight w:val="0"/>
      <w:marTop w:val="0"/>
      <w:marBottom w:val="0"/>
      <w:divBdr>
        <w:top w:val="none" w:sz="0" w:space="0" w:color="auto"/>
        <w:left w:val="none" w:sz="0" w:space="0" w:color="auto"/>
        <w:bottom w:val="none" w:sz="0" w:space="0" w:color="auto"/>
        <w:right w:val="none" w:sz="0" w:space="0" w:color="auto"/>
      </w:divBdr>
    </w:div>
    <w:div w:id="355733274">
      <w:bodyDiv w:val="1"/>
      <w:marLeft w:val="0"/>
      <w:marRight w:val="0"/>
      <w:marTop w:val="0"/>
      <w:marBottom w:val="0"/>
      <w:divBdr>
        <w:top w:val="none" w:sz="0" w:space="0" w:color="auto"/>
        <w:left w:val="none" w:sz="0" w:space="0" w:color="auto"/>
        <w:bottom w:val="none" w:sz="0" w:space="0" w:color="auto"/>
        <w:right w:val="none" w:sz="0" w:space="0" w:color="auto"/>
      </w:divBdr>
    </w:div>
    <w:div w:id="430007730">
      <w:bodyDiv w:val="1"/>
      <w:marLeft w:val="0"/>
      <w:marRight w:val="0"/>
      <w:marTop w:val="0"/>
      <w:marBottom w:val="0"/>
      <w:divBdr>
        <w:top w:val="none" w:sz="0" w:space="0" w:color="auto"/>
        <w:left w:val="none" w:sz="0" w:space="0" w:color="auto"/>
        <w:bottom w:val="none" w:sz="0" w:space="0" w:color="auto"/>
        <w:right w:val="none" w:sz="0" w:space="0" w:color="auto"/>
      </w:divBdr>
    </w:div>
    <w:div w:id="1274829329">
      <w:bodyDiv w:val="1"/>
      <w:marLeft w:val="0"/>
      <w:marRight w:val="0"/>
      <w:marTop w:val="0"/>
      <w:marBottom w:val="0"/>
      <w:divBdr>
        <w:top w:val="none" w:sz="0" w:space="0" w:color="auto"/>
        <w:left w:val="none" w:sz="0" w:space="0" w:color="auto"/>
        <w:bottom w:val="none" w:sz="0" w:space="0" w:color="auto"/>
        <w:right w:val="none" w:sz="0" w:space="0" w:color="auto"/>
      </w:divBdr>
    </w:div>
    <w:div w:id="1381590843">
      <w:bodyDiv w:val="1"/>
      <w:marLeft w:val="0"/>
      <w:marRight w:val="0"/>
      <w:marTop w:val="0"/>
      <w:marBottom w:val="0"/>
      <w:divBdr>
        <w:top w:val="none" w:sz="0" w:space="0" w:color="auto"/>
        <w:left w:val="none" w:sz="0" w:space="0" w:color="auto"/>
        <w:bottom w:val="none" w:sz="0" w:space="0" w:color="auto"/>
        <w:right w:val="none" w:sz="0" w:space="0" w:color="auto"/>
      </w:divBdr>
    </w:div>
    <w:div w:id="1457286223">
      <w:bodyDiv w:val="1"/>
      <w:marLeft w:val="0"/>
      <w:marRight w:val="0"/>
      <w:marTop w:val="0"/>
      <w:marBottom w:val="0"/>
      <w:divBdr>
        <w:top w:val="none" w:sz="0" w:space="0" w:color="auto"/>
        <w:left w:val="none" w:sz="0" w:space="0" w:color="auto"/>
        <w:bottom w:val="none" w:sz="0" w:space="0" w:color="auto"/>
        <w:right w:val="none" w:sz="0" w:space="0" w:color="auto"/>
      </w:divBdr>
    </w:div>
    <w:div w:id="1535726830">
      <w:bodyDiv w:val="1"/>
      <w:marLeft w:val="0"/>
      <w:marRight w:val="0"/>
      <w:marTop w:val="0"/>
      <w:marBottom w:val="0"/>
      <w:divBdr>
        <w:top w:val="none" w:sz="0" w:space="0" w:color="auto"/>
        <w:left w:val="none" w:sz="0" w:space="0" w:color="auto"/>
        <w:bottom w:val="none" w:sz="0" w:space="0" w:color="auto"/>
        <w:right w:val="none" w:sz="0" w:space="0" w:color="auto"/>
      </w:divBdr>
    </w:div>
    <w:div w:id="19756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Patel</dc:creator>
  <cp:keywords/>
  <dc:description/>
  <cp:lastModifiedBy>Purvi Patel</cp:lastModifiedBy>
  <cp:revision>8</cp:revision>
  <dcterms:created xsi:type="dcterms:W3CDTF">2021-01-23T23:16:00Z</dcterms:created>
  <dcterms:modified xsi:type="dcterms:W3CDTF">2021-01-24T01:35:00Z</dcterms:modified>
</cp:coreProperties>
</file>