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C8CEF" w14:textId="7CC0F6AA" w:rsidR="00BD076E" w:rsidRPr="00BD076E" w:rsidRDefault="00BD076E" w:rsidP="00BD076E">
      <w:pPr>
        <w:spacing w:after="0" w:line="240" w:lineRule="auto"/>
        <w:jc w:val="center"/>
        <w:rPr>
          <w:b/>
          <w:bCs/>
          <w:sz w:val="28"/>
          <w:szCs w:val="28"/>
        </w:rPr>
      </w:pPr>
      <w:r w:rsidRPr="00BD076E">
        <w:rPr>
          <w:b/>
          <w:bCs/>
          <w:sz w:val="28"/>
          <w:szCs w:val="28"/>
        </w:rPr>
        <w:t xml:space="preserve">Starfish Foundation, Inc. </w:t>
      </w:r>
    </w:p>
    <w:p w14:paraId="11C3C0E3" w14:textId="1331FAF4" w:rsidR="00BD076E" w:rsidRPr="00BD076E" w:rsidRDefault="00BD076E" w:rsidP="00BD076E">
      <w:pPr>
        <w:spacing w:after="0" w:line="240" w:lineRule="auto"/>
        <w:jc w:val="center"/>
        <w:rPr>
          <w:b/>
          <w:bCs/>
          <w:sz w:val="24"/>
          <w:szCs w:val="24"/>
        </w:rPr>
      </w:pPr>
      <w:r w:rsidRPr="00BD076E">
        <w:rPr>
          <w:b/>
          <w:bCs/>
          <w:sz w:val="24"/>
          <w:szCs w:val="24"/>
        </w:rPr>
        <w:t>Fundraising Analysis, September 2020</w:t>
      </w:r>
    </w:p>
    <w:p w14:paraId="2090B612" w14:textId="77777777" w:rsidR="00BD076E" w:rsidRDefault="00BD076E" w:rsidP="00033215">
      <w:pPr>
        <w:spacing w:after="0" w:line="240" w:lineRule="auto"/>
        <w:rPr>
          <w:b/>
          <w:bCs/>
        </w:rPr>
      </w:pPr>
    </w:p>
    <w:p w14:paraId="6BE5D231" w14:textId="77777777" w:rsidR="00BD076E" w:rsidRDefault="00BD076E" w:rsidP="00033215">
      <w:pPr>
        <w:spacing w:after="0" w:line="240" w:lineRule="auto"/>
        <w:rPr>
          <w:b/>
          <w:bCs/>
        </w:rPr>
      </w:pPr>
    </w:p>
    <w:p w14:paraId="60AFCA44" w14:textId="6AA58B81" w:rsidR="00091592" w:rsidRPr="00BD076E" w:rsidRDefault="00091592" w:rsidP="00033215">
      <w:pPr>
        <w:spacing w:after="0" w:line="240" w:lineRule="auto"/>
        <w:rPr>
          <w:b/>
          <w:bCs/>
          <w:sz w:val="24"/>
          <w:szCs w:val="24"/>
          <w:u w:val="single"/>
        </w:rPr>
      </w:pPr>
      <w:r w:rsidRPr="00BD076E">
        <w:rPr>
          <w:b/>
          <w:bCs/>
          <w:sz w:val="24"/>
          <w:szCs w:val="24"/>
          <w:u w:val="single"/>
        </w:rPr>
        <w:t>General Note:</w:t>
      </w:r>
    </w:p>
    <w:p w14:paraId="32680841" w14:textId="3EE8EBDB" w:rsidR="00033215" w:rsidRDefault="00033215" w:rsidP="00033215">
      <w:pPr>
        <w:spacing w:after="0" w:line="240" w:lineRule="auto"/>
      </w:pPr>
      <w:r>
        <w:t>In the process of dividing our fundraising income into “bucket” areas, for ease of analysis and goal-setting, we have reallocated how some types of gifts would be classified.  For example, we had some donors who gave in smaller amounts, but regularly or multiple times per year so that their total amount of giving</w:t>
      </w:r>
      <w:r w:rsidR="00091592">
        <w:t xml:space="preserve"> would push them into the “major donor” category.  Such donors were previously </w:t>
      </w:r>
      <w:r w:rsidR="00601FEB">
        <w:t>c</w:t>
      </w:r>
      <w:r w:rsidR="00091592">
        <w:t xml:space="preserve">ounted under individual giving because they did not give a large enough amount in one gift to qualify as major donors, but they would no be counted as major donors for the total amount given over the year. </w:t>
      </w:r>
    </w:p>
    <w:p w14:paraId="3289512B" w14:textId="58FBA055" w:rsidR="00091592" w:rsidRDefault="00091592" w:rsidP="00033215">
      <w:pPr>
        <w:spacing w:after="0" w:line="240" w:lineRule="auto"/>
      </w:pPr>
    </w:p>
    <w:p w14:paraId="4842C22F" w14:textId="2CEC10C1" w:rsidR="00091592" w:rsidRDefault="00091592" w:rsidP="00033215">
      <w:pPr>
        <w:pBdr>
          <w:bottom w:val="single" w:sz="6" w:space="1" w:color="auto"/>
        </w:pBdr>
        <w:spacing w:after="0" w:line="240" w:lineRule="auto"/>
      </w:pPr>
      <w:r>
        <w:t>Jen as done a lot of work to reclassify both this year’s gifts (FY21) as well as many of last year’s gifts (FY20) in order to improve accuracy of any year-to-year comparisons.  With the work that Danny has been doing with Salesforce, this new system should make quarterly fundraising evaluations easier to produce, and will help a great deal with evaluating specific campaigns, segmentation of donor targets different fundraising campaigns (to reduce donor fatigue), and long-term goal setting.</w:t>
      </w:r>
    </w:p>
    <w:p w14:paraId="2CBE1F15" w14:textId="77777777" w:rsidR="00BD076E" w:rsidRDefault="00BD076E" w:rsidP="00033215">
      <w:pPr>
        <w:spacing w:after="0" w:line="240" w:lineRule="auto"/>
      </w:pPr>
    </w:p>
    <w:p w14:paraId="52EF7AC7" w14:textId="504A8A3B" w:rsidR="00091592" w:rsidRPr="00BD076E" w:rsidRDefault="00091592" w:rsidP="00091592">
      <w:pPr>
        <w:spacing w:after="0" w:line="240" w:lineRule="auto"/>
        <w:rPr>
          <w:b/>
          <w:bCs/>
          <w:sz w:val="24"/>
          <w:szCs w:val="24"/>
        </w:rPr>
      </w:pPr>
      <w:r w:rsidRPr="00BD076E">
        <w:rPr>
          <w:b/>
          <w:bCs/>
          <w:sz w:val="24"/>
          <w:szCs w:val="24"/>
        </w:rPr>
        <w:t>Overview of last fiscal year (FY2020) – Totals:</w:t>
      </w:r>
    </w:p>
    <w:tbl>
      <w:tblPr>
        <w:tblW w:w="9445" w:type="dxa"/>
        <w:tblCellMar>
          <w:left w:w="70" w:type="dxa"/>
          <w:right w:w="70" w:type="dxa"/>
        </w:tblCellMar>
        <w:tblLook w:val="04A0" w:firstRow="1" w:lastRow="0" w:firstColumn="1" w:lastColumn="0" w:noHBand="0" w:noVBand="1"/>
      </w:tblPr>
      <w:tblGrid>
        <w:gridCol w:w="1705"/>
        <w:gridCol w:w="1350"/>
        <w:gridCol w:w="1170"/>
        <w:gridCol w:w="1620"/>
        <w:gridCol w:w="1170"/>
        <w:gridCol w:w="1260"/>
        <w:gridCol w:w="1170"/>
      </w:tblGrid>
      <w:tr w:rsidR="00091592" w:rsidRPr="00091592" w14:paraId="67625BC0" w14:textId="77777777" w:rsidTr="00091592">
        <w:trPr>
          <w:trHeight w:val="580"/>
        </w:trPr>
        <w:tc>
          <w:tcPr>
            <w:tcW w:w="17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36C153" w14:textId="77777777" w:rsidR="00091592" w:rsidRPr="00091592" w:rsidRDefault="00091592" w:rsidP="00091592">
            <w:pPr>
              <w:spacing w:after="0" w:line="240" w:lineRule="auto"/>
              <w:rPr>
                <w:rFonts w:ascii="Calibri" w:eastAsia="Times New Roman" w:hAnsi="Calibri" w:cs="Calibri"/>
                <w:b/>
                <w:bCs/>
                <w:color w:val="000000"/>
                <w:lang w:val="es-MX" w:eastAsia="es-MX"/>
              </w:rPr>
            </w:pPr>
            <w:r w:rsidRPr="00091592">
              <w:rPr>
                <w:rFonts w:ascii="Calibri" w:eastAsia="Times New Roman" w:hAnsi="Calibri" w:cs="Calibri"/>
                <w:b/>
                <w:bCs/>
                <w:color w:val="000000"/>
                <w:lang w:val="es-MX" w:eastAsia="es-MX"/>
              </w:rPr>
              <w:t>Bucket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6DA34E56" w14:textId="77777777" w:rsidR="00091592" w:rsidRPr="00091592" w:rsidRDefault="00091592" w:rsidP="00091592">
            <w:pPr>
              <w:spacing w:after="0" w:line="240" w:lineRule="auto"/>
              <w:rPr>
                <w:rFonts w:ascii="Calibri" w:eastAsia="Times New Roman" w:hAnsi="Calibri" w:cs="Calibri"/>
                <w:b/>
                <w:bCs/>
                <w:color w:val="000000"/>
                <w:lang w:val="es-MX" w:eastAsia="es-MX"/>
              </w:rPr>
            </w:pPr>
            <w:r w:rsidRPr="00091592">
              <w:rPr>
                <w:rFonts w:ascii="Calibri" w:eastAsia="Times New Roman" w:hAnsi="Calibri" w:cs="Calibri"/>
                <w:b/>
                <w:bCs/>
                <w:color w:val="000000"/>
                <w:lang w:val="es-MX" w:eastAsia="es-MX"/>
              </w:rPr>
              <w:t>Income FY20</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2D013A7F" w14:textId="77777777" w:rsidR="00091592" w:rsidRPr="00091592" w:rsidRDefault="00091592" w:rsidP="00091592">
            <w:pPr>
              <w:spacing w:after="0" w:line="240" w:lineRule="auto"/>
              <w:rPr>
                <w:rFonts w:ascii="Calibri" w:eastAsia="Times New Roman" w:hAnsi="Calibri" w:cs="Calibri"/>
                <w:b/>
                <w:bCs/>
                <w:color w:val="000000"/>
                <w:lang w:val="es-MX" w:eastAsia="es-MX"/>
              </w:rPr>
            </w:pPr>
            <w:r w:rsidRPr="00091592">
              <w:rPr>
                <w:rFonts w:ascii="Calibri" w:eastAsia="Times New Roman" w:hAnsi="Calibri" w:cs="Calibri"/>
                <w:b/>
                <w:bCs/>
                <w:color w:val="000000"/>
                <w:lang w:val="es-MX" w:eastAsia="es-MX"/>
              </w:rPr>
              <w:t>Income</w:t>
            </w:r>
            <w:r w:rsidRPr="00091592">
              <w:rPr>
                <w:rFonts w:ascii="Calibri" w:eastAsia="Times New Roman" w:hAnsi="Calibri" w:cs="Calibri"/>
                <w:b/>
                <w:bCs/>
                <w:color w:val="000000"/>
                <w:lang w:val="es-MX" w:eastAsia="es-MX"/>
              </w:rPr>
              <w:br/>
              <w:t>Percentage</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232DDA5A" w14:textId="77777777" w:rsidR="00091592" w:rsidRPr="00091592" w:rsidRDefault="00091592" w:rsidP="00091592">
            <w:pPr>
              <w:spacing w:after="0" w:line="240" w:lineRule="auto"/>
              <w:rPr>
                <w:rFonts w:ascii="Calibri" w:eastAsia="Times New Roman" w:hAnsi="Calibri" w:cs="Calibri"/>
                <w:b/>
                <w:bCs/>
                <w:color w:val="000000"/>
                <w:lang w:val="es-MX" w:eastAsia="es-MX"/>
              </w:rPr>
            </w:pPr>
            <w:r w:rsidRPr="00091592">
              <w:rPr>
                <w:rFonts w:ascii="Calibri" w:eastAsia="Times New Roman" w:hAnsi="Calibri" w:cs="Calibri"/>
                <w:b/>
                <w:bCs/>
                <w:color w:val="000000"/>
                <w:lang w:val="es-MX" w:eastAsia="es-MX"/>
              </w:rPr>
              <w:t>In-Kind Donations FY20</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311E7BB9" w14:textId="77777777" w:rsidR="00091592" w:rsidRPr="00091592" w:rsidRDefault="00091592" w:rsidP="00091592">
            <w:pPr>
              <w:spacing w:after="0" w:line="240" w:lineRule="auto"/>
              <w:rPr>
                <w:rFonts w:ascii="Calibri" w:eastAsia="Times New Roman" w:hAnsi="Calibri" w:cs="Calibri"/>
                <w:b/>
                <w:bCs/>
                <w:color w:val="000000"/>
                <w:lang w:val="es-MX" w:eastAsia="es-MX"/>
              </w:rPr>
            </w:pPr>
            <w:r w:rsidRPr="00091592">
              <w:rPr>
                <w:rFonts w:ascii="Calibri" w:eastAsia="Times New Roman" w:hAnsi="Calibri" w:cs="Calibri"/>
                <w:b/>
                <w:bCs/>
                <w:color w:val="000000"/>
                <w:lang w:val="es-MX" w:eastAsia="es-MX"/>
              </w:rPr>
              <w:t>InKind</w:t>
            </w:r>
            <w:r w:rsidRPr="00091592">
              <w:rPr>
                <w:rFonts w:ascii="Calibri" w:eastAsia="Times New Roman" w:hAnsi="Calibri" w:cs="Calibri"/>
                <w:b/>
                <w:bCs/>
                <w:color w:val="000000"/>
                <w:lang w:val="es-MX" w:eastAsia="es-MX"/>
              </w:rPr>
              <w:br/>
              <w:t>Percentage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797D378E" w14:textId="77777777" w:rsidR="00091592" w:rsidRPr="00091592" w:rsidRDefault="00091592" w:rsidP="00091592">
            <w:pPr>
              <w:spacing w:after="0" w:line="240" w:lineRule="auto"/>
              <w:rPr>
                <w:rFonts w:ascii="Calibri" w:eastAsia="Times New Roman" w:hAnsi="Calibri" w:cs="Calibri"/>
                <w:b/>
                <w:bCs/>
                <w:color w:val="000000"/>
                <w:lang w:val="es-MX" w:eastAsia="es-MX"/>
              </w:rPr>
            </w:pPr>
            <w:r w:rsidRPr="00091592">
              <w:rPr>
                <w:rFonts w:ascii="Calibri" w:eastAsia="Times New Roman" w:hAnsi="Calibri" w:cs="Calibri"/>
                <w:b/>
                <w:bCs/>
                <w:color w:val="000000"/>
                <w:lang w:val="es-MX" w:eastAsia="es-MX"/>
              </w:rPr>
              <w:t>Volunteer Hours FY20</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53C92A23" w14:textId="77777777" w:rsidR="00091592" w:rsidRPr="00091592" w:rsidRDefault="00091592" w:rsidP="00091592">
            <w:pPr>
              <w:spacing w:after="0" w:line="240" w:lineRule="auto"/>
              <w:rPr>
                <w:rFonts w:ascii="Calibri" w:eastAsia="Times New Roman" w:hAnsi="Calibri" w:cs="Calibri"/>
                <w:b/>
                <w:bCs/>
                <w:color w:val="000000"/>
                <w:lang w:val="es-MX" w:eastAsia="es-MX"/>
              </w:rPr>
            </w:pPr>
            <w:r w:rsidRPr="00091592">
              <w:rPr>
                <w:rFonts w:ascii="Calibri" w:eastAsia="Times New Roman" w:hAnsi="Calibri" w:cs="Calibri"/>
                <w:b/>
                <w:bCs/>
                <w:color w:val="000000"/>
                <w:lang w:val="es-MX" w:eastAsia="es-MX"/>
              </w:rPr>
              <w:t>VolHours</w:t>
            </w:r>
            <w:r w:rsidRPr="00091592">
              <w:rPr>
                <w:rFonts w:ascii="Calibri" w:eastAsia="Times New Roman" w:hAnsi="Calibri" w:cs="Calibri"/>
                <w:b/>
                <w:bCs/>
                <w:color w:val="000000"/>
                <w:lang w:val="es-MX" w:eastAsia="es-MX"/>
              </w:rPr>
              <w:br/>
              <w:t>Percentage</w:t>
            </w:r>
          </w:p>
        </w:tc>
      </w:tr>
      <w:tr w:rsidR="00091592" w:rsidRPr="00091592" w14:paraId="7F099825" w14:textId="77777777" w:rsidTr="00091592">
        <w:trPr>
          <w:trHeight w:val="29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366C930" w14:textId="77777777" w:rsidR="00091592" w:rsidRPr="00091592" w:rsidRDefault="00091592" w:rsidP="00091592">
            <w:pPr>
              <w:spacing w:after="0" w:line="240" w:lineRule="auto"/>
              <w:rPr>
                <w:rFonts w:ascii="Calibri" w:eastAsia="Times New Roman" w:hAnsi="Calibri" w:cs="Calibri"/>
                <w:b/>
                <w:bCs/>
                <w:color w:val="000000"/>
                <w:lang w:val="es-MX" w:eastAsia="es-MX"/>
              </w:rPr>
            </w:pPr>
            <w:r w:rsidRPr="00091592">
              <w:rPr>
                <w:rFonts w:ascii="Calibri" w:eastAsia="Times New Roman" w:hAnsi="Calibri" w:cs="Calibri"/>
                <w:b/>
                <w:bCs/>
                <w:color w:val="000000"/>
                <w:lang w:val="es-MX" w:eastAsia="es-MX"/>
              </w:rPr>
              <w:t>1: Individual Giving</w:t>
            </w:r>
          </w:p>
        </w:tc>
        <w:tc>
          <w:tcPr>
            <w:tcW w:w="1350" w:type="dxa"/>
            <w:tcBorders>
              <w:top w:val="nil"/>
              <w:left w:val="nil"/>
              <w:bottom w:val="single" w:sz="4" w:space="0" w:color="auto"/>
              <w:right w:val="single" w:sz="4" w:space="0" w:color="auto"/>
            </w:tcBorders>
            <w:shd w:val="clear" w:color="auto" w:fill="auto"/>
            <w:noWrap/>
            <w:vAlign w:val="bottom"/>
            <w:hideMark/>
          </w:tcPr>
          <w:p w14:paraId="59411A9E"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 xml:space="preserve">$88,207.57 </w:t>
            </w:r>
          </w:p>
        </w:tc>
        <w:tc>
          <w:tcPr>
            <w:tcW w:w="1170" w:type="dxa"/>
            <w:tcBorders>
              <w:top w:val="nil"/>
              <w:left w:val="nil"/>
              <w:bottom w:val="single" w:sz="4" w:space="0" w:color="auto"/>
              <w:right w:val="single" w:sz="4" w:space="0" w:color="auto"/>
            </w:tcBorders>
            <w:shd w:val="clear" w:color="auto" w:fill="auto"/>
            <w:noWrap/>
            <w:vAlign w:val="bottom"/>
            <w:hideMark/>
          </w:tcPr>
          <w:p w14:paraId="31A6F39E"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38.10%</w:t>
            </w:r>
          </w:p>
        </w:tc>
        <w:tc>
          <w:tcPr>
            <w:tcW w:w="1620" w:type="dxa"/>
            <w:tcBorders>
              <w:top w:val="nil"/>
              <w:left w:val="nil"/>
              <w:bottom w:val="single" w:sz="4" w:space="0" w:color="auto"/>
              <w:right w:val="single" w:sz="4" w:space="0" w:color="auto"/>
            </w:tcBorders>
            <w:shd w:val="clear" w:color="auto" w:fill="auto"/>
            <w:noWrap/>
            <w:vAlign w:val="bottom"/>
            <w:hideMark/>
          </w:tcPr>
          <w:p w14:paraId="6CDCD487" w14:textId="04F55E15"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w:t>
            </w:r>
            <w:r w:rsidR="00D00F9F">
              <w:rPr>
                <w:rFonts w:ascii="Calibri" w:eastAsia="Times New Roman" w:hAnsi="Calibri" w:cs="Calibri"/>
                <w:color w:val="000000"/>
                <w:lang w:val="es-MX" w:eastAsia="es-MX"/>
              </w:rPr>
              <w:t>32,086.90</w:t>
            </w:r>
            <w:r w:rsidRPr="00091592">
              <w:rPr>
                <w:rFonts w:ascii="Calibri" w:eastAsia="Times New Roman" w:hAnsi="Calibri" w:cs="Calibri"/>
                <w:color w:val="000000"/>
                <w:lang w:val="es-MX" w:eastAsia="es-MX"/>
              </w:rPr>
              <w:t xml:space="preserve"> </w:t>
            </w:r>
          </w:p>
        </w:tc>
        <w:tc>
          <w:tcPr>
            <w:tcW w:w="1170" w:type="dxa"/>
            <w:tcBorders>
              <w:top w:val="nil"/>
              <w:left w:val="nil"/>
              <w:bottom w:val="single" w:sz="4" w:space="0" w:color="auto"/>
              <w:right w:val="single" w:sz="4" w:space="0" w:color="auto"/>
            </w:tcBorders>
            <w:shd w:val="clear" w:color="auto" w:fill="auto"/>
            <w:noWrap/>
            <w:vAlign w:val="bottom"/>
            <w:hideMark/>
          </w:tcPr>
          <w:p w14:paraId="6ED240F7" w14:textId="7C23DDC0"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9</w:t>
            </w:r>
            <w:r w:rsidR="00D00F9F">
              <w:rPr>
                <w:rFonts w:ascii="Calibri" w:eastAsia="Times New Roman" w:hAnsi="Calibri" w:cs="Calibri"/>
                <w:color w:val="000000"/>
                <w:lang w:val="es-MX" w:eastAsia="es-MX"/>
              </w:rPr>
              <w:t>9</w:t>
            </w:r>
            <w:r w:rsidRPr="00091592">
              <w:rPr>
                <w:rFonts w:ascii="Calibri" w:eastAsia="Times New Roman" w:hAnsi="Calibri" w:cs="Calibri"/>
                <w:color w:val="000000"/>
                <w:lang w:val="es-MX" w:eastAsia="es-MX"/>
              </w:rPr>
              <w:t>.</w:t>
            </w:r>
            <w:r w:rsidR="00D00F9F">
              <w:rPr>
                <w:rFonts w:ascii="Calibri" w:eastAsia="Times New Roman" w:hAnsi="Calibri" w:cs="Calibri"/>
                <w:color w:val="000000"/>
                <w:lang w:val="es-MX" w:eastAsia="es-MX"/>
              </w:rPr>
              <w:t>1</w:t>
            </w:r>
            <w:r w:rsidRPr="00091592">
              <w:rPr>
                <w:rFonts w:ascii="Calibri" w:eastAsia="Times New Roman" w:hAnsi="Calibri" w:cs="Calibri"/>
                <w:color w:val="000000"/>
                <w:lang w:val="es-MX" w:eastAsia="es-MX"/>
              </w:rPr>
              <w:t>0%</w:t>
            </w:r>
          </w:p>
        </w:tc>
        <w:tc>
          <w:tcPr>
            <w:tcW w:w="1260" w:type="dxa"/>
            <w:tcBorders>
              <w:top w:val="nil"/>
              <w:left w:val="nil"/>
              <w:bottom w:val="single" w:sz="4" w:space="0" w:color="auto"/>
              <w:right w:val="single" w:sz="4" w:space="0" w:color="auto"/>
            </w:tcBorders>
            <w:shd w:val="clear" w:color="auto" w:fill="auto"/>
            <w:noWrap/>
            <w:vAlign w:val="bottom"/>
            <w:hideMark/>
          </w:tcPr>
          <w:p w14:paraId="131342BD"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1015</w:t>
            </w:r>
          </w:p>
        </w:tc>
        <w:tc>
          <w:tcPr>
            <w:tcW w:w="1170" w:type="dxa"/>
            <w:tcBorders>
              <w:top w:val="nil"/>
              <w:left w:val="nil"/>
              <w:bottom w:val="single" w:sz="4" w:space="0" w:color="auto"/>
              <w:right w:val="single" w:sz="4" w:space="0" w:color="auto"/>
            </w:tcBorders>
            <w:shd w:val="clear" w:color="auto" w:fill="auto"/>
            <w:noWrap/>
            <w:vAlign w:val="bottom"/>
            <w:hideMark/>
          </w:tcPr>
          <w:p w14:paraId="64F3FBA3"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92.40%</w:t>
            </w:r>
          </w:p>
        </w:tc>
      </w:tr>
      <w:tr w:rsidR="00091592" w:rsidRPr="00091592" w14:paraId="3035D52E" w14:textId="77777777" w:rsidTr="00091592">
        <w:trPr>
          <w:trHeight w:val="29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2E1EADEA" w14:textId="77777777" w:rsidR="00091592" w:rsidRPr="00091592" w:rsidRDefault="00091592" w:rsidP="00091592">
            <w:pPr>
              <w:spacing w:after="0" w:line="240" w:lineRule="auto"/>
              <w:rPr>
                <w:rFonts w:ascii="Calibri" w:eastAsia="Times New Roman" w:hAnsi="Calibri" w:cs="Calibri"/>
                <w:b/>
                <w:bCs/>
                <w:color w:val="000000"/>
                <w:lang w:val="es-MX" w:eastAsia="es-MX"/>
              </w:rPr>
            </w:pPr>
            <w:r w:rsidRPr="00091592">
              <w:rPr>
                <w:rFonts w:ascii="Calibri" w:eastAsia="Times New Roman" w:hAnsi="Calibri" w:cs="Calibri"/>
                <w:b/>
                <w:bCs/>
                <w:color w:val="000000"/>
                <w:lang w:val="es-MX" w:eastAsia="es-MX"/>
              </w:rPr>
              <w:t>2: Major Donors</w:t>
            </w:r>
          </w:p>
        </w:tc>
        <w:tc>
          <w:tcPr>
            <w:tcW w:w="1350" w:type="dxa"/>
            <w:tcBorders>
              <w:top w:val="nil"/>
              <w:left w:val="nil"/>
              <w:bottom w:val="single" w:sz="4" w:space="0" w:color="auto"/>
              <w:right w:val="single" w:sz="4" w:space="0" w:color="auto"/>
            </w:tcBorders>
            <w:shd w:val="clear" w:color="auto" w:fill="auto"/>
            <w:noWrap/>
            <w:vAlign w:val="bottom"/>
            <w:hideMark/>
          </w:tcPr>
          <w:p w14:paraId="6A02C831"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 xml:space="preserve">$132,716.00 </w:t>
            </w:r>
          </w:p>
        </w:tc>
        <w:tc>
          <w:tcPr>
            <w:tcW w:w="1170" w:type="dxa"/>
            <w:tcBorders>
              <w:top w:val="nil"/>
              <w:left w:val="nil"/>
              <w:bottom w:val="single" w:sz="4" w:space="0" w:color="auto"/>
              <w:right w:val="single" w:sz="4" w:space="0" w:color="auto"/>
            </w:tcBorders>
            <w:shd w:val="clear" w:color="auto" w:fill="auto"/>
            <w:noWrap/>
            <w:vAlign w:val="bottom"/>
            <w:hideMark/>
          </w:tcPr>
          <w:p w14:paraId="07C6E602"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57.20%</w:t>
            </w:r>
          </w:p>
        </w:tc>
        <w:tc>
          <w:tcPr>
            <w:tcW w:w="1620" w:type="dxa"/>
            <w:tcBorders>
              <w:top w:val="nil"/>
              <w:left w:val="nil"/>
              <w:bottom w:val="single" w:sz="4" w:space="0" w:color="auto"/>
              <w:right w:val="single" w:sz="4" w:space="0" w:color="auto"/>
            </w:tcBorders>
            <w:shd w:val="clear" w:color="auto" w:fill="auto"/>
            <w:noWrap/>
            <w:vAlign w:val="bottom"/>
            <w:hideMark/>
          </w:tcPr>
          <w:p w14:paraId="747284E9"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 xml:space="preserve">$0.00 </w:t>
            </w:r>
          </w:p>
        </w:tc>
        <w:tc>
          <w:tcPr>
            <w:tcW w:w="1170" w:type="dxa"/>
            <w:tcBorders>
              <w:top w:val="nil"/>
              <w:left w:val="nil"/>
              <w:bottom w:val="single" w:sz="4" w:space="0" w:color="auto"/>
              <w:right w:val="single" w:sz="4" w:space="0" w:color="auto"/>
            </w:tcBorders>
            <w:shd w:val="clear" w:color="auto" w:fill="auto"/>
            <w:noWrap/>
            <w:vAlign w:val="bottom"/>
            <w:hideMark/>
          </w:tcPr>
          <w:p w14:paraId="6861C299"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0.00%</w:t>
            </w:r>
          </w:p>
        </w:tc>
        <w:tc>
          <w:tcPr>
            <w:tcW w:w="1260" w:type="dxa"/>
            <w:tcBorders>
              <w:top w:val="nil"/>
              <w:left w:val="nil"/>
              <w:bottom w:val="single" w:sz="4" w:space="0" w:color="auto"/>
              <w:right w:val="single" w:sz="4" w:space="0" w:color="auto"/>
            </w:tcBorders>
            <w:shd w:val="clear" w:color="auto" w:fill="auto"/>
            <w:noWrap/>
            <w:vAlign w:val="bottom"/>
            <w:hideMark/>
          </w:tcPr>
          <w:p w14:paraId="09734D6A"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31</w:t>
            </w:r>
          </w:p>
        </w:tc>
        <w:tc>
          <w:tcPr>
            <w:tcW w:w="1170" w:type="dxa"/>
            <w:tcBorders>
              <w:top w:val="nil"/>
              <w:left w:val="nil"/>
              <w:bottom w:val="single" w:sz="4" w:space="0" w:color="auto"/>
              <w:right w:val="single" w:sz="4" w:space="0" w:color="auto"/>
            </w:tcBorders>
            <w:shd w:val="clear" w:color="auto" w:fill="auto"/>
            <w:noWrap/>
            <w:vAlign w:val="bottom"/>
            <w:hideMark/>
          </w:tcPr>
          <w:p w14:paraId="276D8937"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2.80%</w:t>
            </w:r>
          </w:p>
        </w:tc>
      </w:tr>
      <w:tr w:rsidR="00091592" w:rsidRPr="00091592" w14:paraId="303A451E" w14:textId="77777777" w:rsidTr="00091592">
        <w:trPr>
          <w:trHeight w:val="29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1C400328" w14:textId="77777777" w:rsidR="00091592" w:rsidRPr="00091592" w:rsidRDefault="00091592" w:rsidP="00091592">
            <w:pPr>
              <w:spacing w:after="0" w:line="240" w:lineRule="auto"/>
              <w:rPr>
                <w:rFonts w:ascii="Calibri" w:eastAsia="Times New Roman" w:hAnsi="Calibri" w:cs="Calibri"/>
                <w:b/>
                <w:bCs/>
                <w:color w:val="000000"/>
                <w:lang w:val="es-MX" w:eastAsia="es-MX"/>
              </w:rPr>
            </w:pPr>
            <w:r w:rsidRPr="00091592">
              <w:rPr>
                <w:rFonts w:ascii="Calibri" w:eastAsia="Times New Roman" w:hAnsi="Calibri" w:cs="Calibri"/>
                <w:b/>
                <w:bCs/>
                <w:color w:val="000000"/>
                <w:lang w:val="es-MX" w:eastAsia="es-MX"/>
              </w:rPr>
              <w:t>3: Grants</w:t>
            </w:r>
          </w:p>
        </w:tc>
        <w:tc>
          <w:tcPr>
            <w:tcW w:w="1350" w:type="dxa"/>
            <w:tcBorders>
              <w:top w:val="nil"/>
              <w:left w:val="nil"/>
              <w:bottom w:val="single" w:sz="4" w:space="0" w:color="auto"/>
              <w:right w:val="single" w:sz="4" w:space="0" w:color="auto"/>
            </w:tcBorders>
            <w:shd w:val="clear" w:color="auto" w:fill="auto"/>
            <w:noWrap/>
            <w:vAlign w:val="bottom"/>
            <w:hideMark/>
          </w:tcPr>
          <w:p w14:paraId="5EC5C6E8"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 xml:space="preserve">$1,500.00 </w:t>
            </w:r>
          </w:p>
        </w:tc>
        <w:tc>
          <w:tcPr>
            <w:tcW w:w="1170" w:type="dxa"/>
            <w:tcBorders>
              <w:top w:val="nil"/>
              <w:left w:val="nil"/>
              <w:bottom w:val="single" w:sz="4" w:space="0" w:color="auto"/>
              <w:right w:val="single" w:sz="4" w:space="0" w:color="auto"/>
            </w:tcBorders>
            <w:shd w:val="clear" w:color="auto" w:fill="auto"/>
            <w:noWrap/>
            <w:vAlign w:val="bottom"/>
            <w:hideMark/>
          </w:tcPr>
          <w:p w14:paraId="646CA705"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0.60%</w:t>
            </w:r>
          </w:p>
        </w:tc>
        <w:tc>
          <w:tcPr>
            <w:tcW w:w="1620" w:type="dxa"/>
            <w:tcBorders>
              <w:top w:val="nil"/>
              <w:left w:val="nil"/>
              <w:bottom w:val="single" w:sz="4" w:space="0" w:color="auto"/>
              <w:right w:val="single" w:sz="4" w:space="0" w:color="auto"/>
            </w:tcBorders>
            <w:shd w:val="clear" w:color="auto" w:fill="auto"/>
            <w:noWrap/>
            <w:vAlign w:val="bottom"/>
            <w:hideMark/>
          </w:tcPr>
          <w:p w14:paraId="37504482"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 xml:space="preserve">$0.00 </w:t>
            </w:r>
          </w:p>
        </w:tc>
        <w:tc>
          <w:tcPr>
            <w:tcW w:w="1170" w:type="dxa"/>
            <w:tcBorders>
              <w:top w:val="nil"/>
              <w:left w:val="nil"/>
              <w:bottom w:val="single" w:sz="4" w:space="0" w:color="auto"/>
              <w:right w:val="single" w:sz="4" w:space="0" w:color="auto"/>
            </w:tcBorders>
            <w:shd w:val="clear" w:color="auto" w:fill="auto"/>
            <w:noWrap/>
            <w:vAlign w:val="bottom"/>
            <w:hideMark/>
          </w:tcPr>
          <w:p w14:paraId="1D60F2F7"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0.00%</w:t>
            </w:r>
          </w:p>
        </w:tc>
        <w:tc>
          <w:tcPr>
            <w:tcW w:w="1260" w:type="dxa"/>
            <w:tcBorders>
              <w:top w:val="nil"/>
              <w:left w:val="nil"/>
              <w:bottom w:val="single" w:sz="4" w:space="0" w:color="auto"/>
              <w:right w:val="single" w:sz="4" w:space="0" w:color="auto"/>
            </w:tcBorders>
            <w:shd w:val="clear" w:color="auto" w:fill="auto"/>
            <w:noWrap/>
            <w:vAlign w:val="bottom"/>
            <w:hideMark/>
          </w:tcPr>
          <w:p w14:paraId="2B55A900"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1</w:t>
            </w:r>
          </w:p>
        </w:tc>
        <w:tc>
          <w:tcPr>
            <w:tcW w:w="1170" w:type="dxa"/>
            <w:tcBorders>
              <w:top w:val="nil"/>
              <w:left w:val="nil"/>
              <w:bottom w:val="single" w:sz="4" w:space="0" w:color="auto"/>
              <w:right w:val="single" w:sz="4" w:space="0" w:color="auto"/>
            </w:tcBorders>
            <w:shd w:val="clear" w:color="auto" w:fill="auto"/>
            <w:noWrap/>
            <w:vAlign w:val="bottom"/>
            <w:hideMark/>
          </w:tcPr>
          <w:p w14:paraId="1041327B"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0.10%</w:t>
            </w:r>
          </w:p>
        </w:tc>
      </w:tr>
      <w:tr w:rsidR="00091592" w:rsidRPr="00091592" w14:paraId="721BE136" w14:textId="77777777" w:rsidTr="00091592">
        <w:trPr>
          <w:trHeight w:val="29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67A5EB9" w14:textId="77777777" w:rsidR="00091592" w:rsidRPr="00091592" w:rsidRDefault="00091592" w:rsidP="00091592">
            <w:pPr>
              <w:spacing w:after="0" w:line="240" w:lineRule="auto"/>
              <w:rPr>
                <w:rFonts w:ascii="Calibri" w:eastAsia="Times New Roman" w:hAnsi="Calibri" w:cs="Calibri"/>
                <w:b/>
                <w:bCs/>
                <w:color w:val="000000"/>
                <w:lang w:val="es-MX" w:eastAsia="es-MX"/>
              </w:rPr>
            </w:pPr>
            <w:r w:rsidRPr="00091592">
              <w:rPr>
                <w:rFonts w:ascii="Calibri" w:eastAsia="Times New Roman" w:hAnsi="Calibri" w:cs="Calibri"/>
                <w:b/>
                <w:bCs/>
                <w:color w:val="000000"/>
                <w:lang w:val="es-MX" w:eastAsia="es-MX"/>
              </w:rPr>
              <w:t>4: Corporations</w:t>
            </w:r>
          </w:p>
        </w:tc>
        <w:tc>
          <w:tcPr>
            <w:tcW w:w="1350" w:type="dxa"/>
            <w:tcBorders>
              <w:top w:val="nil"/>
              <w:left w:val="nil"/>
              <w:bottom w:val="single" w:sz="4" w:space="0" w:color="auto"/>
              <w:right w:val="single" w:sz="4" w:space="0" w:color="auto"/>
            </w:tcBorders>
            <w:shd w:val="clear" w:color="auto" w:fill="auto"/>
            <w:noWrap/>
            <w:vAlign w:val="bottom"/>
            <w:hideMark/>
          </w:tcPr>
          <w:p w14:paraId="5F90BC57"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 xml:space="preserve">$2,269.19 </w:t>
            </w:r>
          </w:p>
        </w:tc>
        <w:tc>
          <w:tcPr>
            <w:tcW w:w="1170" w:type="dxa"/>
            <w:tcBorders>
              <w:top w:val="nil"/>
              <w:left w:val="nil"/>
              <w:bottom w:val="single" w:sz="4" w:space="0" w:color="auto"/>
              <w:right w:val="single" w:sz="4" w:space="0" w:color="auto"/>
            </w:tcBorders>
            <w:shd w:val="clear" w:color="auto" w:fill="auto"/>
            <w:noWrap/>
            <w:vAlign w:val="bottom"/>
            <w:hideMark/>
          </w:tcPr>
          <w:p w14:paraId="4E964D57"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7721E67B"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 xml:space="preserve">$0.00 </w:t>
            </w:r>
          </w:p>
        </w:tc>
        <w:tc>
          <w:tcPr>
            <w:tcW w:w="1170" w:type="dxa"/>
            <w:tcBorders>
              <w:top w:val="nil"/>
              <w:left w:val="nil"/>
              <w:bottom w:val="single" w:sz="4" w:space="0" w:color="auto"/>
              <w:right w:val="single" w:sz="4" w:space="0" w:color="auto"/>
            </w:tcBorders>
            <w:shd w:val="clear" w:color="auto" w:fill="auto"/>
            <w:noWrap/>
            <w:vAlign w:val="bottom"/>
            <w:hideMark/>
          </w:tcPr>
          <w:p w14:paraId="6A9401C1"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0.00%</w:t>
            </w:r>
          </w:p>
        </w:tc>
        <w:tc>
          <w:tcPr>
            <w:tcW w:w="1260" w:type="dxa"/>
            <w:tcBorders>
              <w:top w:val="nil"/>
              <w:left w:val="nil"/>
              <w:bottom w:val="single" w:sz="4" w:space="0" w:color="auto"/>
              <w:right w:val="single" w:sz="4" w:space="0" w:color="auto"/>
            </w:tcBorders>
            <w:shd w:val="clear" w:color="auto" w:fill="auto"/>
            <w:noWrap/>
            <w:vAlign w:val="bottom"/>
            <w:hideMark/>
          </w:tcPr>
          <w:p w14:paraId="4B1439BB"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7</w:t>
            </w:r>
          </w:p>
        </w:tc>
        <w:tc>
          <w:tcPr>
            <w:tcW w:w="1170" w:type="dxa"/>
            <w:tcBorders>
              <w:top w:val="nil"/>
              <w:left w:val="nil"/>
              <w:bottom w:val="single" w:sz="4" w:space="0" w:color="auto"/>
              <w:right w:val="single" w:sz="4" w:space="0" w:color="auto"/>
            </w:tcBorders>
            <w:shd w:val="clear" w:color="auto" w:fill="auto"/>
            <w:noWrap/>
            <w:vAlign w:val="bottom"/>
            <w:hideMark/>
          </w:tcPr>
          <w:p w14:paraId="61F794FF"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0.60%</w:t>
            </w:r>
          </w:p>
        </w:tc>
      </w:tr>
      <w:tr w:rsidR="00091592" w:rsidRPr="00091592" w14:paraId="7EECEEC7" w14:textId="77777777" w:rsidTr="00091592">
        <w:trPr>
          <w:trHeight w:val="29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329BC802" w14:textId="77777777" w:rsidR="00091592" w:rsidRPr="00091592" w:rsidRDefault="00091592" w:rsidP="00091592">
            <w:pPr>
              <w:spacing w:after="0" w:line="240" w:lineRule="auto"/>
              <w:rPr>
                <w:rFonts w:ascii="Calibri" w:eastAsia="Times New Roman" w:hAnsi="Calibri" w:cs="Calibri"/>
                <w:b/>
                <w:bCs/>
                <w:color w:val="000000"/>
                <w:lang w:val="es-MX" w:eastAsia="es-MX"/>
              </w:rPr>
            </w:pPr>
            <w:r w:rsidRPr="00091592">
              <w:rPr>
                <w:rFonts w:ascii="Calibri" w:eastAsia="Times New Roman" w:hAnsi="Calibri" w:cs="Calibri"/>
                <w:b/>
                <w:bCs/>
                <w:color w:val="000000"/>
                <w:lang w:val="es-MX" w:eastAsia="es-MX"/>
              </w:rPr>
              <w:t>5: Earned Revenue</w:t>
            </w:r>
          </w:p>
        </w:tc>
        <w:tc>
          <w:tcPr>
            <w:tcW w:w="1350" w:type="dxa"/>
            <w:tcBorders>
              <w:top w:val="nil"/>
              <w:left w:val="nil"/>
              <w:bottom w:val="single" w:sz="4" w:space="0" w:color="auto"/>
              <w:right w:val="single" w:sz="4" w:space="0" w:color="auto"/>
            </w:tcBorders>
            <w:shd w:val="clear" w:color="auto" w:fill="auto"/>
            <w:noWrap/>
            <w:vAlign w:val="bottom"/>
            <w:hideMark/>
          </w:tcPr>
          <w:p w14:paraId="1D54C414"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 xml:space="preserve">$7,321.79 </w:t>
            </w:r>
          </w:p>
        </w:tc>
        <w:tc>
          <w:tcPr>
            <w:tcW w:w="1170" w:type="dxa"/>
            <w:tcBorders>
              <w:top w:val="nil"/>
              <w:left w:val="nil"/>
              <w:bottom w:val="single" w:sz="4" w:space="0" w:color="auto"/>
              <w:right w:val="single" w:sz="4" w:space="0" w:color="auto"/>
            </w:tcBorders>
            <w:shd w:val="clear" w:color="auto" w:fill="auto"/>
            <w:noWrap/>
            <w:vAlign w:val="bottom"/>
            <w:hideMark/>
          </w:tcPr>
          <w:p w14:paraId="57F2F474"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3.20%</w:t>
            </w:r>
          </w:p>
        </w:tc>
        <w:tc>
          <w:tcPr>
            <w:tcW w:w="1620" w:type="dxa"/>
            <w:tcBorders>
              <w:top w:val="nil"/>
              <w:left w:val="nil"/>
              <w:bottom w:val="single" w:sz="4" w:space="0" w:color="auto"/>
              <w:right w:val="single" w:sz="4" w:space="0" w:color="auto"/>
            </w:tcBorders>
            <w:shd w:val="clear" w:color="auto" w:fill="auto"/>
            <w:noWrap/>
            <w:vAlign w:val="bottom"/>
            <w:hideMark/>
          </w:tcPr>
          <w:p w14:paraId="1E98E108" w14:textId="0AED32E8"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w:t>
            </w:r>
            <w:r w:rsidR="00D00F9F">
              <w:rPr>
                <w:rFonts w:ascii="Calibri" w:eastAsia="Times New Roman" w:hAnsi="Calibri" w:cs="Calibri"/>
                <w:color w:val="000000"/>
                <w:lang w:val="es-MX" w:eastAsia="es-MX"/>
              </w:rPr>
              <w:t>298.23</w:t>
            </w:r>
            <w:r w:rsidRPr="00091592">
              <w:rPr>
                <w:rFonts w:ascii="Calibri" w:eastAsia="Times New Roman" w:hAnsi="Calibri" w:cs="Calibri"/>
                <w:color w:val="000000"/>
                <w:lang w:val="es-MX" w:eastAsia="es-MX"/>
              </w:rPr>
              <w:t xml:space="preserve"> </w:t>
            </w:r>
          </w:p>
        </w:tc>
        <w:tc>
          <w:tcPr>
            <w:tcW w:w="1170" w:type="dxa"/>
            <w:tcBorders>
              <w:top w:val="nil"/>
              <w:left w:val="nil"/>
              <w:bottom w:val="single" w:sz="4" w:space="0" w:color="auto"/>
              <w:right w:val="single" w:sz="4" w:space="0" w:color="auto"/>
            </w:tcBorders>
            <w:shd w:val="clear" w:color="auto" w:fill="auto"/>
            <w:noWrap/>
            <w:vAlign w:val="bottom"/>
            <w:hideMark/>
          </w:tcPr>
          <w:p w14:paraId="69FDB00B" w14:textId="397C14F8" w:rsidR="00091592" w:rsidRPr="00091592" w:rsidRDefault="00D00F9F" w:rsidP="00091592">
            <w:pPr>
              <w:spacing w:after="0" w:line="240" w:lineRule="auto"/>
              <w:jc w:val="right"/>
              <w:rPr>
                <w:rFonts w:ascii="Calibri" w:eastAsia="Times New Roman" w:hAnsi="Calibri" w:cs="Calibri"/>
                <w:color w:val="000000"/>
                <w:lang w:val="es-MX" w:eastAsia="es-MX"/>
              </w:rPr>
            </w:pPr>
            <w:r>
              <w:rPr>
                <w:rFonts w:ascii="Calibri" w:eastAsia="Times New Roman" w:hAnsi="Calibri" w:cs="Calibri"/>
                <w:color w:val="000000"/>
                <w:lang w:val="es-MX" w:eastAsia="es-MX"/>
              </w:rPr>
              <w:t>0</w:t>
            </w:r>
            <w:r w:rsidR="00091592" w:rsidRPr="00091592">
              <w:rPr>
                <w:rFonts w:ascii="Calibri" w:eastAsia="Times New Roman" w:hAnsi="Calibri" w:cs="Calibri"/>
                <w:color w:val="000000"/>
                <w:lang w:val="es-MX" w:eastAsia="es-MX"/>
              </w:rPr>
              <w:t>.</w:t>
            </w:r>
            <w:r>
              <w:rPr>
                <w:rFonts w:ascii="Calibri" w:eastAsia="Times New Roman" w:hAnsi="Calibri" w:cs="Calibri"/>
                <w:color w:val="000000"/>
                <w:lang w:val="es-MX" w:eastAsia="es-MX"/>
              </w:rPr>
              <w:t>9</w:t>
            </w:r>
            <w:r w:rsidR="00091592" w:rsidRPr="00091592">
              <w:rPr>
                <w:rFonts w:ascii="Calibri" w:eastAsia="Times New Roman" w:hAnsi="Calibri" w:cs="Calibri"/>
                <w:color w:val="000000"/>
                <w:lang w:val="es-MX" w:eastAsia="es-MX"/>
              </w:rPr>
              <w:t>0%</w:t>
            </w:r>
          </w:p>
        </w:tc>
        <w:tc>
          <w:tcPr>
            <w:tcW w:w="1260" w:type="dxa"/>
            <w:tcBorders>
              <w:top w:val="nil"/>
              <w:left w:val="nil"/>
              <w:bottom w:val="single" w:sz="4" w:space="0" w:color="auto"/>
              <w:right w:val="single" w:sz="4" w:space="0" w:color="auto"/>
            </w:tcBorders>
            <w:shd w:val="clear" w:color="auto" w:fill="auto"/>
            <w:noWrap/>
            <w:vAlign w:val="bottom"/>
            <w:hideMark/>
          </w:tcPr>
          <w:p w14:paraId="4457826B"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43</w:t>
            </w:r>
          </w:p>
        </w:tc>
        <w:tc>
          <w:tcPr>
            <w:tcW w:w="1170" w:type="dxa"/>
            <w:tcBorders>
              <w:top w:val="nil"/>
              <w:left w:val="nil"/>
              <w:bottom w:val="single" w:sz="4" w:space="0" w:color="auto"/>
              <w:right w:val="single" w:sz="4" w:space="0" w:color="auto"/>
            </w:tcBorders>
            <w:shd w:val="clear" w:color="auto" w:fill="auto"/>
            <w:noWrap/>
            <w:vAlign w:val="bottom"/>
            <w:hideMark/>
          </w:tcPr>
          <w:p w14:paraId="6C331657" w14:textId="77777777" w:rsidR="00091592" w:rsidRPr="00091592" w:rsidRDefault="00091592" w:rsidP="00091592">
            <w:pPr>
              <w:spacing w:after="0" w:line="240" w:lineRule="auto"/>
              <w:jc w:val="right"/>
              <w:rPr>
                <w:rFonts w:ascii="Calibri" w:eastAsia="Times New Roman" w:hAnsi="Calibri" w:cs="Calibri"/>
                <w:color w:val="000000"/>
                <w:lang w:val="es-MX" w:eastAsia="es-MX"/>
              </w:rPr>
            </w:pPr>
            <w:r w:rsidRPr="00091592">
              <w:rPr>
                <w:rFonts w:ascii="Calibri" w:eastAsia="Times New Roman" w:hAnsi="Calibri" w:cs="Calibri"/>
                <w:color w:val="000000"/>
                <w:lang w:val="es-MX" w:eastAsia="es-MX"/>
              </w:rPr>
              <w:t>3.90%</w:t>
            </w:r>
          </w:p>
        </w:tc>
      </w:tr>
    </w:tbl>
    <w:p w14:paraId="2C273233" w14:textId="31A161DF" w:rsidR="00091592" w:rsidRDefault="00091592" w:rsidP="00033215">
      <w:pPr>
        <w:spacing w:after="0" w:line="240" w:lineRule="auto"/>
      </w:pPr>
    </w:p>
    <w:p w14:paraId="173478CA" w14:textId="2E9AF6C8" w:rsidR="00091592" w:rsidRPr="00BD076E" w:rsidRDefault="00091592" w:rsidP="00033215">
      <w:pPr>
        <w:spacing w:after="0" w:line="240" w:lineRule="auto"/>
        <w:rPr>
          <w:b/>
          <w:bCs/>
          <w:sz w:val="24"/>
          <w:szCs w:val="24"/>
        </w:rPr>
      </w:pPr>
      <w:r w:rsidRPr="00BD076E">
        <w:rPr>
          <w:b/>
          <w:bCs/>
          <w:sz w:val="24"/>
          <w:szCs w:val="24"/>
        </w:rPr>
        <w:t>Overview of last fiscal year (FY2020) – Averages:</w:t>
      </w:r>
    </w:p>
    <w:tbl>
      <w:tblPr>
        <w:tblW w:w="0" w:type="auto"/>
        <w:tblInd w:w="-38" w:type="dxa"/>
        <w:tblLayout w:type="fixed"/>
        <w:tblCellMar>
          <w:left w:w="30" w:type="dxa"/>
          <w:right w:w="30" w:type="dxa"/>
        </w:tblCellMar>
        <w:tblLook w:val="0000" w:firstRow="0" w:lastRow="0" w:firstColumn="0" w:lastColumn="0" w:noHBand="0" w:noVBand="0"/>
      </w:tblPr>
      <w:tblGrid>
        <w:gridCol w:w="1877"/>
        <w:gridCol w:w="1281"/>
        <w:gridCol w:w="2272"/>
        <w:gridCol w:w="2200"/>
      </w:tblGrid>
      <w:tr w:rsidR="00091592" w14:paraId="6E327E79" w14:textId="77777777" w:rsidTr="00091592">
        <w:trPr>
          <w:trHeight w:val="290"/>
        </w:trPr>
        <w:tc>
          <w:tcPr>
            <w:tcW w:w="1877" w:type="dxa"/>
            <w:tcBorders>
              <w:top w:val="single" w:sz="6" w:space="0" w:color="auto"/>
              <w:left w:val="single" w:sz="6" w:space="0" w:color="auto"/>
              <w:bottom w:val="single" w:sz="6" w:space="0" w:color="auto"/>
              <w:right w:val="single" w:sz="6" w:space="0" w:color="auto"/>
            </w:tcBorders>
          </w:tcPr>
          <w:p w14:paraId="15147257" w14:textId="77777777" w:rsidR="00091592" w:rsidRDefault="00091592">
            <w:pPr>
              <w:autoSpaceDE w:val="0"/>
              <w:autoSpaceDN w:val="0"/>
              <w:adjustRightInd w:val="0"/>
              <w:spacing w:after="0" w:line="240" w:lineRule="auto"/>
              <w:rPr>
                <w:rFonts w:ascii="Calibri" w:hAnsi="Calibri" w:cs="Calibri"/>
                <w:b/>
                <w:bCs/>
                <w:color w:val="000000"/>
                <w:lang w:val="es-MX"/>
              </w:rPr>
            </w:pPr>
            <w:r>
              <w:rPr>
                <w:rFonts w:ascii="Calibri" w:hAnsi="Calibri" w:cs="Calibri"/>
                <w:b/>
                <w:bCs/>
                <w:color w:val="000000"/>
                <w:lang w:val="es-MX"/>
              </w:rPr>
              <w:t>Bucket</w:t>
            </w:r>
          </w:p>
        </w:tc>
        <w:tc>
          <w:tcPr>
            <w:tcW w:w="1281" w:type="dxa"/>
            <w:tcBorders>
              <w:top w:val="single" w:sz="6" w:space="0" w:color="auto"/>
              <w:left w:val="single" w:sz="6" w:space="0" w:color="auto"/>
              <w:bottom w:val="single" w:sz="6" w:space="0" w:color="auto"/>
              <w:right w:val="single" w:sz="6" w:space="0" w:color="auto"/>
            </w:tcBorders>
          </w:tcPr>
          <w:p w14:paraId="4C731E04" w14:textId="77777777" w:rsidR="00091592" w:rsidRDefault="00091592">
            <w:pPr>
              <w:autoSpaceDE w:val="0"/>
              <w:autoSpaceDN w:val="0"/>
              <w:adjustRightInd w:val="0"/>
              <w:spacing w:after="0" w:line="240" w:lineRule="auto"/>
              <w:rPr>
                <w:rFonts w:ascii="Calibri" w:hAnsi="Calibri" w:cs="Calibri"/>
                <w:b/>
                <w:bCs/>
                <w:color w:val="000000"/>
                <w:lang w:val="es-MX"/>
              </w:rPr>
            </w:pPr>
            <w:r>
              <w:rPr>
                <w:rFonts w:ascii="Calibri" w:hAnsi="Calibri" w:cs="Calibri"/>
                <w:b/>
                <w:bCs/>
                <w:color w:val="000000"/>
                <w:lang w:val="es-MX"/>
              </w:rPr>
              <w:t>Income FY20</w:t>
            </w:r>
          </w:p>
        </w:tc>
        <w:tc>
          <w:tcPr>
            <w:tcW w:w="2272" w:type="dxa"/>
            <w:tcBorders>
              <w:top w:val="single" w:sz="6" w:space="0" w:color="auto"/>
              <w:left w:val="single" w:sz="6" w:space="0" w:color="auto"/>
              <w:bottom w:val="single" w:sz="6" w:space="0" w:color="auto"/>
              <w:right w:val="single" w:sz="6" w:space="0" w:color="auto"/>
            </w:tcBorders>
          </w:tcPr>
          <w:p w14:paraId="775351F2" w14:textId="77777777" w:rsidR="00091592" w:rsidRDefault="00091592">
            <w:pPr>
              <w:autoSpaceDE w:val="0"/>
              <w:autoSpaceDN w:val="0"/>
              <w:adjustRightInd w:val="0"/>
              <w:spacing w:after="0" w:line="240" w:lineRule="auto"/>
              <w:rPr>
                <w:rFonts w:ascii="Calibri" w:hAnsi="Calibri" w:cs="Calibri"/>
                <w:b/>
                <w:bCs/>
                <w:color w:val="000000"/>
                <w:lang w:val="es-MX"/>
              </w:rPr>
            </w:pPr>
            <w:r>
              <w:rPr>
                <w:rFonts w:ascii="Calibri" w:hAnsi="Calibri" w:cs="Calibri"/>
                <w:b/>
                <w:bCs/>
                <w:color w:val="000000"/>
                <w:lang w:val="es-MX"/>
              </w:rPr>
              <w:t>In-Kind Donations FY20</w:t>
            </w:r>
          </w:p>
        </w:tc>
        <w:tc>
          <w:tcPr>
            <w:tcW w:w="2200" w:type="dxa"/>
            <w:tcBorders>
              <w:top w:val="single" w:sz="6" w:space="0" w:color="auto"/>
              <w:left w:val="single" w:sz="6" w:space="0" w:color="auto"/>
              <w:bottom w:val="single" w:sz="6" w:space="0" w:color="auto"/>
              <w:right w:val="single" w:sz="6" w:space="0" w:color="auto"/>
            </w:tcBorders>
          </w:tcPr>
          <w:p w14:paraId="527BB097" w14:textId="77777777" w:rsidR="00091592" w:rsidRDefault="00091592">
            <w:pPr>
              <w:autoSpaceDE w:val="0"/>
              <w:autoSpaceDN w:val="0"/>
              <w:adjustRightInd w:val="0"/>
              <w:spacing w:after="0" w:line="240" w:lineRule="auto"/>
              <w:rPr>
                <w:rFonts w:ascii="Calibri" w:hAnsi="Calibri" w:cs="Calibri"/>
                <w:b/>
                <w:bCs/>
                <w:color w:val="000000"/>
                <w:lang w:val="es-MX"/>
              </w:rPr>
            </w:pPr>
            <w:r>
              <w:rPr>
                <w:rFonts w:ascii="Calibri" w:hAnsi="Calibri" w:cs="Calibri"/>
                <w:b/>
                <w:bCs/>
                <w:color w:val="000000"/>
                <w:lang w:val="es-MX"/>
              </w:rPr>
              <w:t>Volunteer Hours FY20</w:t>
            </w:r>
          </w:p>
        </w:tc>
      </w:tr>
      <w:tr w:rsidR="00091592" w14:paraId="4F6D1380" w14:textId="77777777" w:rsidTr="00091592">
        <w:trPr>
          <w:trHeight w:val="290"/>
        </w:trPr>
        <w:tc>
          <w:tcPr>
            <w:tcW w:w="1877" w:type="dxa"/>
            <w:tcBorders>
              <w:top w:val="single" w:sz="6" w:space="0" w:color="auto"/>
              <w:left w:val="single" w:sz="6" w:space="0" w:color="auto"/>
              <w:bottom w:val="single" w:sz="6" w:space="0" w:color="auto"/>
              <w:right w:val="single" w:sz="6" w:space="0" w:color="auto"/>
            </w:tcBorders>
          </w:tcPr>
          <w:p w14:paraId="222ADE32" w14:textId="77777777" w:rsidR="00091592" w:rsidRDefault="00091592">
            <w:pPr>
              <w:autoSpaceDE w:val="0"/>
              <w:autoSpaceDN w:val="0"/>
              <w:adjustRightInd w:val="0"/>
              <w:spacing w:after="0" w:line="240" w:lineRule="auto"/>
              <w:rPr>
                <w:rFonts w:ascii="Calibri" w:hAnsi="Calibri" w:cs="Calibri"/>
                <w:b/>
                <w:bCs/>
                <w:color w:val="000000"/>
                <w:lang w:val="es-MX"/>
              </w:rPr>
            </w:pPr>
            <w:r>
              <w:rPr>
                <w:rFonts w:ascii="Calibri" w:hAnsi="Calibri" w:cs="Calibri"/>
                <w:b/>
                <w:bCs/>
                <w:color w:val="000000"/>
                <w:lang w:val="es-MX"/>
              </w:rPr>
              <w:t>1: Individual Giving</w:t>
            </w:r>
          </w:p>
        </w:tc>
        <w:tc>
          <w:tcPr>
            <w:tcW w:w="1281" w:type="dxa"/>
            <w:tcBorders>
              <w:top w:val="single" w:sz="6" w:space="0" w:color="auto"/>
              <w:left w:val="single" w:sz="6" w:space="0" w:color="auto"/>
              <w:bottom w:val="single" w:sz="6" w:space="0" w:color="auto"/>
              <w:right w:val="single" w:sz="6" w:space="0" w:color="auto"/>
            </w:tcBorders>
          </w:tcPr>
          <w:p w14:paraId="619AEFEA" w14:textId="77777777" w:rsidR="00091592" w:rsidRDefault="00091592">
            <w:pPr>
              <w:autoSpaceDE w:val="0"/>
              <w:autoSpaceDN w:val="0"/>
              <w:adjustRightInd w:val="0"/>
              <w:spacing w:after="0" w:line="240" w:lineRule="auto"/>
              <w:jc w:val="right"/>
              <w:rPr>
                <w:rFonts w:ascii="Calibri" w:hAnsi="Calibri" w:cs="Calibri"/>
                <w:color w:val="000000"/>
                <w:lang w:val="es-MX"/>
              </w:rPr>
            </w:pPr>
            <w:r>
              <w:rPr>
                <w:rFonts w:ascii="Calibri" w:hAnsi="Calibri" w:cs="Calibri"/>
                <w:color w:val="000000"/>
                <w:lang w:val="es-MX"/>
              </w:rPr>
              <w:t xml:space="preserve">$5,512.97 </w:t>
            </w:r>
          </w:p>
        </w:tc>
        <w:tc>
          <w:tcPr>
            <w:tcW w:w="2272" w:type="dxa"/>
            <w:tcBorders>
              <w:top w:val="single" w:sz="6" w:space="0" w:color="auto"/>
              <w:left w:val="single" w:sz="6" w:space="0" w:color="auto"/>
              <w:bottom w:val="single" w:sz="6" w:space="0" w:color="auto"/>
              <w:right w:val="single" w:sz="6" w:space="0" w:color="auto"/>
            </w:tcBorders>
          </w:tcPr>
          <w:p w14:paraId="0FF2D65A" w14:textId="3C9E9E58" w:rsidR="00091592" w:rsidRDefault="00091592">
            <w:pPr>
              <w:autoSpaceDE w:val="0"/>
              <w:autoSpaceDN w:val="0"/>
              <w:adjustRightInd w:val="0"/>
              <w:spacing w:after="0" w:line="240" w:lineRule="auto"/>
              <w:jc w:val="right"/>
              <w:rPr>
                <w:rFonts w:ascii="Calibri" w:hAnsi="Calibri" w:cs="Calibri"/>
                <w:color w:val="000000"/>
                <w:lang w:val="es-MX"/>
              </w:rPr>
            </w:pPr>
            <w:r>
              <w:rPr>
                <w:rFonts w:ascii="Calibri" w:hAnsi="Calibri" w:cs="Calibri"/>
                <w:color w:val="000000"/>
                <w:lang w:val="es-MX"/>
              </w:rPr>
              <w:t>$</w:t>
            </w:r>
            <w:r w:rsidR="00D00F9F">
              <w:rPr>
                <w:rFonts w:ascii="Calibri" w:hAnsi="Calibri" w:cs="Calibri"/>
                <w:color w:val="000000"/>
                <w:lang w:val="es-MX"/>
              </w:rPr>
              <w:t>2</w:t>
            </w:r>
            <w:r>
              <w:rPr>
                <w:rFonts w:ascii="Calibri" w:hAnsi="Calibri" w:cs="Calibri"/>
                <w:color w:val="000000"/>
                <w:lang w:val="es-MX"/>
              </w:rPr>
              <w:t>,</w:t>
            </w:r>
            <w:r w:rsidR="00D00F9F">
              <w:rPr>
                <w:rFonts w:ascii="Calibri" w:hAnsi="Calibri" w:cs="Calibri"/>
                <w:color w:val="000000"/>
                <w:lang w:val="es-MX"/>
              </w:rPr>
              <w:t>005.43</w:t>
            </w:r>
            <w:r>
              <w:rPr>
                <w:rFonts w:ascii="Calibri" w:hAnsi="Calibri" w:cs="Calibri"/>
                <w:color w:val="000000"/>
                <w:lang w:val="es-MX"/>
              </w:rPr>
              <w:t xml:space="preserve"> </w:t>
            </w:r>
          </w:p>
        </w:tc>
        <w:tc>
          <w:tcPr>
            <w:tcW w:w="2200" w:type="dxa"/>
            <w:tcBorders>
              <w:top w:val="single" w:sz="6" w:space="0" w:color="auto"/>
              <w:left w:val="single" w:sz="6" w:space="0" w:color="auto"/>
              <w:bottom w:val="single" w:sz="6" w:space="0" w:color="auto"/>
              <w:right w:val="single" w:sz="6" w:space="0" w:color="auto"/>
            </w:tcBorders>
          </w:tcPr>
          <w:p w14:paraId="7215F536" w14:textId="77777777" w:rsidR="00091592" w:rsidRDefault="00091592">
            <w:pPr>
              <w:autoSpaceDE w:val="0"/>
              <w:autoSpaceDN w:val="0"/>
              <w:adjustRightInd w:val="0"/>
              <w:spacing w:after="0" w:line="240" w:lineRule="auto"/>
              <w:jc w:val="right"/>
              <w:rPr>
                <w:rFonts w:ascii="Calibri" w:hAnsi="Calibri" w:cs="Calibri"/>
                <w:color w:val="000000"/>
                <w:lang w:val="es-MX"/>
              </w:rPr>
            </w:pPr>
            <w:r>
              <w:rPr>
                <w:rFonts w:ascii="Calibri" w:hAnsi="Calibri" w:cs="Calibri"/>
                <w:color w:val="000000"/>
                <w:lang w:val="es-MX"/>
              </w:rPr>
              <w:t>63.4</w:t>
            </w:r>
          </w:p>
        </w:tc>
      </w:tr>
      <w:tr w:rsidR="00091592" w14:paraId="1FF59911" w14:textId="77777777" w:rsidTr="00091592">
        <w:trPr>
          <w:trHeight w:val="290"/>
        </w:trPr>
        <w:tc>
          <w:tcPr>
            <w:tcW w:w="1877" w:type="dxa"/>
            <w:tcBorders>
              <w:top w:val="single" w:sz="6" w:space="0" w:color="auto"/>
              <w:left w:val="single" w:sz="6" w:space="0" w:color="auto"/>
              <w:bottom w:val="single" w:sz="6" w:space="0" w:color="auto"/>
              <w:right w:val="single" w:sz="6" w:space="0" w:color="auto"/>
            </w:tcBorders>
          </w:tcPr>
          <w:p w14:paraId="2691EB25" w14:textId="77777777" w:rsidR="00091592" w:rsidRDefault="00091592">
            <w:pPr>
              <w:autoSpaceDE w:val="0"/>
              <w:autoSpaceDN w:val="0"/>
              <w:adjustRightInd w:val="0"/>
              <w:spacing w:after="0" w:line="240" w:lineRule="auto"/>
              <w:rPr>
                <w:rFonts w:ascii="Calibri" w:hAnsi="Calibri" w:cs="Calibri"/>
                <w:b/>
                <w:bCs/>
                <w:color w:val="000000"/>
                <w:lang w:val="es-MX"/>
              </w:rPr>
            </w:pPr>
            <w:r>
              <w:rPr>
                <w:rFonts w:ascii="Calibri" w:hAnsi="Calibri" w:cs="Calibri"/>
                <w:b/>
                <w:bCs/>
                <w:color w:val="000000"/>
                <w:lang w:val="es-MX"/>
              </w:rPr>
              <w:t>2: Major Donors</w:t>
            </w:r>
          </w:p>
        </w:tc>
        <w:tc>
          <w:tcPr>
            <w:tcW w:w="1281" w:type="dxa"/>
            <w:tcBorders>
              <w:top w:val="single" w:sz="6" w:space="0" w:color="auto"/>
              <w:left w:val="single" w:sz="6" w:space="0" w:color="auto"/>
              <w:bottom w:val="single" w:sz="6" w:space="0" w:color="auto"/>
              <w:right w:val="single" w:sz="6" w:space="0" w:color="auto"/>
            </w:tcBorders>
          </w:tcPr>
          <w:p w14:paraId="46F6B585" w14:textId="77777777" w:rsidR="00091592" w:rsidRDefault="00091592">
            <w:pPr>
              <w:autoSpaceDE w:val="0"/>
              <w:autoSpaceDN w:val="0"/>
              <w:adjustRightInd w:val="0"/>
              <w:spacing w:after="0" w:line="240" w:lineRule="auto"/>
              <w:jc w:val="right"/>
              <w:rPr>
                <w:rFonts w:ascii="Calibri" w:hAnsi="Calibri" w:cs="Calibri"/>
                <w:color w:val="000000"/>
                <w:lang w:val="es-MX"/>
              </w:rPr>
            </w:pPr>
            <w:r>
              <w:rPr>
                <w:rFonts w:ascii="Calibri" w:hAnsi="Calibri" w:cs="Calibri"/>
                <w:color w:val="000000"/>
                <w:lang w:val="es-MX"/>
              </w:rPr>
              <w:t xml:space="preserve">$44,238.67 </w:t>
            </w:r>
          </w:p>
        </w:tc>
        <w:tc>
          <w:tcPr>
            <w:tcW w:w="2272" w:type="dxa"/>
            <w:tcBorders>
              <w:top w:val="single" w:sz="6" w:space="0" w:color="auto"/>
              <w:left w:val="single" w:sz="6" w:space="0" w:color="auto"/>
              <w:bottom w:val="single" w:sz="6" w:space="0" w:color="auto"/>
              <w:right w:val="single" w:sz="6" w:space="0" w:color="auto"/>
            </w:tcBorders>
          </w:tcPr>
          <w:p w14:paraId="019E894F" w14:textId="77777777" w:rsidR="00091592" w:rsidRDefault="00091592">
            <w:pPr>
              <w:autoSpaceDE w:val="0"/>
              <w:autoSpaceDN w:val="0"/>
              <w:adjustRightInd w:val="0"/>
              <w:spacing w:after="0" w:line="240" w:lineRule="auto"/>
              <w:jc w:val="right"/>
              <w:rPr>
                <w:rFonts w:ascii="Calibri" w:hAnsi="Calibri" w:cs="Calibri"/>
                <w:color w:val="000000"/>
                <w:lang w:val="es-MX"/>
              </w:rPr>
            </w:pPr>
            <w:r>
              <w:rPr>
                <w:rFonts w:ascii="Calibri" w:hAnsi="Calibri" w:cs="Calibri"/>
                <w:color w:val="000000"/>
                <w:lang w:val="es-MX"/>
              </w:rPr>
              <w:t xml:space="preserve">$0.00 </w:t>
            </w:r>
          </w:p>
        </w:tc>
        <w:tc>
          <w:tcPr>
            <w:tcW w:w="2200" w:type="dxa"/>
            <w:tcBorders>
              <w:top w:val="single" w:sz="6" w:space="0" w:color="auto"/>
              <w:left w:val="single" w:sz="6" w:space="0" w:color="auto"/>
              <w:bottom w:val="single" w:sz="6" w:space="0" w:color="auto"/>
              <w:right w:val="single" w:sz="6" w:space="0" w:color="auto"/>
            </w:tcBorders>
          </w:tcPr>
          <w:p w14:paraId="3A0654F2" w14:textId="77777777" w:rsidR="00091592" w:rsidRDefault="00091592">
            <w:pPr>
              <w:autoSpaceDE w:val="0"/>
              <w:autoSpaceDN w:val="0"/>
              <w:adjustRightInd w:val="0"/>
              <w:spacing w:after="0" w:line="240" w:lineRule="auto"/>
              <w:jc w:val="right"/>
              <w:rPr>
                <w:rFonts w:ascii="Calibri" w:hAnsi="Calibri" w:cs="Calibri"/>
                <w:color w:val="000000"/>
                <w:lang w:val="es-MX"/>
              </w:rPr>
            </w:pPr>
            <w:r>
              <w:rPr>
                <w:rFonts w:ascii="Calibri" w:hAnsi="Calibri" w:cs="Calibri"/>
                <w:color w:val="000000"/>
                <w:lang w:val="es-MX"/>
              </w:rPr>
              <w:t>10.3</w:t>
            </w:r>
          </w:p>
        </w:tc>
      </w:tr>
      <w:tr w:rsidR="00091592" w14:paraId="7084D6FD" w14:textId="77777777" w:rsidTr="00091592">
        <w:trPr>
          <w:trHeight w:val="290"/>
        </w:trPr>
        <w:tc>
          <w:tcPr>
            <w:tcW w:w="1877" w:type="dxa"/>
            <w:tcBorders>
              <w:top w:val="single" w:sz="6" w:space="0" w:color="auto"/>
              <w:left w:val="single" w:sz="6" w:space="0" w:color="auto"/>
              <w:bottom w:val="single" w:sz="6" w:space="0" w:color="auto"/>
              <w:right w:val="single" w:sz="6" w:space="0" w:color="auto"/>
            </w:tcBorders>
          </w:tcPr>
          <w:p w14:paraId="2BFDD541" w14:textId="77777777" w:rsidR="00091592" w:rsidRDefault="00091592">
            <w:pPr>
              <w:autoSpaceDE w:val="0"/>
              <w:autoSpaceDN w:val="0"/>
              <w:adjustRightInd w:val="0"/>
              <w:spacing w:after="0" w:line="240" w:lineRule="auto"/>
              <w:rPr>
                <w:rFonts w:ascii="Calibri" w:hAnsi="Calibri" w:cs="Calibri"/>
                <w:b/>
                <w:bCs/>
                <w:color w:val="000000"/>
                <w:lang w:val="es-MX"/>
              </w:rPr>
            </w:pPr>
            <w:r>
              <w:rPr>
                <w:rFonts w:ascii="Calibri" w:hAnsi="Calibri" w:cs="Calibri"/>
                <w:b/>
                <w:bCs/>
                <w:color w:val="000000"/>
                <w:lang w:val="es-MX"/>
              </w:rPr>
              <w:t>3: Grants</w:t>
            </w:r>
          </w:p>
        </w:tc>
        <w:tc>
          <w:tcPr>
            <w:tcW w:w="1281" w:type="dxa"/>
            <w:tcBorders>
              <w:top w:val="single" w:sz="6" w:space="0" w:color="auto"/>
              <w:left w:val="single" w:sz="6" w:space="0" w:color="auto"/>
              <w:bottom w:val="single" w:sz="6" w:space="0" w:color="auto"/>
              <w:right w:val="single" w:sz="6" w:space="0" w:color="auto"/>
            </w:tcBorders>
          </w:tcPr>
          <w:p w14:paraId="43EADB4E" w14:textId="77777777" w:rsidR="00091592" w:rsidRDefault="00091592">
            <w:pPr>
              <w:autoSpaceDE w:val="0"/>
              <w:autoSpaceDN w:val="0"/>
              <w:adjustRightInd w:val="0"/>
              <w:spacing w:after="0" w:line="240" w:lineRule="auto"/>
              <w:jc w:val="right"/>
              <w:rPr>
                <w:rFonts w:ascii="Calibri" w:hAnsi="Calibri" w:cs="Calibri"/>
                <w:color w:val="000000"/>
                <w:lang w:val="es-MX"/>
              </w:rPr>
            </w:pPr>
            <w:r>
              <w:rPr>
                <w:rFonts w:ascii="Calibri" w:hAnsi="Calibri" w:cs="Calibri"/>
                <w:color w:val="000000"/>
                <w:lang w:val="es-MX"/>
              </w:rPr>
              <w:t xml:space="preserve">$1,500.00 </w:t>
            </w:r>
          </w:p>
        </w:tc>
        <w:tc>
          <w:tcPr>
            <w:tcW w:w="2272" w:type="dxa"/>
            <w:tcBorders>
              <w:top w:val="single" w:sz="6" w:space="0" w:color="auto"/>
              <w:left w:val="single" w:sz="6" w:space="0" w:color="auto"/>
              <w:bottom w:val="single" w:sz="6" w:space="0" w:color="auto"/>
              <w:right w:val="single" w:sz="6" w:space="0" w:color="auto"/>
            </w:tcBorders>
          </w:tcPr>
          <w:p w14:paraId="23EC1E1F" w14:textId="77777777" w:rsidR="00091592" w:rsidRDefault="00091592">
            <w:pPr>
              <w:autoSpaceDE w:val="0"/>
              <w:autoSpaceDN w:val="0"/>
              <w:adjustRightInd w:val="0"/>
              <w:spacing w:after="0" w:line="240" w:lineRule="auto"/>
              <w:jc w:val="right"/>
              <w:rPr>
                <w:rFonts w:ascii="Calibri" w:hAnsi="Calibri" w:cs="Calibri"/>
                <w:color w:val="000000"/>
                <w:lang w:val="es-MX"/>
              </w:rPr>
            </w:pPr>
            <w:r>
              <w:rPr>
                <w:rFonts w:ascii="Calibri" w:hAnsi="Calibri" w:cs="Calibri"/>
                <w:color w:val="000000"/>
                <w:lang w:val="es-MX"/>
              </w:rPr>
              <w:t xml:space="preserve">$0.00 </w:t>
            </w:r>
          </w:p>
        </w:tc>
        <w:tc>
          <w:tcPr>
            <w:tcW w:w="2200" w:type="dxa"/>
            <w:tcBorders>
              <w:top w:val="single" w:sz="6" w:space="0" w:color="auto"/>
              <w:left w:val="single" w:sz="6" w:space="0" w:color="auto"/>
              <w:bottom w:val="single" w:sz="6" w:space="0" w:color="auto"/>
              <w:right w:val="single" w:sz="6" w:space="0" w:color="auto"/>
            </w:tcBorders>
          </w:tcPr>
          <w:p w14:paraId="344C5C7C" w14:textId="77777777" w:rsidR="00091592" w:rsidRDefault="00091592">
            <w:pPr>
              <w:autoSpaceDE w:val="0"/>
              <w:autoSpaceDN w:val="0"/>
              <w:adjustRightInd w:val="0"/>
              <w:spacing w:after="0" w:line="240" w:lineRule="auto"/>
              <w:jc w:val="right"/>
              <w:rPr>
                <w:rFonts w:ascii="Calibri" w:hAnsi="Calibri" w:cs="Calibri"/>
                <w:color w:val="000000"/>
                <w:lang w:val="es-MX"/>
              </w:rPr>
            </w:pPr>
            <w:r>
              <w:rPr>
                <w:rFonts w:ascii="Calibri" w:hAnsi="Calibri" w:cs="Calibri"/>
                <w:color w:val="000000"/>
                <w:lang w:val="es-MX"/>
              </w:rPr>
              <w:t>1</w:t>
            </w:r>
          </w:p>
        </w:tc>
      </w:tr>
      <w:tr w:rsidR="00091592" w14:paraId="5436566D" w14:textId="77777777" w:rsidTr="00091592">
        <w:trPr>
          <w:trHeight w:val="290"/>
        </w:trPr>
        <w:tc>
          <w:tcPr>
            <w:tcW w:w="1877" w:type="dxa"/>
            <w:tcBorders>
              <w:top w:val="single" w:sz="6" w:space="0" w:color="auto"/>
              <w:left w:val="single" w:sz="6" w:space="0" w:color="auto"/>
              <w:bottom w:val="single" w:sz="6" w:space="0" w:color="auto"/>
              <w:right w:val="single" w:sz="6" w:space="0" w:color="auto"/>
            </w:tcBorders>
          </w:tcPr>
          <w:p w14:paraId="33388EDD" w14:textId="77777777" w:rsidR="00091592" w:rsidRDefault="00091592">
            <w:pPr>
              <w:autoSpaceDE w:val="0"/>
              <w:autoSpaceDN w:val="0"/>
              <w:adjustRightInd w:val="0"/>
              <w:spacing w:after="0" w:line="240" w:lineRule="auto"/>
              <w:rPr>
                <w:rFonts w:ascii="Calibri" w:hAnsi="Calibri" w:cs="Calibri"/>
                <w:b/>
                <w:bCs/>
                <w:color w:val="000000"/>
                <w:lang w:val="es-MX"/>
              </w:rPr>
            </w:pPr>
            <w:r>
              <w:rPr>
                <w:rFonts w:ascii="Calibri" w:hAnsi="Calibri" w:cs="Calibri"/>
                <w:b/>
                <w:bCs/>
                <w:color w:val="000000"/>
                <w:lang w:val="es-MX"/>
              </w:rPr>
              <w:t>4: Corporations</w:t>
            </w:r>
          </w:p>
        </w:tc>
        <w:tc>
          <w:tcPr>
            <w:tcW w:w="1281" w:type="dxa"/>
            <w:tcBorders>
              <w:top w:val="single" w:sz="6" w:space="0" w:color="auto"/>
              <w:left w:val="single" w:sz="6" w:space="0" w:color="auto"/>
              <w:bottom w:val="single" w:sz="6" w:space="0" w:color="auto"/>
              <w:right w:val="single" w:sz="6" w:space="0" w:color="auto"/>
            </w:tcBorders>
          </w:tcPr>
          <w:p w14:paraId="1BCD7DF1" w14:textId="77777777" w:rsidR="00091592" w:rsidRDefault="00091592">
            <w:pPr>
              <w:autoSpaceDE w:val="0"/>
              <w:autoSpaceDN w:val="0"/>
              <w:adjustRightInd w:val="0"/>
              <w:spacing w:after="0" w:line="240" w:lineRule="auto"/>
              <w:jc w:val="right"/>
              <w:rPr>
                <w:rFonts w:ascii="Calibri" w:hAnsi="Calibri" w:cs="Calibri"/>
                <w:color w:val="000000"/>
                <w:lang w:val="es-MX"/>
              </w:rPr>
            </w:pPr>
            <w:r>
              <w:rPr>
                <w:rFonts w:ascii="Calibri" w:hAnsi="Calibri" w:cs="Calibri"/>
                <w:color w:val="000000"/>
                <w:lang w:val="es-MX"/>
              </w:rPr>
              <w:t xml:space="preserve">$1,134.60 </w:t>
            </w:r>
          </w:p>
        </w:tc>
        <w:tc>
          <w:tcPr>
            <w:tcW w:w="2272" w:type="dxa"/>
            <w:tcBorders>
              <w:top w:val="single" w:sz="6" w:space="0" w:color="auto"/>
              <w:left w:val="single" w:sz="6" w:space="0" w:color="auto"/>
              <w:bottom w:val="single" w:sz="6" w:space="0" w:color="auto"/>
              <w:right w:val="single" w:sz="6" w:space="0" w:color="auto"/>
            </w:tcBorders>
          </w:tcPr>
          <w:p w14:paraId="35654F3B" w14:textId="77777777" w:rsidR="00091592" w:rsidRDefault="00091592">
            <w:pPr>
              <w:autoSpaceDE w:val="0"/>
              <w:autoSpaceDN w:val="0"/>
              <w:adjustRightInd w:val="0"/>
              <w:spacing w:after="0" w:line="240" w:lineRule="auto"/>
              <w:jc w:val="right"/>
              <w:rPr>
                <w:rFonts w:ascii="Calibri" w:hAnsi="Calibri" w:cs="Calibri"/>
                <w:color w:val="000000"/>
                <w:lang w:val="es-MX"/>
              </w:rPr>
            </w:pPr>
            <w:r>
              <w:rPr>
                <w:rFonts w:ascii="Calibri" w:hAnsi="Calibri" w:cs="Calibri"/>
                <w:color w:val="000000"/>
                <w:lang w:val="es-MX"/>
              </w:rPr>
              <w:t xml:space="preserve">$0.00 </w:t>
            </w:r>
          </w:p>
        </w:tc>
        <w:tc>
          <w:tcPr>
            <w:tcW w:w="2200" w:type="dxa"/>
            <w:tcBorders>
              <w:top w:val="single" w:sz="6" w:space="0" w:color="auto"/>
              <w:left w:val="single" w:sz="6" w:space="0" w:color="auto"/>
              <w:bottom w:val="single" w:sz="6" w:space="0" w:color="auto"/>
              <w:right w:val="single" w:sz="6" w:space="0" w:color="auto"/>
            </w:tcBorders>
          </w:tcPr>
          <w:p w14:paraId="0A9D6B9F" w14:textId="77777777" w:rsidR="00091592" w:rsidRDefault="00091592">
            <w:pPr>
              <w:autoSpaceDE w:val="0"/>
              <w:autoSpaceDN w:val="0"/>
              <w:adjustRightInd w:val="0"/>
              <w:spacing w:after="0" w:line="240" w:lineRule="auto"/>
              <w:jc w:val="right"/>
              <w:rPr>
                <w:rFonts w:ascii="Calibri" w:hAnsi="Calibri" w:cs="Calibri"/>
                <w:color w:val="000000"/>
                <w:lang w:val="es-MX"/>
              </w:rPr>
            </w:pPr>
            <w:r>
              <w:rPr>
                <w:rFonts w:ascii="Calibri" w:hAnsi="Calibri" w:cs="Calibri"/>
                <w:color w:val="000000"/>
                <w:lang w:val="es-MX"/>
              </w:rPr>
              <w:t>3.5</w:t>
            </w:r>
          </w:p>
        </w:tc>
      </w:tr>
      <w:tr w:rsidR="00091592" w14:paraId="14FA4239" w14:textId="77777777" w:rsidTr="00091592">
        <w:trPr>
          <w:trHeight w:val="290"/>
        </w:trPr>
        <w:tc>
          <w:tcPr>
            <w:tcW w:w="1877" w:type="dxa"/>
            <w:tcBorders>
              <w:top w:val="single" w:sz="6" w:space="0" w:color="auto"/>
              <w:left w:val="single" w:sz="6" w:space="0" w:color="auto"/>
              <w:bottom w:val="single" w:sz="6" w:space="0" w:color="auto"/>
              <w:right w:val="single" w:sz="6" w:space="0" w:color="auto"/>
            </w:tcBorders>
          </w:tcPr>
          <w:p w14:paraId="439E7F1F" w14:textId="77777777" w:rsidR="00091592" w:rsidRDefault="00091592">
            <w:pPr>
              <w:autoSpaceDE w:val="0"/>
              <w:autoSpaceDN w:val="0"/>
              <w:adjustRightInd w:val="0"/>
              <w:spacing w:after="0" w:line="240" w:lineRule="auto"/>
              <w:rPr>
                <w:rFonts w:ascii="Calibri" w:hAnsi="Calibri" w:cs="Calibri"/>
                <w:b/>
                <w:bCs/>
                <w:color w:val="000000"/>
                <w:lang w:val="es-MX"/>
              </w:rPr>
            </w:pPr>
            <w:r>
              <w:rPr>
                <w:rFonts w:ascii="Calibri" w:hAnsi="Calibri" w:cs="Calibri"/>
                <w:b/>
                <w:bCs/>
                <w:color w:val="000000"/>
                <w:lang w:val="es-MX"/>
              </w:rPr>
              <w:t>5: Earned Revenue</w:t>
            </w:r>
          </w:p>
        </w:tc>
        <w:tc>
          <w:tcPr>
            <w:tcW w:w="1281" w:type="dxa"/>
            <w:tcBorders>
              <w:top w:val="single" w:sz="6" w:space="0" w:color="auto"/>
              <w:left w:val="single" w:sz="6" w:space="0" w:color="auto"/>
              <w:bottom w:val="single" w:sz="6" w:space="0" w:color="auto"/>
              <w:right w:val="single" w:sz="6" w:space="0" w:color="auto"/>
            </w:tcBorders>
          </w:tcPr>
          <w:p w14:paraId="327F94D7" w14:textId="77777777" w:rsidR="00091592" w:rsidRDefault="00091592">
            <w:pPr>
              <w:autoSpaceDE w:val="0"/>
              <w:autoSpaceDN w:val="0"/>
              <w:adjustRightInd w:val="0"/>
              <w:spacing w:after="0" w:line="240" w:lineRule="auto"/>
              <w:jc w:val="right"/>
              <w:rPr>
                <w:rFonts w:ascii="Calibri" w:hAnsi="Calibri" w:cs="Calibri"/>
                <w:color w:val="000000"/>
                <w:lang w:val="es-MX"/>
              </w:rPr>
            </w:pPr>
            <w:r>
              <w:rPr>
                <w:rFonts w:ascii="Calibri" w:hAnsi="Calibri" w:cs="Calibri"/>
                <w:color w:val="000000"/>
                <w:lang w:val="es-MX"/>
              </w:rPr>
              <w:t xml:space="preserve">$665.62 </w:t>
            </w:r>
          </w:p>
        </w:tc>
        <w:tc>
          <w:tcPr>
            <w:tcW w:w="2272" w:type="dxa"/>
            <w:tcBorders>
              <w:top w:val="single" w:sz="6" w:space="0" w:color="auto"/>
              <w:left w:val="single" w:sz="6" w:space="0" w:color="auto"/>
              <w:bottom w:val="single" w:sz="6" w:space="0" w:color="auto"/>
              <w:right w:val="single" w:sz="6" w:space="0" w:color="auto"/>
            </w:tcBorders>
          </w:tcPr>
          <w:p w14:paraId="637DC802" w14:textId="1BC62DD0" w:rsidR="00091592" w:rsidRDefault="00091592">
            <w:pPr>
              <w:autoSpaceDE w:val="0"/>
              <w:autoSpaceDN w:val="0"/>
              <w:adjustRightInd w:val="0"/>
              <w:spacing w:after="0" w:line="240" w:lineRule="auto"/>
              <w:jc w:val="right"/>
              <w:rPr>
                <w:rFonts w:ascii="Calibri" w:hAnsi="Calibri" w:cs="Calibri"/>
                <w:color w:val="000000"/>
                <w:lang w:val="es-MX"/>
              </w:rPr>
            </w:pPr>
            <w:r>
              <w:rPr>
                <w:rFonts w:ascii="Calibri" w:hAnsi="Calibri" w:cs="Calibri"/>
                <w:color w:val="000000"/>
                <w:lang w:val="es-MX"/>
              </w:rPr>
              <w:t>$</w:t>
            </w:r>
            <w:r w:rsidR="00D00F9F">
              <w:rPr>
                <w:rFonts w:ascii="Calibri" w:hAnsi="Calibri" w:cs="Calibri"/>
                <w:color w:val="000000"/>
                <w:lang w:val="es-MX"/>
              </w:rPr>
              <w:t>27</w:t>
            </w:r>
            <w:r>
              <w:rPr>
                <w:rFonts w:ascii="Calibri" w:hAnsi="Calibri" w:cs="Calibri"/>
                <w:color w:val="000000"/>
                <w:lang w:val="es-MX"/>
              </w:rPr>
              <w:t>.</w:t>
            </w:r>
            <w:r w:rsidR="00D00F9F">
              <w:rPr>
                <w:rFonts w:ascii="Calibri" w:hAnsi="Calibri" w:cs="Calibri"/>
                <w:color w:val="000000"/>
                <w:lang w:val="es-MX"/>
              </w:rPr>
              <w:t>1</w:t>
            </w:r>
            <w:r>
              <w:rPr>
                <w:rFonts w:ascii="Calibri" w:hAnsi="Calibri" w:cs="Calibri"/>
                <w:color w:val="000000"/>
                <w:lang w:val="es-MX"/>
              </w:rPr>
              <w:t xml:space="preserve">1 </w:t>
            </w:r>
          </w:p>
        </w:tc>
        <w:tc>
          <w:tcPr>
            <w:tcW w:w="2200" w:type="dxa"/>
            <w:tcBorders>
              <w:top w:val="single" w:sz="6" w:space="0" w:color="auto"/>
              <w:left w:val="single" w:sz="6" w:space="0" w:color="auto"/>
              <w:bottom w:val="single" w:sz="6" w:space="0" w:color="auto"/>
              <w:right w:val="single" w:sz="6" w:space="0" w:color="auto"/>
            </w:tcBorders>
          </w:tcPr>
          <w:p w14:paraId="6B6ECEA3" w14:textId="77777777" w:rsidR="00091592" w:rsidRDefault="00091592">
            <w:pPr>
              <w:autoSpaceDE w:val="0"/>
              <w:autoSpaceDN w:val="0"/>
              <w:adjustRightInd w:val="0"/>
              <w:spacing w:after="0" w:line="240" w:lineRule="auto"/>
              <w:jc w:val="right"/>
              <w:rPr>
                <w:rFonts w:ascii="Calibri" w:hAnsi="Calibri" w:cs="Calibri"/>
                <w:color w:val="000000"/>
                <w:lang w:val="es-MX"/>
              </w:rPr>
            </w:pPr>
            <w:r>
              <w:rPr>
                <w:rFonts w:ascii="Calibri" w:hAnsi="Calibri" w:cs="Calibri"/>
                <w:color w:val="000000"/>
                <w:lang w:val="es-MX"/>
              </w:rPr>
              <w:t>3.9</w:t>
            </w:r>
          </w:p>
        </w:tc>
      </w:tr>
    </w:tbl>
    <w:p w14:paraId="7B4939DD" w14:textId="60493914" w:rsidR="00091592" w:rsidRDefault="00091592" w:rsidP="00033215">
      <w:pPr>
        <w:spacing w:after="0" w:line="240" w:lineRule="auto"/>
      </w:pPr>
    </w:p>
    <w:p w14:paraId="741FA448" w14:textId="5DE49FF0" w:rsidR="00091592" w:rsidRPr="00BD076E" w:rsidRDefault="00091592" w:rsidP="00033215">
      <w:pPr>
        <w:spacing w:after="0" w:line="240" w:lineRule="auto"/>
        <w:rPr>
          <w:b/>
          <w:bCs/>
          <w:sz w:val="24"/>
          <w:szCs w:val="24"/>
          <w:u w:val="single"/>
        </w:rPr>
      </w:pPr>
      <w:r w:rsidRPr="00BD076E">
        <w:rPr>
          <w:b/>
          <w:bCs/>
          <w:sz w:val="24"/>
          <w:szCs w:val="24"/>
          <w:u w:val="single"/>
        </w:rPr>
        <w:t>Evaluation of FY20:</w:t>
      </w:r>
    </w:p>
    <w:p w14:paraId="6734566E" w14:textId="7D39ADC9" w:rsidR="00091592" w:rsidRDefault="00091592" w:rsidP="00033215">
      <w:pPr>
        <w:spacing w:after="0" w:line="240" w:lineRule="auto"/>
      </w:pPr>
      <w:r>
        <w:t>With the reclassification of donations, we can see that 5</w:t>
      </w:r>
      <w:r w:rsidR="00877D85">
        <w:t>7.2</w:t>
      </w:r>
      <w:r>
        <w:t xml:space="preserve">% of our donations </w:t>
      </w:r>
      <w:r w:rsidR="00877D85">
        <w:t>in the past fiscal year came from major donors, and individual donations followed with 38.1% of total income. Individual giving also accounted for 9</w:t>
      </w:r>
      <w:r w:rsidR="00313C7A">
        <w:t>9</w:t>
      </w:r>
      <w:r w:rsidR="00877D85">
        <w:t>.</w:t>
      </w:r>
      <w:r w:rsidR="00313C7A">
        <w:t>1</w:t>
      </w:r>
      <w:r w:rsidR="00877D85">
        <w:t>% of in-kind donations and 92.4% of all volunteer hours. This confirms and illustrates more clearly 2 important points about Starfish’s fundraising streams:</w:t>
      </w:r>
    </w:p>
    <w:p w14:paraId="3B0BADE7" w14:textId="77777777" w:rsidR="00877D85" w:rsidRDefault="00877D85" w:rsidP="00033215">
      <w:pPr>
        <w:spacing w:after="0" w:line="240" w:lineRule="auto"/>
      </w:pPr>
    </w:p>
    <w:p w14:paraId="739BD9C8" w14:textId="6E8F6B79" w:rsidR="00877D85" w:rsidRDefault="00877D85" w:rsidP="00877D85">
      <w:pPr>
        <w:pStyle w:val="ListParagraph"/>
        <w:numPr>
          <w:ilvl w:val="0"/>
          <w:numId w:val="1"/>
        </w:numPr>
        <w:spacing w:after="0" w:line="240" w:lineRule="auto"/>
      </w:pPr>
      <w:r>
        <w:rPr>
          <w:b/>
          <w:bCs/>
        </w:rPr>
        <w:t xml:space="preserve">The strength &amp; flexibility of unrestricted funding: </w:t>
      </w:r>
      <w:r>
        <w:t xml:space="preserve">The vast majority of fundraising revenue is unrestricted, meaning that while donors have certain expectations of how donations will be used and for what programs, there are very few contractual obligations for how we spend money.  This stands in contrast to many non-profits, who are bound by contractual obligations to grant-making foundations or government entities who fund them. </w:t>
      </w:r>
    </w:p>
    <w:p w14:paraId="0F1B001D" w14:textId="19230757" w:rsidR="00877D85" w:rsidRDefault="00877D85" w:rsidP="00877D85">
      <w:pPr>
        <w:pStyle w:val="ListParagraph"/>
        <w:spacing w:after="0" w:line="240" w:lineRule="auto"/>
      </w:pPr>
    </w:p>
    <w:p w14:paraId="6FDD5C3C" w14:textId="77777777" w:rsidR="00BD076E" w:rsidRDefault="00BD076E" w:rsidP="00877D85">
      <w:pPr>
        <w:pStyle w:val="ListParagraph"/>
        <w:spacing w:after="0" w:line="240" w:lineRule="auto"/>
      </w:pPr>
    </w:p>
    <w:p w14:paraId="68272F9E" w14:textId="5D0CDD44" w:rsidR="00877D85" w:rsidRDefault="00877D85" w:rsidP="00877D85">
      <w:pPr>
        <w:pStyle w:val="ListParagraph"/>
        <w:numPr>
          <w:ilvl w:val="0"/>
          <w:numId w:val="1"/>
        </w:numPr>
        <w:spacing w:after="0" w:line="240" w:lineRule="auto"/>
      </w:pPr>
      <w:r>
        <w:rPr>
          <w:b/>
          <w:bCs/>
        </w:rPr>
        <w:lastRenderedPageBreak/>
        <w:t xml:space="preserve">Opportunities to diversify income streams, to promote organizational sustainability: </w:t>
      </w:r>
      <w:r>
        <w:t xml:space="preserve">This analysis also helps show the opportunities for growth in fundraising activities if we are afraid that our individual giving and major donor bases will shrink due to a variety of factors, including the COVID-related economic downturn. We have opportunities to focus on diversifying ou income streams through Grants, Corporate Giving, or Earned Revenue streams, depending on what the organization’s leadership chooses to focus on. </w:t>
      </w:r>
    </w:p>
    <w:p w14:paraId="14B46CD2" w14:textId="68BF7C25" w:rsidR="001959AE" w:rsidRDefault="001959AE" w:rsidP="001959AE">
      <w:pPr>
        <w:spacing w:after="0" w:line="240" w:lineRule="auto"/>
      </w:pPr>
    </w:p>
    <w:p w14:paraId="4DC53C06" w14:textId="6CBCB614" w:rsidR="001959AE" w:rsidRPr="001959AE" w:rsidRDefault="001959AE" w:rsidP="001959AE">
      <w:pPr>
        <w:spacing w:after="0" w:line="240" w:lineRule="auto"/>
        <w:rPr>
          <w:b/>
          <w:bCs/>
          <w:sz w:val="24"/>
          <w:szCs w:val="24"/>
        </w:rPr>
      </w:pPr>
      <w:r w:rsidRPr="001959AE">
        <w:rPr>
          <w:b/>
          <w:bCs/>
          <w:sz w:val="24"/>
          <w:szCs w:val="24"/>
        </w:rPr>
        <w:t>FY2</w:t>
      </w:r>
      <w:r>
        <w:rPr>
          <w:b/>
          <w:bCs/>
          <w:sz w:val="24"/>
          <w:szCs w:val="24"/>
        </w:rPr>
        <w:t>0</w:t>
      </w:r>
      <w:r w:rsidRPr="001959AE">
        <w:rPr>
          <w:b/>
          <w:bCs/>
          <w:sz w:val="24"/>
          <w:szCs w:val="24"/>
        </w:rPr>
        <w:t xml:space="preserve"> Campaigns</w:t>
      </w:r>
    </w:p>
    <w:p w14:paraId="00B8EF09" w14:textId="71FED83C" w:rsidR="007749B1" w:rsidRDefault="007749B1">
      <w:r w:rsidRPr="007749B1">
        <w:t xml:space="preserve">An analysis of individual campaigns </w:t>
      </w:r>
      <w:r>
        <w:t xml:space="preserve">can also evaluate the efficiency of certain campaigns in terms of hours volunteered or amount of expenses.  In the graphs below comparing the income from Giving Tuesday, Benefit Dinner, and Ecuador volunteers for FY20, we can see that Giving Tuesday has the highest return for the amount spent on implementing the campaign.  The dinner is both the most time and resource intensive of the campaigns, although it does remain return the highest total number of dollars of any campaign. </w:t>
      </w:r>
    </w:p>
    <w:tbl>
      <w:tblPr>
        <w:tblStyle w:val="TableGrid"/>
        <w:tblpPr w:leftFromText="141" w:rightFromText="141" w:vertAnchor="text" w:horzAnchor="page" w:tblpX="7586" w:tblpY="1892"/>
        <w:tblW w:w="0" w:type="auto"/>
        <w:tblLook w:val="04A0" w:firstRow="1" w:lastRow="0" w:firstColumn="1" w:lastColumn="0" w:noHBand="0" w:noVBand="1"/>
      </w:tblPr>
      <w:tblGrid>
        <w:gridCol w:w="1975"/>
        <w:gridCol w:w="990"/>
        <w:gridCol w:w="990"/>
      </w:tblGrid>
      <w:tr w:rsidR="007749B1" w14:paraId="5762FABE" w14:textId="77777777" w:rsidTr="007749B1">
        <w:tc>
          <w:tcPr>
            <w:tcW w:w="1975" w:type="dxa"/>
            <w:vAlign w:val="bottom"/>
          </w:tcPr>
          <w:p w14:paraId="1D28EE73" w14:textId="77777777" w:rsidR="007749B1" w:rsidRPr="007749B1" w:rsidRDefault="007749B1" w:rsidP="007749B1">
            <w:pPr>
              <w:rPr>
                <w:sz w:val="20"/>
                <w:szCs w:val="20"/>
              </w:rPr>
            </w:pPr>
            <w:r w:rsidRPr="007749B1">
              <w:rPr>
                <w:rFonts w:ascii="Calibri" w:eastAsia="Times New Roman" w:hAnsi="Calibri" w:cs="Calibri"/>
                <w:b/>
                <w:bCs/>
                <w:color w:val="000000"/>
                <w:sz w:val="20"/>
                <w:szCs w:val="20"/>
                <w:lang w:eastAsia="es-MX"/>
              </w:rPr>
              <w:t> </w:t>
            </w:r>
            <w:r w:rsidRPr="007749B1">
              <w:rPr>
                <w:rFonts w:ascii="Arial" w:eastAsia="Times New Roman" w:hAnsi="Arial" w:cs="Arial"/>
                <w:b/>
                <w:bCs/>
                <w:color w:val="000000"/>
                <w:sz w:val="20"/>
                <w:szCs w:val="20"/>
                <w:lang w:val="es-MX" w:eastAsia="es-MX"/>
              </w:rPr>
              <w:t>Campaign Name</w:t>
            </w:r>
          </w:p>
        </w:tc>
        <w:tc>
          <w:tcPr>
            <w:tcW w:w="990" w:type="dxa"/>
            <w:vAlign w:val="center"/>
          </w:tcPr>
          <w:p w14:paraId="46507104" w14:textId="5CF1DF91" w:rsidR="007749B1" w:rsidRPr="007749B1" w:rsidRDefault="007749B1" w:rsidP="007749B1">
            <w:pPr>
              <w:rPr>
                <w:sz w:val="20"/>
                <w:szCs w:val="20"/>
              </w:rPr>
            </w:pPr>
            <w:r w:rsidRPr="007749B1">
              <w:rPr>
                <w:rFonts w:ascii="Arial" w:eastAsia="Times New Roman" w:hAnsi="Arial" w:cs="Arial"/>
                <w:b/>
                <w:bCs/>
                <w:color w:val="000000"/>
                <w:sz w:val="20"/>
                <w:szCs w:val="20"/>
                <w:lang w:val="es-MX" w:eastAsia="es-MX"/>
              </w:rPr>
              <w:t xml:space="preserve">Return per </w:t>
            </w:r>
            <w:r>
              <w:rPr>
                <w:rFonts w:ascii="Arial" w:eastAsia="Times New Roman" w:hAnsi="Arial" w:cs="Arial"/>
                <w:b/>
                <w:bCs/>
                <w:color w:val="000000"/>
                <w:sz w:val="20"/>
                <w:szCs w:val="20"/>
                <w:lang w:val="es-MX" w:eastAsia="es-MX"/>
              </w:rPr>
              <w:t>$</w:t>
            </w:r>
          </w:p>
        </w:tc>
        <w:tc>
          <w:tcPr>
            <w:tcW w:w="990" w:type="dxa"/>
            <w:vAlign w:val="center"/>
          </w:tcPr>
          <w:p w14:paraId="170C8BFC" w14:textId="6671DA5A" w:rsidR="007749B1" w:rsidRPr="007749B1" w:rsidRDefault="007749B1" w:rsidP="007749B1">
            <w:pPr>
              <w:rPr>
                <w:sz w:val="20"/>
                <w:szCs w:val="20"/>
              </w:rPr>
            </w:pPr>
            <w:r w:rsidRPr="007749B1">
              <w:rPr>
                <w:rFonts w:ascii="Arial" w:eastAsia="Times New Roman" w:hAnsi="Arial" w:cs="Arial"/>
                <w:b/>
                <w:bCs/>
                <w:color w:val="000000"/>
                <w:sz w:val="20"/>
                <w:szCs w:val="20"/>
                <w:lang w:val="es-MX" w:eastAsia="es-MX"/>
              </w:rPr>
              <w:t xml:space="preserve">Return per </w:t>
            </w:r>
            <w:r>
              <w:rPr>
                <w:rFonts w:ascii="Arial" w:eastAsia="Times New Roman" w:hAnsi="Arial" w:cs="Arial"/>
                <w:b/>
                <w:bCs/>
                <w:color w:val="000000"/>
                <w:sz w:val="20"/>
                <w:szCs w:val="20"/>
                <w:lang w:val="es-MX" w:eastAsia="es-MX"/>
              </w:rPr>
              <w:t>hr</w:t>
            </w:r>
          </w:p>
        </w:tc>
      </w:tr>
      <w:tr w:rsidR="007749B1" w14:paraId="3E7093D8" w14:textId="77777777" w:rsidTr="007749B1">
        <w:tc>
          <w:tcPr>
            <w:tcW w:w="1975" w:type="dxa"/>
            <w:vAlign w:val="center"/>
          </w:tcPr>
          <w:p w14:paraId="0B3A2DB5" w14:textId="77777777" w:rsidR="007749B1" w:rsidRPr="007749B1" w:rsidRDefault="007749B1" w:rsidP="007749B1">
            <w:pPr>
              <w:rPr>
                <w:sz w:val="20"/>
                <w:szCs w:val="20"/>
              </w:rPr>
            </w:pPr>
            <w:r w:rsidRPr="007749B1">
              <w:rPr>
                <w:rFonts w:ascii="Arial" w:eastAsia="Times New Roman" w:hAnsi="Arial" w:cs="Arial"/>
                <w:color w:val="000000"/>
                <w:sz w:val="20"/>
                <w:szCs w:val="20"/>
                <w:lang w:val="es-MX" w:eastAsia="es-MX"/>
              </w:rPr>
              <w:t>Appeal - Giving Tuesday</w:t>
            </w:r>
          </w:p>
        </w:tc>
        <w:tc>
          <w:tcPr>
            <w:tcW w:w="990" w:type="dxa"/>
            <w:vAlign w:val="center"/>
          </w:tcPr>
          <w:p w14:paraId="51F834B2" w14:textId="77777777" w:rsidR="007749B1" w:rsidRPr="007749B1" w:rsidRDefault="007749B1" w:rsidP="007749B1">
            <w:pPr>
              <w:rPr>
                <w:sz w:val="20"/>
                <w:szCs w:val="20"/>
              </w:rPr>
            </w:pPr>
            <w:r w:rsidRPr="007749B1">
              <w:rPr>
                <w:rFonts w:ascii="Arial" w:eastAsia="Times New Roman" w:hAnsi="Arial" w:cs="Arial"/>
                <w:color w:val="000000"/>
                <w:sz w:val="20"/>
                <w:szCs w:val="20"/>
                <w:lang w:val="es-MX" w:eastAsia="es-MX"/>
              </w:rPr>
              <w:t>$335.10</w:t>
            </w:r>
          </w:p>
        </w:tc>
        <w:tc>
          <w:tcPr>
            <w:tcW w:w="990" w:type="dxa"/>
            <w:vAlign w:val="center"/>
          </w:tcPr>
          <w:p w14:paraId="3A0A767E" w14:textId="77777777" w:rsidR="007749B1" w:rsidRPr="007749B1" w:rsidRDefault="007749B1" w:rsidP="007749B1">
            <w:pPr>
              <w:rPr>
                <w:sz w:val="20"/>
                <w:szCs w:val="20"/>
              </w:rPr>
            </w:pPr>
            <w:r w:rsidRPr="007749B1">
              <w:rPr>
                <w:rFonts w:ascii="Arial" w:eastAsia="Times New Roman" w:hAnsi="Arial" w:cs="Arial"/>
                <w:color w:val="000000"/>
                <w:sz w:val="20"/>
                <w:szCs w:val="20"/>
                <w:lang w:val="es-MX" w:eastAsia="es-MX"/>
              </w:rPr>
              <w:t>$237.36</w:t>
            </w:r>
          </w:p>
        </w:tc>
      </w:tr>
      <w:tr w:rsidR="007749B1" w14:paraId="23CF1B8A" w14:textId="77777777" w:rsidTr="007749B1">
        <w:tc>
          <w:tcPr>
            <w:tcW w:w="1975" w:type="dxa"/>
            <w:vAlign w:val="center"/>
          </w:tcPr>
          <w:p w14:paraId="7FE497A9" w14:textId="77777777" w:rsidR="007749B1" w:rsidRPr="007749B1" w:rsidRDefault="007749B1" w:rsidP="007749B1">
            <w:pPr>
              <w:rPr>
                <w:sz w:val="20"/>
                <w:szCs w:val="20"/>
              </w:rPr>
            </w:pPr>
            <w:r w:rsidRPr="007749B1">
              <w:rPr>
                <w:rFonts w:ascii="Arial" w:eastAsia="Times New Roman" w:hAnsi="Arial" w:cs="Arial"/>
                <w:color w:val="000000"/>
                <w:sz w:val="20"/>
                <w:szCs w:val="20"/>
                <w:lang w:val="es-MX" w:eastAsia="es-MX"/>
              </w:rPr>
              <w:t>Benefit Dinner Totals</w:t>
            </w:r>
          </w:p>
        </w:tc>
        <w:tc>
          <w:tcPr>
            <w:tcW w:w="990" w:type="dxa"/>
            <w:vAlign w:val="center"/>
          </w:tcPr>
          <w:p w14:paraId="7F9B388F" w14:textId="77777777" w:rsidR="007749B1" w:rsidRPr="007749B1" w:rsidRDefault="007749B1" w:rsidP="007749B1">
            <w:pPr>
              <w:rPr>
                <w:sz w:val="20"/>
                <w:szCs w:val="20"/>
              </w:rPr>
            </w:pPr>
            <w:r w:rsidRPr="007749B1">
              <w:rPr>
                <w:rFonts w:ascii="Arial" w:eastAsia="Times New Roman" w:hAnsi="Arial" w:cs="Arial"/>
                <w:color w:val="000000"/>
                <w:sz w:val="20"/>
                <w:szCs w:val="20"/>
                <w:lang w:val="es-MX" w:eastAsia="es-MX"/>
              </w:rPr>
              <w:t>$32.18</w:t>
            </w:r>
          </w:p>
        </w:tc>
        <w:tc>
          <w:tcPr>
            <w:tcW w:w="990" w:type="dxa"/>
            <w:vAlign w:val="center"/>
          </w:tcPr>
          <w:p w14:paraId="00D5C40F" w14:textId="77777777" w:rsidR="007749B1" w:rsidRPr="007749B1" w:rsidRDefault="007749B1" w:rsidP="007749B1">
            <w:pPr>
              <w:rPr>
                <w:sz w:val="20"/>
                <w:szCs w:val="20"/>
              </w:rPr>
            </w:pPr>
            <w:r w:rsidRPr="007749B1">
              <w:rPr>
                <w:rFonts w:ascii="Arial" w:eastAsia="Times New Roman" w:hAnsi="Arial" w:cs="Arial"/>
                <w:color w:val="000000"/>
                <w:sz w:val="20"/>
                <w:szCs w:val="20"/>
                <w:lang w:val="es-MX" w:eastAsia="es-MX"/>
              </w:rPr>
              <w:t>$167.72</w:t>
            </w:r>
          </w:p>
        </w:tc>
      </w:tr>
      <w:tr w:rsidR="007749B1" w14:paraId="70F67F40" w14:textId="77777777" w:rsidTr="007749B1">
        <w:tc>
          <w:tcPr>
            <w:tcW w:w="1975" w:type="dxa"/>
            <w:vAlign w:val="center"/>
          </w:tcPr>
          <w:p w14:paraId="5B60376D" w14:textId="77777777" w:rsidR="007749B1" w:rsidRPr="007749B1" w:rsidRDefault="007749B1" w:rsidP="007749B1">
            <w:pPr>
              <w:rPr>
                <w:sz w:val="20"/>
                <w:szCs w:val="20"/>
              </w:rPr>
            </w:pPr>
            <w:r w:rsidRPr="007749B1">
              <w:rPr>
                <w:rFonts w:ascii="Arial" w:eastAsia="Times New Roman" w:hAnsi="Arial" w:cs="Arial"/>
                <w:color w:val="000000"/>
                <w:sz w:val="20"/>
                <w:szCs w:val="20"/>
                <w:lang w:val="es-MX" w:eastAsia="es-MX"/>
              </w:rPr>
              <w:t>Ecua vols/visitors</w:t>
            </w:r>
          </w:p>
        </w:tc>
        <w:tc>
          <w:tcPr>
            <w:tcW w:w="990" w:type="dxa"/>
            <w:vAlign w:val="center"/>
          </w:tcPr>
          <w:p w14:paraId="153B4214" w14:textId="77777777" w:rsidR="007749B1" w:rsidRPr="007749B1" w:rsidRDefault="007749B1" w:rsidP="007749B1">
            <w:pPr>
              <w:rPr>
                <w:sz w:val="20"/>
                <w:szCs w:val="20"/>
              </w:rPr>
            </w:pPr>
            <w:r w:rsidRPr="007749B1">
              <w:rPr>
                <w:rFonts w:ascii="Arial" w:eastAsia="Times New Roman" w:hAnsi="Arial" w:cs="Arial"/>
                <w:color w:val="000000"/>
                <w:sz w:val="20"/>
                <w:szCs w:val="20"/>
                <w:lang w:val="es-MX" w:eastAsia="es-MX"/>
              </w:rPr>
              <w:t>$219.50</w:t>
            </w:r>
          </w:p>
        </w:tc>
        <w:tc>
          <w:tcPr>
            <w:tcW w:w="990" w:type="dxa"/>
            <w:vAlign w:val="center"/>
          </w:tcPr>
          <w:p w14:paraId="1D62C399" w14:textId="77777777" w:rsidR="007749B1" w:rsidRPr="007749B1" w:rsidRDefault="007749B1" w:rsidP="007749B1">
            <w:pPr>
              <w:rPr>
                <w:sz w:val="20"/>
                <w:szCs w:val="20"/>
              </w:rPr>
            </w:pPr>
            <w:r w:rsidRPr="007749B1">
              <w:rPr>
                <w:rFonts w:ascii="Arial" w:eastAsia="Times New Roman" w:hAnsi="Arial" w:cs="Arial"/>
                <w:color w:val="000000"/>
                <w:sz w:val="20"/>
                <w:szCs w:val="20"/>
                <w:lang w:val="es-MX" w:eastAsia="es-MX"/>
              </w:rPr>
              <w:t>$914.58</w:t>
            </w:r>
          </w:p>
        </w:tc>
      </w:tr>
    </w:tbl>
    <w:p w14:paraId="6657FD0C" w14:textId="77777777" w:rsidR="007749B1" w:rsidRPr="007749B1" w:rsidRDefault="007749B1">
      <w:pPr>
        <w:pBdr>
          <w:bottom w:val="single" w:sz="6" w:space="1" w:color="auto"/>
        </w:pBdr>
      </w:pPr>
      <w:r>
        <w:rPr>
          <w:noProof/>
        </w:rPr>
        <w:drawing>
          <wp:inline distT="0" distB="0" distL="0" distR="0" wp14:anchorId="3E350895" wp14:editId="2718B8D8">
            <wp:extent cx="2134413" cy="3194050"/>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48480" cy="3215101"/>
                    </a:xfrm>
                    <a:prstGeom prst="rect">
                      <a:avLst/>
                    </a:prstGeom>
                  </pic:spPr>
                </pic:pic>
              </a:graphicData>
            </a:graphic>
          </wp:inline>
        </w:drawing>
      </w:r>
      <w:r>
        <w:rPr>
          <w:noProof/>
        </w:rPr>
        <w:drawing>
          <wp:inline distT="0" distB="0" distL="0" distR="0" wp14:anchorId="5E45CEAB" wp14:editId="2962C089">
            <wp:extent cx="2092340" cy="3178175"/>
            <wp:effectExtent l="0" t="0" r="3175"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15408" cy="3213215"/>
                    </a:xfrm>
                    <a:prstGeom prst="rect">
                      <a:avLst/>
                    </a:prstGeom>
                  </pic:spPr>
                </pic:pic>
              </a:graphicData>
            </a:graphic>
          </wp:inline>
        </w:drawing>
      </w:r>
    </w:p>
    <w:p w14:paraId="65F451A7" w14:textId="77777777" w:rsidR="00BD076E" w:rsidRDefault="00BD076E" w:rsidP="001339DD">
      <w:pPr>
        <w:rPr>
          <w:b/>
          <w:bCs/>
          <w:sz w:val="24"/>
          <w:szCs w:val="24"/>
          <w:u w:val="single"/>
        </w:rPr>
      </w:pPr>
    </w:p>
    <w:p w14:paraId="682E68A6" w14:textId="5241B774" w:rsidR="00FE0EEA" w:rsidRPr="005D7729" w:rsidRDefault="00FE0EEA" w:rsidP="005D7729">
      <w:pPr>
        <w:rPr>
          <w:b/>
          <w:bCs/>
          <w:sz w:val="24"/>
          <w:szCs w:val="24"/>
          <w:u w:val="single"/>
        </w:rPr>
      </w:pPr>
      <w:r w:rsidRPr="00BD076E">
        <w:rPr>
          <w:b/>
          <w:bCs/>
          <w:sz w:val="24"/>
          <w:szCs w:val="24"/>
          <w:u w:val="single"/>
        </w:rPr>
        <w:t>Overview of this fiscal year (FY2021)</w:t>
      </w:r>
      <w:r w:rsidR="00453993" w:rsidRPr="00BD076E">
        <w:rPr>
          <w:b/>
          <w:bCs/>
          <w:sz w:val="24"/>
          <w:szCs w:val="24"/>
          <w:u w:val="single"/>
        </w:rPr>
        <w:t xml:space="preserve"> &amp; FY 20 Comparisons</w:t>
      </w:r>
      <w:r w:rsidRPr="00BD076E">
        <w:rPr>
          <w:b/>
          <w:bCs/>
          <w:sz w:val="24"/>
          <w:szCs w:val="24"/>
          <w:u w:val="single"/>
        </w:rPr>
        <w:t>:</w:t>
      </w:r>
    </w:p>
    <w:tbl>
      <w:tblPr>
        <w:tblW w:w="11790" w:type="dxa"/>
        <w:tblInd w:w="-455" w:type="dxa"/>
        <w:tblLook w:val="04A0" w:firstRow="1" w:lastRow="0" w:firstColumn="1" w:lastColumn="0" w:noHBand="0" w:noVBand="1"/>
      </w:tblPr>
      <w:tblGrid>
        <w:gridCol w:w="1980"/>
        <w:gridCol w:w="1336"/>
        <w:gridCol w:w="1364"/>
        <w:gridCol w:w="1170"/>
        <w:gridCol w:w="1710"/>
        <w:gridCol w:w="1710"/>
        <w:gridCol w:w="1260"/>
        <w:gridCol w:w="1260"/>
      </w:tblGrid>
      <w:tr w:rsidR="005D7729" w:rsidRPr="005D7729" w14:paraId="0F86CDC7" w14:textId="77777777" w:rsidTr="005D7729">
        <w:trPr>
          <w:trHeight w:val="58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830E7B" w14:textId="77777777" w:rsidR="005D7729" w:rsidRPr="005D7729" w:rsidRDefault="005D7729" w:rsidP="005D7729">
            <w:pPr>
              <w:spacing w:after="0" w:line="240" w:lineRule="auto"/>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Bucket</w:t>
            </w:r>
          </w:p>
        </w:tc>
        <w:tc>
          <w:tcPr>
            <w:tcW w:w="1336" w:type="dxa"/>
            <w:tcBorders>
              <w:top w:val="single" w:sz="4" w:space="0" w:color="auto"/>
              <w:left w:val="nil"/>
              <w:bottom w:val="single" w:sz="4" w:space="0" w:color="auto"/>
              <w:right w:val="single" w:sz="4" w:space="0" w:color="auto"/>
            </w:tcBorders>
            <w:shd w:val="clear" w:color="auto" w:fill="auto"/>
            <w:vAlign w:val="bottom"/>
            <w:hideMark/>
          </w:tcPr>
          <w:p w14:paraId="0FCF4546" w14:textId="77777777" w:rsidR="005D7729" w:rsidRPr="005D7729" w:rsidRDefault="005D7729" w:rsidP="005D7729">
            <w:pPr>
              <w:spacing w:after="0" w:line="240" w:lineRule="auto"/>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Income FY21</w:t>
            </w:r>
          </w:p>
        </w:tc>
        <w:tc>
          <w:tcPr>
            <w:tcW w:w="1364" w:type="dxa"/>
            <w:tcBorders>
              <w:top w:val="single" w:sz="4" w:space="0" w:color="auto"/>
              <w:left w:val="nil"/>
              <w:bottom w:val="single" w:sz="4" w:space="0" w:color="auto"/>
              <w:right w:val="single" w:sz="4" w:space="0" w:color="auto"/>
            </w:tcBorders>
            <w:shd w:val="clear" w:color="auto" w:fill="auto"/>
            <w:vAlign w:val="bottom"/>
            <w:hideMark/>
          </w:tcPr>
          <w:p w14:paraId="1DA157F0" w14:textId="77777777" w:rsidR="005D7729" w:rsidRPr="005D7729" w:rsidRDefault="005D7729" w:rsidP="005D7729">
            <w:pPr>
              <w:spacing w:after="0" w:line="240" w:lineRule="auto"/>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Income FY20</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51B74CEE" w14:textId="77777777" w:rsidR="005D7729" w:rsidRPr="005D7729" w:rsidRDefault="005D7729" w:rsidP="005D7729">
            <w:pPr>
              <w:spacing w:after="0" w:line="240" w:lineRule="auto"/>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FY21 as % of FY20</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00F2FE4" w14:textId="77777777" w:rsidR="005D7729" w:rsidRPr="005D7729" w:rsidRDefault="005D7729" w:rsidP="005D7729">
            <w:pPr>
              <w:spacing w:after="0" w:line="240" w:lineRule="auto"/>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In-Kind Donations FY21</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1ACE0BE" w14:textId="77777777" w:rsidR="005D7729" w:rsidRPr="005D7729" w:rsidRDefault="005D7729" w:rsidP="005D7729">
            <w:pPr>
              <w:spacing w:after="0" w:line="240" w:lineRule="auto"/>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In-Kind Donations FY20</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036CB97" w14:textId="77777777" w:rsidR="005D7729" w:rsidRPr="005D7729" w:rsidRDefault="005D7729" w:rsidP="005D7729">
            <w:pPr>
              <w:spacing w:after="0" w:line="240" w:lineRule="auto"/>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Volunteer Hours FY21</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112D3CEB" w14:textId="77777777" w:rsidR="005D7729" w:rsidRPr="005D7729" w:rsidRDefault="005D7729" w:rsidP="005D7729">
            <w:pPr>
              <w:spacing w:after="0" w:line="240" w:lineRule="auto"/>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Volunteer Hours FY20</w:t>
            </w:r>
          </w:p>
        </w:tc>
      </w:tr>
      <w:tr w:rsidR="005D7729" w:rsidRPr="005D7729" w14:paraId="7C1063EB" w14:textId="77777777" w:rsidTr="005D7729">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1910CEE" w14:textId="77777777" w:rsidR="005D7729" w:rsidRPr="005D7729" w:rsidRDefault="005D7729" w:rsidP="005D7729">
            <w:pPr>
              <w:spacing w:after="0" w:line="240" w:lineRule="auto"/>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1: Individual Giving</w:t>
            </w:r>
          </w:p>
        </w:tc>
        <w:tc>
          <w:tcPr>
            <w:tcW w:w="1336" w:type="dxa"/>
            <w:tcBorders>
              <w:top w:val="nil"/>
              <w:left w:val="nil"/>
              <w:bottom w:val="single" w:sz="4" w:space="0" w:color="auto"/>
              <w:right w:val="single" w:sz="4" w:space="0" w:color="auto"/>
            </w:tcBorders>
            <w:shd w:val="clear" w:color="auto" w:fill="auto"/>
            <w:noWrap/>
            <w:vAlign w:val="bottom"/>
            <w:hideMark/>
          </w:tcPr>
          <w:p w14:paraId="74A9E4CB"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$50,487.94 </w:t>
            </w:r>
          </w:p>
        </w:tc>
        <w:tc>
          <w:tcPr>
            <w:tcW w:w="1364" w:type="dxa"/>
            <w:tcBorders>
              <w:top w:val="nil"/>
              <w:left w:val="nil"/>
              <w:bottom w:val="single" w:sz="4" w:space="0" w:color="auto"/>
              <w:right w:val="single" w:sz="4" w:space="0" w:color="auto"/>
            </w:tcBorders>
            <w:shd w:val="clear" w:color="auto" w:fill="auto"/>
            <w:noWrap/>
            <w:vAlign w:val="bottom"/>
            <w:hideMark/>
          </w:tcPr>
          <w:p w14:paraId="34BB33E3"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$88,207.57 </w:t>
            </w:r>
          </w:p>
        </w:tc>
        <w:tc>
          <w:tcPr>
            <w:tcW w:w="1170" w:type="dxa"/>
            <w:tcBorders>
              <w:top w:val="nil"/>
              <w:left w:val="nil"/>
              <w:bottom w:val="single" w:sz="4" w:space="0" w:color="auto"/>
              <w:right w:val="single" w:sz="4" w:space="0" w:color="auto"/>
            </w:tcBorders>
            <w:shd w:val="clear" w:color="auto" w:fill="auto"/>
            <w:noWrap/>
            <w:vAlign w:val="bottom"/>
            <w:hideMark/>
          </w:tcPr>
          <w:p w14:paraId="0CC253ED"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57.20%</w:t>
            </w:r>
          </w:p>
        </w:tc>
        <w:tc>
          <w:tcPr>
            <w:tcW w:w="1710" w:type="dxa"/>
            <w:tcBorders>
              <w:top w:val="nil"/>
              <w:left w:val="nil"/>
              <w:bottom w:val="single" w:sz="4" w:space="0" w:color="auto"/>
              <w:right w:val="single" w:sz="4" w:space="0" w:color="auto"/>
            </w:tcBorders>
            <w:shd w:val="clear" w:color="auto" w:fill="auto"/>
            <w:noWrap/>
            <w:vAlign w:val="bottom"/>
            <w:hideMark/>
          </w:tcPr>
          <w:p w14:paraId="161A5104"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$9,627.85 </w:t>
            </w:r>
          </w:p>
        </w:tc>
        <w:tc>
          <w:tcPr>
            <w:tcW w:w="1710" w:type="dxa"/>
            <w:tcBorders>
              <w:top w:val="nil"/>
              <w:left w:val="nil"/>
              <w:bottom w:val="single" w:sz="4" w:space="0" w:color="auto"/>
              <w:right w:val="single" w:sz="4" w:space="0" w:color="auto"/>
            </w:tcBorders>
            <w:shd w:val="clear" w:color="auto" w:fill="auto"/>
            <w:noWrap/>
            <w:vAlign w:val="bottom"/>
            <w:hideMark/>
          </w:tcPr>
          <w:p w14:paraId="0AA2B67C"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$32,086.90 </w:t>
            </w:r>
          </w:p>
        </w:tc>
        <w:tc>
          <w:tcPr>
            <w:tcW w:w="1260" w:type="dxa"/>
            <w:tcBorders>
              <w:top w:val="nil"/>
              <w:left w:val="nil"/>
              <w:bottom w:val="single" w:sz="4" w:space="0" w:color="auto"/>
              <w:right w:val="single" w:sz="4" w:space="0" w:color="auto"/>
            </w:tcBorders>
            <w:shd w:val="clear" w:color="auto" w:fill="auto"/>
            <w:noWrap/>
            <w:vAlign w:val="bottom"/>
            <w:hideMark/>
          </w:tcPr>
          <w:p w14:paraId="1F3F7716"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758</w:t>
            </w:r>
          </w:p>
        </w:tc>
        <w:tc>
          <w:tcPr>
            <w:tcW w:w="1260" w:type="dxa"/>
            <w:tcBorders>
              <w:top w:val="nil"/>
              <w:left w:val="nil"/>
              <w:bottom w:val="single" w:sz="4" w:space="0" w:color="auto"/>
              <w:right w:val="single" w:sz="4" w:space="0" w:color="auto"/>
            </w:tcBorders>
            <w:shd w:val="clear" w:color="auto" w:fill="auto"/>
            <w:noWrap/>
            <w:vAlign w:val="bottom"/>
            <w:hideMark/>
          </w:tcPr>
          <w:p w14:paraId="60C837C5"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1015</w:t>
            </w:r>
          </w:p>
        </w:tc>
      </w:tr>
      <w:tr w:rsidR="005D7729" w:rsidRPr="005D7729" w14:paraId="5B88ED3E" w14:textId="77777777" w:rsidTr="005D7729">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BD62908" w14:textId="77777777" w:rsidR="005D7729" w:rsidRPr="005D7729" w:rsidRDefault="005D7729" w:rsidP="005D7729">
            <w:pPr>
              <w:spacing w:after="0" w:line="240" w:lineRule="auto"/>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2: Major Donors</w:t>
            </w:r>
          </w:p>
        </w:tc>
        <w:tc>
          <w:tcPr>
            <w:tcW w:w="1336" w:type="dxa"/>
            <w:tcBorders>
              <w:top w:val="nil"/>
              <w:left w:val="nil"/>
              <w:bottom w:val="single" w:sz="4" w:space="0" w:color="auto"/>
              <w:right w:val="single" w:sz="4" w:space="0" w:color="auto"/>
            </w:tcBorders>
            <w:shd w:val="clear" w:color="auto" w:fill="auto"/>
            <w:noWrap/>
            <w:vAlign w:val="bottom"/>
            <w:hideMark/>
          </w:tcPr>
          <w:p w14:paraId="01F0D8B9"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$58,000.00 </w:t>
            </w:r>
          </w:p>
        </w:tc>
        <w:tc>
          <w:tcPr>
            <w:tcW w:w="1364" w:type="dxa"/>
            <w:tcBorders>
              <w:top w:val="nil"/>
              <w:left w:val="nil"/>
              <w:bottom w:val="single" w:sz="4" w:space="0" w:color="auto"/>
              <w:right w:val="single" w:sz="4" w:space="0" w:color="auto"/>
            </w:tcBorders>
            <w:shd w:val="clear" w:color="auto" w:fill="auto"/>
            <w:noWrap/>
            <w:vAlign w:val="bottom"/>
            <w:hideMark/>
          </w:tcPr>
          <w:p w14:paraId="0FB6E942"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$132,716.00 </w:t>
            </w:r>
          </w:p>
        </w:tc>
        <w:tc>
          <w:tcPr>
            <w:tcW w:w="1170" w:type="dxa"/>
            <w:tcBorders>
              <w:top w:val="nil"/>
              <w:left w:val="nil"/>
              <w:bottom w:val="single" w:sz="4" w:space="0" w:color="auto"/>
              <w:right w:val="single" w:sz="4" w:space="0" w:color="auto"/>
            </w:tcBorders>
            <w:shd w:val="clear" w:color="auto" w:fill="auto"/>
            <w:noWrap/>
            <w:vAlign w:val="bottom"/>
            <w:hideMark/>
          </w:tcPr>
          <w:p w14:paraId="771F375B"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43.70%</w:t>
            </w:r>
          </w:p>
        </w:tc>
        <w:tc>
          <w:tcPr>
            <w:tcW w:w="1710" w:type="dxa"/>
            <w:tcBorders>
              <w:top w:val="nil"/>
              <w:left w:val="nil"/>
              <w:bottom w:val="single" w:sz="4" w:space="0" w:color="auto"/>
              <w:right w:val="single" w:sz="4" w:space="0" w:color="auto"/>
            </w:tcBorders>
            <w:shd w:val="clear" w:color="auto" w:fill="auto"/>
            <w:noWrap/>
            <w:vAlign w:val="bottom"/>
            <w:hideMark/>
          </w:tcPr>
          <w:p w14:paraId="039B9F9D"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noWrap/>
            <w:vAlign w:val="bottom"/>
            <w:hideMark/>
          </w:tcPr>
          <w:p w14:paraId="0446FFC3"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$0.00 </w:t>
            </w:r>
          </w:p>
        </w:tc>
        <w:tc>
          <w:tcPr>
            <w:tcW w:w="1260" w:type="dxa"/>
            <w:tcBorders>
              <w:top w:val="nil"/>
              <w:left w:val="nil"/>
              <w:bottom w:val="single" w:sz="4" w:space="0" w:color="auto"/>
              <w:right w:val="single" w:sz="4" w:space="0" w:color="auto"/>
            </w:tcBorders>
            <w:shd w:val="clear" w:color="auto" w:fill="auto"/>
            <w:noWrap/>
            <w:vAlign w:val="bottom"/>
            <w:hideMark/>
          </w:tcPr>
          <w:p w14:paraId="32CE9862"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58</w:t>
            </w:r>
          </w:p>
        </w:tc>
        <w:tc>
          <w:tcPr>
            <w:tcW w:w="1260" w:type="dxa"/>
            <w:tcBorders>
              <w:top w:val="nil"/>
              <w:left w:val="nil"/>
              <w:bottom w:val="single" w:sz="4" w:space="0" w:color="auto"/>
              <w:right w:val="single" w:sz="4" w:space="0" w:color="auto"/>
            </w:tcBorders>
            <w:shd w:val="clear" w:color="auto" w:fill="auto"/>
            <w:noWrap/>
            <w:vAlign w:val="bottom"/>
            <w:hideMark/>
          </w:tcPr>
          <w:p w14:paraId="3AB8B873"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31</w:t>
            </w:r>
          </w:p>
        </w:tc>
      </w:tr>
      <w:tr w:rsidR="005D7729" w:rsidRPr="005D7729" w14:paraId="06F172BC" w14:textId="77777777" w:rsidTr="005D7729">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0238B8" w14:textId="77777777" w:rsidR="005D7729" w:rsidRPr="005D7729" w:rsidRDefault="005D7729" w:rsidP="005D7729">
            <w:pPr>
              <w:spacing w:after="0" w:line="240" w:lineRule="auto"/>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3: Grants</w:t>
            </w:r>
          </w:p>
        </w:tc>
        <w:tc>
          <w:tcPr>
            <w:tcW w:w="1336" w:type="dxa"/>
            <w:tcBorders>
              <w:top w:val="nil"/>
              <w:left w:val="nil"/>
              <w:bottom w:val="single" w:sz="4" w:space="0" w:color="auto"/>
              <w:right w:val="single" w:sz="4" w:space="0" w:color="auto"/>
            </w:tcBorders>
            <w:shd w:val="clear" w:color="auto" w:fill="auto"/>
            <w:noWrap/>
            <w:vAlign w:val="bottom"/>
            <w:hideMark/>
          </w:tcPr>
          <w:p w14:paraId="0346B27B"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$7,750.00 </w:t>
            </w:r>
          </w:p>
        </w:tc>
        <w:tc>
          <w:tcPr>
            <w:tcW w:w="1364" w:type="dxa"/>
            <w:tcBorders>
              <w:top w:val="nil"/>
              <w:left w:val="nil"/>
              <w:bottom w:val="single" w:sz="4" w:space="0" w:color="auto"/>
              <w:right w:val="single" w:sz="4" w:space="0" w:color="auto"/>
            </w:tcBorders>
            <w:shd w:val="clear" w:color="auto" w:fill="auto"/>
            <w:noWrap/>
            <w:vAlign w:val="bottom"/>
            <w:hideMark/>
          </w:tcPr>
          <w:p w14:paraId="4A39BEAC"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$1,500.00 </w:t>
            </w:r>
          </w:p>
        </w:tc>
        <w:tc>
          <w:tcPr>
            <w:tcW w:w="1170" w:type="dxa"/>
            <w:tcBorders>
              <w:top w:val="nil"/>
              <w:left w:val="nil"/>
              <w:bottom w:val="single" w:sz="4" w:space="0" w:color="auto"/>
              <w:right w:val="single" w:sz="4" w:space="0" w:color="auto"/>
            </w:tcBorders>
            <w:shd w:val="clear" w:color="auto" w:fill="auto"/>
            <w:noWrap/>
            <w:vAlign w:val="bottom"/>
            <w:hideMark/>
          </w:tcPr>
          <w:p w14:paraId="2454A9D9"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516.70%</w:t>
            </w:r>
          </w:p>
        </w:tc>
        <w:tc>
          <w:tcPr>
            <w:tcW w:w="1710" w:type="dxa"/>
            <w:tcBorders>
              <w:top w:val="nil"/>
              <w:left w:val="nil"/>
              <w:bottom w:val="single" w:sz="4" w:space="0" w:color="auto"/>
              <w:right w:val="single" w:sz="4" w:space="0" w:color="auto"/>
            </w:tcBorders>
            <w:shd w:val="clear" w:color="auto" w:fill="auto"/>
            <w:noWrap/>
            <w:vAlign w:val="bottom"/>
            <w:hideMark/>
          </w:tcPr>
          <w:p w14:paraId="5F04C0BF"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noWrap/>
            <w:vAlign w:val="bottom"/>
            <w:hideMark/>
          </w:tcPr>
          <w:p w14:paraId="54635433"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$0.00 </w:t>
            </w:r>
          </w:p>
        </w:tc>
        <w:tc>
          <w:tcPr>
            <w:tcW w:w="1260" w:type="dxa"/>
            <w:tcBorders>
              <w:top w:val="nil"/>
              <w:left w:val="nil"/>
              <w:bottom w:val="single" w:sz="4" w:space="0" w:color="auto"/>
              <w:right w:val="single" w:sz="4" w:space="0" w:color="auto"/>
            </w:tcBorders>
            <w:shd w:val="clear" w:color="auto" w:fill="auto"/>
            <w:noWrap/>
            <w:vAlign w:val="bottom"/>
            <w:hideMark/>
          </w:tcPr>
          <w:p w14:paraId="01A20930"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6</w:t>
            </w:r>
          </w:p>
        </w:tc>
        <w:tc>
          <w:tcPr>
            <w:tcW w:w="1260" w:type="dxa"/>
            <w:tcBorders>
              <w:top w:val="nil"/>
              <w:left w:val="nil"/>
              <w:bottom w:val="single" w:sz="4" w:space="0" w:color="auto"/>
              <w:right w:val="single" w:sz="4" w:space="0" w:color="auto"/>
            </w:tcBorders>
            <w:shd w:val="clear" w:color="auto" w:fill="auto"/>
            <w:noWrap/>
            <w:vAlign w:val="bottom"/>
            <w:hideMark/>
          </w:tcPr>
          <w:p w14:paraId="4047360D"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1</w:t>
            </w:r>
          </w:p>
        </w:tc>
      </w:tr>
      <w:tr w:rsidR="005D7729" w:rsidRPr="005D7729" w14:paraId="55E6B2C4" w14:textId="77777777" w:rsidTr="005D7729">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CB4559" w14:textId="77777777" w:rsidR="005D7729" w:rsidRPr="005D7729" w:rsidRDefault="005D7729" w:rsidP="005D7729">
            <w:pPr>
              <w:spacing w:after="0" w:line="240" w:lineRule="auto"/>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4: Corporations</w:t>
            </w:r>
          </w:p>
        </w:tc>
        <w:tc>
          <w:tcPr>
            <w:tcW w:w="1336" w:type="dxa"/>
            <w:tcBorders>
              <w:top w:val="nil"/>
              <w:left w:val="nil"/>
              <w:bottom w:val="single" w:sz="4" w:space="0" w:color="auto"/>
              <w:right w:val="single" w:sz="4" w:space="0" w:color="auto"/>
            </w:tcBorders>
            <w:shd w:val="clear" w:color="auto" w:fill="auto"/>
            <w:noWrap/>
            <w:vAlign w:val="bottom"/>
            <w:hideMark/>
          </w:tcPr>
          <w:p w14:paraId="4C306A3B"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$3,868.82 </w:t>
            </w:r>
          </w:p>
        </w:tc>
        <w:tc>
          <w:tcPr>
            <w:tcW w:w="1364" w:type="dxa"/>
            <w:tcBorders>
              <w:top w:val="nil"/>
              <w:left w:val="nil"/>
              <w:bottom w:val="single" w:sz="4" w:space="0" w:color="auto"/>
              <w:right w:val="single" w:sz="4" w:space="0" w:color="auto"/>
            </w:tcBorders>
            <w:shd w:val="clear" w:color="auto" w:fill="auto"/>
            <w:noWrap/>
            <w:vAlign w:val="bottom"/>
            <w:hideMark/>
          </w:tcPr>
          <w:p w14:paraId="78683FDC"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$2,269.19 </w:t>
            </w:r>
          </w:p>
        </w:tc>
        <w:tc>
          <w:tcPr>
            <w:tcW w:w="1170" w:type="dxa"/>
            <w:tcBorders>
              <w:top w:val="nil"/>
              <w:left w:val="nil"/>
              <w:bottom w:val="single" w:sz="4" w:space="0" w:color="auto"/>
              <w:right w:val="single" w:sz="4" w:space="0" w:color="auto"/>
            </w:tcBorders>
            <w:shd w:val="clear" w:color="auto" w:fill="auto"/>
            <w:noWrap/>
            <w:vAlign w:val="bottom"/>
            <w:hideMark/>
          </w:tcPr>
          <w:p w14:paraId="5266C060"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170.50%</w:t>
            </w:r>
          </w:p>
        </w:tc>
        <w:tc>
          <w:tcPr>
            <w:tcW w:w="1710" w:type="dxa"/>
            <w:tcBorders>
              <w:top w:val="nil"/>
              <w:left w:val="nil"/>
              <w:bottom w:val="single" w:sz="4" w:space="0" w:color="auto"/>
              <w:right w:val="single" w:sz="4" w:space="0" w:color="auto"/>
            </w:tcBorders>
            <w:shd w:val="clear" w:color="auto" w:fill="auto"/>
            <w:noWrap/>
            <w:vAlign w:val="bottom"/>
            <w:hideMark/>
          </w:tcPr>
          <w:p w14:paraId="4AEEFA9E"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noWrap/>
            <w:vAlign w:val="bottom"/>
            <w:hideMark/>
          </w:tcPr>
          <w:p w14:paraId="4D114DC6"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$0.00 </w:t>
            </w:r>
          </w:p>
        </w:tc>
        <w:tc>
          <w:tcPr>
            <w:tcW w:w="1260" w:type="dxa"/>
            <w:tcBorders>
              <w:top w:val="nil"/>
              <w:left w:val="nil"/>
              <w:bottom w:val="single" w:sz="4" w:space="0" w:color="auto"/>
              <w:right w:val="single" w:sz="4" w:space="0" w:color="auto"/>
            </w:tcBorders>
            <w:shd w:val="clear" w:color="auto" w:fill="auto"/>
            <w:noWrap/>
            <w:vAlign w:val="bottom"/>
            <w:hideMark/>
          </w:tcPr>
          <w:p w14:paraId="2BE17E9F"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7</w:t>
            </w:r>
          </w:p>
        </w:tc>
        <w:tc>
          <w:tcPr>
            <w:tcW w:w="1260" w:type="dxa"/>
            <w:tcBorders>
              <w:top w:val="nil"/>
              <w:left w:val="nil"/>
              <w:bottom w:val="single" w:sz="4" w:space="0" w:color="auto"/>
              <w:right w:val="single" w:sz="4" w:space="0" w:color="auto"/>
            </w:tcBorders>
            <w:shd w:val="clear" w:color="auto" w:fill="auto"/>
            <w:noWrap/>
            <w:vAlign w:val="bottom"/>
            <w:hideMark/>
          </w:tcPr>
          <w:p w14:paraId="04C35D80"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7</w:t>
            </w:r>
          </w:p>
        </w:tc>
      </w:tr>
      <w:tr w:rsidR="005D7729" w:rsidRPr="005D7729" w14:paraId="64CD5230" w14:textId="77777777" w:rsidTr="005D7729">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64FD0C" w14:textId="77777777" w:rsidR="005D7729" w:rsidRPr="005D7729" w:rsidRDefault="005D7729" w:rsidP="005D7729">
            <w:pPr>
              <w:spacing w:after="0" w:line="240" w:lineRule="auto"/>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5: Earned Revenue</w:t>
            </w:r>
          </w:p>
        </w:tc>
        <w:tc>
          <w:tcPr>
            <w:tcW w:w="1336" w:type="dxa"/>
            <w:tcBorders>
              <w:top w:val="nil"/>
              <w:left w:val="nil"/>
              <w:bottom w:val="single" w:sz="4" w:space="0" w:color="auto"/>
              <w:right w:val="single" w:sz="4" w:space="0" w:color="auto"/>
            </w:tcBorders>
            <w:shd w:val="clear" w:color="auto" w:fill="auto"/>
            <w:noWrap/>
            <w:vAlign w:val="bottom"/>
            <w:hideMark/>
          </w:tcPr>
          <w:p w14:paraId="534C61CA"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$1,132.66 </w:t>
            </w:r>
          </w:p>
        </w:tc>
        <w:tc>
          <w:tcPr>
            <w:tcW w:w="1364" w:type="dxa"/>
            <w:tcBorders>
              <w:top w:val="nil"/>
              <w:left w:val="nil"/>
              <w:bottom w:val="single" w:sz="4" w:space="0" w:color="auto"/>
              <w:right w:val="single" w:sz="4" w:space="0" w:color="auto"/>
            </w:tcBorders>
            <w:shd w:val="clear" w:color="auto" w:fill="auto"/>
            <w:noWrap/>
            <w:vAlign w:val="bottom"/>
            <w:hideMark/>
          </w:tcPr>
          <w:p w14:paraId="34507792"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$7,321.79 </w:t>
            </w:r>
          </w:p>
        </w:tc>
        <w:tc>
          <w:tcPr>
            <w:tcW w:w="1170" w:type="dxa"/>
            <w:tcBorders>
              <w:top w:val="nil"/>
              <w:left w:val="nil"/>
              <w:bottom w:val="single" w:sz="4" w:space="0" w:color="auto"/>
              <w:right w:val="single" w:sz="4" w:space="0" w:color="auto"/>
            </w:tcBorders>
            <w:shd w:val="clear" w:color="auto" w:fill="auto"/>
            <w:noWrap/>
            <w:vAlign w:val="bottom"/>
            <w:hideMark/>
          </w:tcPr>
          <w:p w14:paraId="0E07F92E"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15.50%</w:t>
            </w:r>
          </w:p>
        </w:tc>
        <w:tc>
          <w:tcPr>
            <w:tcW w:w="1710" w:type="dxa"/>
            <w:tcBorders>
              <w:top w:val="nil"/>
              <w:left w:val="nil"/>
              <w:bottom w:val="single" w:sz="4" w:space="0" w:color="auto"/>
              <w:right w:val="single" w:sz="4" w:space="0" w:color="auto"/>
            </w:tcBorders>
            <w:shd w:val="clear" w:color="auto" w:fill="auto"/>
            <w:noWrap/>
            <w:vAlign w:val="bottom"/>
            <w:hideMark/>
          </w:tcPr>
          <w:p w14:paraId="62EF04B8"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$704.94 </w:t>
            </w:r>
          </w:p>
        </w:tc>
        <w:tc>
          <w:tcPr>
            <w:tcW w:w="1710" w:type="dxa"/>
            <w:tcBorders>
              <w:top w:val="nil"/>
              <w:left w:val="nil"/>
              <w:bottom w:val="single" w:sz="4" w:space="0" w:color="auto"/>
              <w:right w:val="single" w:sz="4" w:space="0" w:color="auto"/>
            </w:tcBorders>
            <w:shd w:val="clear" w:color="auto" w:fill="auto"/>
            <w:noWrap/>
            <w:vAlign w:val="bottom"/>
            <w:hideMark/>
          </w:tcPr>
          <w:p w14:paraId="0694EABA"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 xml:space="preserve">$298.23 </w:t>
            </w:r>
          </w:p>
        </w:tc>
        <w:tc>
          <w:tcPr>
            <w:tcW w:w="1260" w:type="dxa"/>
            <w:tcBorders>
              <w:top w:val="nil"/>
              <w:left w:val="nil"/>
              <w:bottom w:val="single" w:sz="4" w:space="0" w:color="auto"/>
              <w:right w:val="single" w:sz="4" w:space="0" w:color="auto"/>
            </w:tcBorders>
            <w:shd w:val="clear" w:color="auto" w:fill="auto"/>
            <w:noWrap/>
            <w:vAlign w:val="bottom"/>
            <w:hideMark/>
          </w:tcPr>
          <w:p w14:paraId="19FD99EB"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16</w:t>
            </w:r>
          </w:p>
        </w:tc>
        <w:tc>
          <w:tcPr>
            <w:tcW w:w="1260" w:type="dxa"/>
            <w:tcBorders>
              <w:top w:val="nil"/>
              <w:left w:val="nil"/>
              <w:bottom w:val="single" w:sz="4" w:space="0" w:color="auto"/>
              <w:right w:val="single" w:sz="4" w:space="0" w:color="auto"/>
            </w:tcBorders>
            <w:shd w:val="clear" w:color="auto" w:fill="auto"/>
            <w:noWrap/>
            <w:vAlign w:val="bottom"/>
            <w:hideMark/>
          </w:tcPr>
          <w:p w14:paraId="310696A0" w14:textId="77777777" w:rsidR="005D7729" w:rsidRPr="005D7729" w:rsidRDefault="005D7729" w:rsidP="005D7729">
            <w:pPr>
              <w:spacing w:after="0" w:line="240" w:lineRule="auto"/>
              <w:jc w:val="right"/>
              <w:rPr>
                <w:rFonts w:ascii="Calibri" w:eastAsia="Times New Roman" w:hAnsi="Calibri" w:cs="Times New Roman"/>
                <w:color w:val="000000"/>
                <w:lang w:val="en-GB" w:eastAsia="en-GB"/>
              </w:rPr>
            </w:pPr>
            <w:r w:rsidRPr="005D7729">
              <w:rPr>
                <w:rFonts w:ascii="Calibri" w:eastAsia="Times New Roman" w:hAnsi="Calibri" w:cs="Times New Roman"/>
                <w:color w:val="000000"/>
                <w:lang w:val="en-GB" w:eastAsia="en-GB"/>
              </w:rPr>
              <w:t>43</w:t>
            </w:r>
          </w:p>
        </w:tc>
      </w:tr>
      <w:tr w:rsidR="005D7729" w:rsidRPr="005D7729" w14:paraId="3BC6B7E9" w14:textId="77777777" w:rsidTr="005D7729">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3D6E204" w14:textId="77777777" w:rsidR="005D7729" w:rsidRPr="005D7729" w:rsidRDefault="005D7729" w:rsidP="005D7729">
            <w:pPr>
              <w:spacing w:after="0" w:line="240" w:lineRule="auto"/>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Totals</w:t>
            </w:r>
          </w:p>
        </w:tc>
        <w:tc>
          <w:tcPr>
            <w:tcW w:w="1336" w:type="dxa"/>
            <w:tcBorders>
              <w:top w:val="nil"/>
              <w:left w:val="nil"/>
              <w:bottom w:val="single" w:sz="4" w:space="0" w:color="auto"/>
              <w:right w:val="single" w:sz="4" w:space="0" w:color="auto"/>
            </w:tcBorders>
            <w:shd w:val="clear" w:color="auto" w:fill="auto"/>
            <w:noWrap/>
            <w:vAlign w:val="bottom"/>
            <w:hideMark/>
          </w:tcPr>
          <w:p w14:paraId="55A9807A" w14:textId="77777777" w:rsidR="005D7729" w:rsidRPr="005D7729" w:rsidRDefault="005D7729" w:rsidP="005D7729">
            <w:pPr>
              <w:spacing w:after="0" w:line="240" w:lineRule="auto"/>
              <w:jc w:val="right"/>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 xml:space="preserve">$121,239.42 </w:t>
            </w:r>
          </w:p>
        </w:tc>
        <w:tc>
          <w:tcPr>
            <w:tcW w:w="1364" w:type="dxa"/>
            <w:tcBorders>
              <w:top w:val="nil"/>
              <w:left w:val="nil"/>
              <w:bottom w:val="single" w:sz="4" w:space="0" w:color="auto"/>
              <w:right w:val="single" w:sz="4" w:space="0" w:color="auto"/>
            </w:tcBorders>
            <w:shd w:val="clear" w:color="auto" w:fill="auto"/>
            <w:noWrap/>
            <w:vAlign w:val="bottom"/>
            <w:hideMark/>
          </w:tcPr>
          <w:p w14:paraId="62B2BE08" w14:textId="77777777" w:rsidR="005D7729" w:rsidRPr="005D7729" w:rsidRDefault="005D7729" w:rsidP="005D7729">
            <w:pPr>
              <w:spacing w:after="0" w:line="240" w:lineRule="auto"/>
              <w:jc w:val="right"/>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 xml:space="preserve">$232,014.55 </w:t>
            </w:r>
          </w:p>
        </w:tc>
        <w:tc>
          <w:tcPr>
            <w:tcW w:w="1170" w:type="dxa"/>
            <w:tcBorders>
              <w:top w:val="nil"/>
              <w:left w:val="nil"/>
              <w:bottom w:val="single" w:sz="4" w:space="0" w:color="auto"/>
              <w:right w:val="single" w:sz="4" w:space="0" w:color="auto"/>
            </w:tcBorders>
            <w:shd w:val="clear" w:color="auto" w:fill="auto"/>
            <w:noWrap/>
            <w:vAlign w:val="bottom"/>
            <w:hideMark/>
          </w:tcPr>
          <w:p w14:paraId="7E312074" w14:textId="77777777" w:rsidR="005D7729" w:rsidRPr="005D7729" w:rsidRDefault="005D7729" w:rsidP="005D7729">
            <w:pPr>
              <w:spacing w:after="0" w:line="240" w:lineRule="auto"/>
              <w:jc w:val="right"/>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52.26%</w:t>
            </w:r>
          </w:p>
        </w:tc>
        <w:tc>
          <w:tcPr>
            <w:tcW w:w="1710" w:type="dxa"/>
            <w:tcBorders>
              <w:top w:val="nil"/>
              <w:left w:val="nil"/>
              <w:bottom w:val="single" w:sz="4" w:space="0" w:color="auto"/>
              <w:right w:val="single" w:sz="4" w:space="0" w:color="auto"/>
            </w:tcBorders>
            <w:shd w:val="clear" w:color="auto" w:fill="auto"/>
            <w:noWrap/>
            <w:vAlign w:val="bottom"/>
            <w:hideMark/>
          </w:tcPr>
          <w:p w14:paraId="3DB70364" w14:textId="77777777" w:rsidR="005D7729" w:rsidRPr="005D7729" w:rsidRDefault="005D7729" w:rsidP="005D7729">
            <w:pPr>
              <w:spacing w:after="0" w:line="240" w:lineRule="auto"/>
              <w:jc w:val="right"/>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 xml:space="preserve">$10,332.79 </w:t>
            </w:r>
          </w:p>
        </w:tc>
        <w:tc>
          <w:tcPr>
            <w:tcW w:w="1710" w:type="dxa"/>
            <w:tcBorders>
              <w:top w:val="nil"/>
              <w:left w:val="nil"/>
              <w:bottom w:val="single" w:sz="4" w:space="0" w:color="auto"/>
              <w:right w:val="single" w:sz="4" w:space="0" w:color="auto"/>
            </w:tcBorders>
            <w:shd w:val="clear" w:color="auto" w:fill="auto"/>
            <w:noWrap/>
            <w:vAlign w:val="bottom"/>
            <w:hideMark/>
          </w:tcPr>
          <w:p w14:paraId="3109F9E8" w14:textId="77777777" w:rsidR="005D7729" w:rsidRPr="005D7729" w:rsidRDefault="005D7729" w:rsidP="005D7729">
            <w:pPr>
              <w:spacing w:after="0" w:line="240" w:lineRule="auto"/>
              <w:jc w:val="right"/>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 xml:space="preserve">$32,385.13 </w:t>
            </w:r>
          </w:p>
        </w:tc>
        <w:tc>
          <w:tcPr>
            <w:tcW w:w="1260" w:type="dxa"/>
            <w:tcBorders>
              <w:top w:val="nil"/>
              <w:left w:val="nil"/>
              <w:bottom w:val="single" w:sz="4" w:space="0" w:color="auto"/>
              <w:right w:val="single" w:sz="4" w:space="0" w:color="auto"/>
            </w:tcBorders>
            <w:shd w:val="clear" w:color="auto" w:fill="auto"/>
            <w:noWrap/>
            <w:vAlign w:val="bottom"/>
            <w:hideMark/>
          </w:tcPr>
          <w:p w14:paraId="66C5064E" w14:textId="77777777" w:rsidR="005D7729" w:rsidRPr="005D7729" w:rsidRDefault="005D7729" w:rsidP="005D7729">
            <w:pPr>
              <w:spacing w:after="0" w:line="240" w:lineRule="auto"/>
              <w:jc w:val="right"/>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845</w:t>
            </w:r>
          </w:p>
        </w:tc>
        <w:tc>
          <w:tcPr>
            <w:tcW w:w="1260" w:type="dxa"/>
            <w:tcBorders>
              <w:top w:val="nil"/>
              <w:left w:val="nil"/>
              <w:bottom w:val="single" w:sz="4" w:space="0" w:color="auto"/>
              <w:right w:val="single" w:sz="4" w:space="0" w:color="auto"/>
            </w:tcBorders>
            <w:shd w:val="clear" w:color="auto" w:fill="auto"/>
            <w:noWrap/>
            <w:vAlign w:val="bottom"/>
            <w:hideMark/>
          </w:tcPr>
          <w:p w14:paraId="2F8FD40D" w14:textId="77777777" w:rsidR="005D7729" w:rsidRPr="005D7729" w:rsidRDefault="005D7729" w:rsidP="005D7729">
            <w:pPr>
              <w:spacing w:after="0" w:line="240" w:lineRule="auto"/>
              <w:jc w:val="right"/>
              <w:rPr>
                <w:rFonts w:ascii="Calibri" w:eastAsia="Times New Roman" w:hAnsi="Calibri" w:cs="Times New Roman"/>
                <w:b/>
                <w:bCs/>
                <w:color w:val="000000"/>
                <w:lang w:val="en-GB" w:eastAsia="en-GB"/>
              </w:rPr>
            </w:pPr>
            <w:r w:rsidRPr="005D7729">
              <w:rPr>
                <w:rFonts w:ascii="Calibri" w:eastAsia="Times New Roman" w:hAnsi="Calibri" w:cs="Times New Roman"/>
                <w:b/>
                <w:bCs/>
                <w:color w:val="000000"/>
                <w:lang w:val="en-GB" w:eastAsia="en-GB"/>
              </w:rPr>
              <w:t>1097</w:t>
            </w:r>
          </w:p>
        </w:tc>
      </w:tr>
    </w:tbl>
    <w:p w14:paraId="27A7ED87" w14:textId="77777777" w:rsidR="005D7729" w:rsidRDefault="005D7729" w:rsidP="00FE0EEA">
      <w:pPr>
        <w:spacing w:after="0" w:line="240" w:lineRule="auto"/>
      </w:pPr>
    </w:p>
    <w:p w14:paraId="12C75837" w14:textId="7739FB8C" w:rsidR="001C6460" w:rsidRPr="001959AE" w:rsidRDefault="001C6460" w:rsidP="001C6460">
      <w:pPr>
        <w:spacing w:after="0" w:line="240" w:lineRule="auto"/>
        <w:rPr>
          <w:b/>
          <w:bCs/>
          <w:sz w:val="24"/>
          <w:szCs w:val="24"/>
        </w:rPr>
      </w:pPr>
      <w:r w:rsidRPr="001959AE">
        <w:rPr>
          <w:b/>
          <w:bCs/>
          <w:sz w:val="24"/>
          <w:szCs w:val="24"/>
        </w:rPr>
        <w:t>Evaluation of FY21 to-date (9/</w:t>
      </w:r>
      <w:r w:rsidR="00391085">
        <w:rPr>
          <w:b/>
          <w:bCs/>
          <w:sz w:val="24"/>
          <w:szCs w:val="24"/>
        </w:rPr>
        <w:t>30</w:t>
      </w:r>
      <w:r w:rsidRPr="001959AE">
        <w:rPr>
          <w:b/>
          <w:bCs/>
          <w:sz w:val="24"/>
          <w:szCs w:val="24"/>
        </w:rPr>
        <w:t>/20):</w:t>
      </w:r>
    </w:p>
    <w:p w14:paraId="59C26C73" w14:textId="1656E249" w:rsidR="001C6460" w:rsidRDefault="001C6460" w:rsidP="00FE0EEA">
      <w:pPr>
        <w:spacing w:after="0" w:line="240" w:lineRule="auto"/>
      </w:pPr>
      <w:r>
        <w:t xml:space="preserve">The totals above reflect income through the end of </w:t>
      </w:r>
      <w:r w:rsidR="00624440">
        <w:t>September</w:t>
      </w:r>
      <w:r>
        <w:t xml:space="preserve"> 2020, </w:t>
      </w:r>
      <w:r w:rsidR="00624440">
        <w:t>6</w:t>
      </w:r>
      <w:r>
        <w:t xml:space="preserve"> months into the FY21 fiscal year.  </w:t>
      </w:r>
      <w:r w:rsidR="00624440">
        <w:t>H</w:t>
      </w:r>
      <w:r>
        <w:t>alfway through the year, Starfish has achieved</w:t>
      </w:r>
      <w:r w:rsidR="001A65D4">
        <w:t xml:space="preserve"> </w:t>
      </w:r>
      <w:r w:rsidR="00624440">
        <w:t>over 50</w:t>
      </w:r>
      <w:r w:rsidR="001A65D4">
        <w:t>% of its total income raised in the entire prior year (FY20), including</w:t>
      </w:r>
      <w:r>
        <w:t xml:space="preserve"> </w:t>
      </w:r>
      <w:r w:rsidR="00624440">
        <w:t>57</w:t>
      </w:r>
      <w:r>
        <w:t>.</w:t>
      </w:r>
      <w:r w:rsidR="00624440">
        <w:t>2</w:t>
      </w:r>
      <w:r>
        <w:t xml:space="preserve">% of its </w:t>
      </w:r>
      <w:r w:rsidR="001A65D4">
        <w:t xml:space="preserve">FY20 </w:t>
      </w:r>
      <w:r>
        <w:t xml:space="preserve">individual giving totals.  Starfish has also achieved </w:t>
      </w:r>
      <w:r w:rsidR="00624440">
        <w:t xml:space="preserve">almost </w:t>
      </w:r>
      <w:r>
        <w:t xml:space="preserve">44% of the </w:t>
      </w:r>
      <w:r w:rsidR="00624440">
        <w:t>major donor</w:t>
      </w:r>
      <w:r>
        <w:t xml:space="preserve"> totals for FY20, although the total major donor gifts for FY21 are projected to be lower overall than FY20. </w:t>
      </w:r>
    </w:p>
    <w:p w14:paraId="6BCEBE84" w14:textId="756FBAAC" w:rsidR="001C6460" w:rsidRDefault="001C6460" w:rsidP="00FE0EEA">
      <w:pPr>
        <w:spacing w:after="0" w:line="240" w:lineRule="auto"/>
      </w:pPr>
    </w:p>
    <w:p w14:paraId="5A5947E7" w14:textId="24BA7CAA" w:rsidR="001C6460" w:rsidRDefault="001C6460" w:rsidP="00FE0EEA">
      <w:pPr>
        <w:spacing w:after="0" w:line="240" w:lineRule="auto"/>
      </w:pPr>
      <w:r>
        <w:lastRenderedPageBreak/>
        <w:t>Additionally, grants and corporate giving has been considerably more successful this year.  To-date, grants income for FY21 has been 5 times the amount of FY20, with potential additional grants still possible. Corporate</w:t>
      </w:r>
      <w:r w:rsidR="00C41BBF">
        <w:t xml:space="preserve"> donations</w:t>
      </w:r>
      <w:r>
        <w:t xml:space="preserve"> have </w:t>
      </w:r>
      <w:r w:rsidR="00C41BBF">
        <w:t xml:space="preserve">increased by over 70% from the FY20 totals, in large part to a concerted push by the Development Team to identify employer gift matching opportunities within our individual giving base.  </w:t>
      </w:r>
    </w:p>
    <w:p w14:paraId="214D55A2" w14:textId="2EDAF375" w:rsidR="00C41BBF" w:rsidRDefault="00C41BBF" w:rsidP="00FE0EEA">
      <w:pPr>
        <w:spacing w:after="0" w:line="240" w:lineRule="auto"/>
      </w:pPr>
    </w:p>
    <w:p w14:paraId="20BA8D8C" w14:textId="46316196" w:rsidR="00C41BBF" w:rsidRDefault="00C41BBF" w:rsidP="00FE0EEA">
      <w:pPr>
        <w:spacing w:after="0" w:line="240" w:lineRule="auto"/>
      </w:pPr>
      <w:r>
        <w:t xml:space="preserve">Lastly, our earned revenue totals to-date are only </w:t>
      </w:r>
      <w:r w:rsidR="00313C7A">
        <w:t>about 1</w:t>
      </w:r>
      <w:r w:rsidR="00624440">
        <w:t>5</w:t>
      </w:r>
      <w:r>
        <w:t xml:space="preserve">% of our totals for FY20.  This drop in large part reflects the loss of income raised by Ecuador volunteers prior to their time in Guayaquil, as well as the lower speaking fees for in-person, both of which are the direct result of COVID-related consequences. However, masks sales are expected to bring in some additional revenues this </w:t>
      </w:r>
      <w:r w:rsidR="00596A03">
        <w:t>year and</w:t>
      </w:r>
      <w:r>
        <w:t xml:space="preserve"> earned revenue has been identified as a prime are for brainstorming and growth to shore up long-term income streams, to help with future sustainability. </w:t>
      </w:r>
    </w:p>
    <w:p w14:paraId="57737CFC" w14:textId="048EAD70" w:rsidR="001C6460" w:rsidRDefault="001C6460" w:rsidP="00FE0EEA">
      <w:pPr>
        <w:spacing w:after="0" w:line="240" w:lineRule="auto"/>
      </w:pPr>
    </w:p>
    <w:p w14:paraId="21E7753C" w14:textId="7CCEF6EF" w:rsidR="001339DD" w:rsidRPr="001959AE" w:rsidRDefault="001339DD" w:rsidP="00FE0EEA">
      <w:pPr>
        <w:spacing w:after="0" w:line="240" w:lineRule="auto"/>
        <w:rPr>
          <w:b/>
          <w:bCs/>
          <w:sz w:val="24"/>
          <w:szCs w:val="24"/>
        </w:rPr>
      </w:pPr>
      <w:r w:rsidRPr="001959AE">
        <w:rPr>
          <w:b/>
          <w:bCs/>
          <w:sz w:val="24"/>
          <w:szCs w:val="24"/>
        </w:rPr>
        <w:t>FY21 Campaigns</w:t>
      </w:r>
    </w:p>
    <w:p w14:paraId="47F798EE" w14:textId="7358F90B" w:rsidR="001339DD" w:rsidRDefault="001339DD" w:rsidP="00FE0EEA">
      <w:pPr>
        <w:spacing w:after="0" w:line="240" w:lineRule="auto"/>
      </w:pPr>
      <w:r>
        <w:t xml:space="preserve">A similar analysis for return per hour volunteered and return per dollar spent was run for two campaigns that have already closed for FY21, the June Appeal and the Benefit Dinner. The June Appeal had some start up costs that, while overall lower than the expenses for the dinner, did impact the return per dollar spent on the campaign.  By contrast, the dinner being virtual this year did lower the overall expenses for the dinner, and positively impact the return per dollar spent compared to FY20.  However, since the dinner (even a virtual dinner) was still time intensive, and so yielded an overall lower return per volunteer hour. </w:t>
      </w:r>
      <w:r w:rsidR="00453993">
        <w:t>The dinner still produced the total gross income</w:t>
      </w:r>
    </w:p>
    <w:tbl>
      <w:tblPr>
        <w:tblStyle w:val="TableGrid"/>
        <w:tblpPr w:leftFromText="141" w:rightFromText="141" w:vertAnchor="text" w:horzAnchor="margin" w:tblpXSpec="center" w:tblpY="197"/>
        <w:tblW w:w="0" w:type="auto"/>
        <w:tblLook w:val="04A0" w:firstRow="1" w:lastRow="0" w:firstColumn="1" w:lastColumn="0" w:noHBand="0" w:noVBand="1"/>
      </w:tblPr>
      <w:tblGrid>
        <w:gridCol w:w="1525"/>
        <w:gridCol w:w="1440"/>
        <w:gridCol w:w="1530"/>
        <w:gridCol w:w="1530"/>
      </w:tblGrid>
      <w:tr w:rsidR="00453993" w14:paraId="72A2B667" w14:textId="6808ED43" w:rsidTr="00453993">
        <w:tc>
          <w:tcPr>
            <w:tcW w:w="1525" w:type="dxa"/>
            <w:vAlign w:val="center"/>
          </w:tcPr>
          <w:p w14:paraId="622C1F34" w14:textId="77777777" w:rsidR="00453993" w:rsidRPr="001339DD" w:rsidRDefault="00453993" w:rsidP="00453993">
            <w:pPr>
              <w:rPr>
                <w:sz w:val="20"/>
                <w:szCs w:val="20"/>
              </w:rPr>
            </w:pPr>
            <w:r w:rsidRPr="001339DD">
              <w:rPr>
                <w:rFonts w:ascii="Arial" w:eastAsia="Times New Roman" w:hAnsi="Arial" w:cs="Arial"/>
                <w:b/>
                <w:bCs/>
                <w:color w:val="000000"/>
                <w:sz w:val="20"/>
                <w:szCs w:val="20"/>
                <w:lang w:val="es-MX" w:eastAsia="es-MX"/>
              </w:rPr>
              <w:t xml:space="preserve">Campaign </w:t>
            </w:r>
          </w:p>
        </w:tc>
        <w:tc>
          <w:tcPr>
            <w:tcW w:w="1440" w:type="dxa"/>
            <w:vAlign w:val="center"/>
          </w:tcPr>
          <w:p w14:paraId="51B5EE19" w14:textId="77777777" w:rsidR="00453993" w:rsidRPr="001339DD" w:rsidRDefault="00453993" w:rsidP="00453993">
            <w:pPr>
              <w:rPr>
                <w:sz w:val="20"/>
                <w:szCs w:val="20"/>
              </w:rPr>
            </w:pPr>
            <w:r w:rsidRPr="001339DD">
              <w:rPr>
                <w:rFonts w:ascii="Arial" w:eastAsia="Times New Roman" w:hAnsi="Arial" w:cs="Arial"/>
                <w:b/>
                <w:bCs/>
                <w:color w:val="000000"/>
                <w:sz w:val="20"/>
                <w:szCs w:val="20"/>
                <w:lang w:val="es-MX" w:eastAsia="es-MX"/>
              </w:rPr>
              <w:t>Return</w:t>
            </w:r>
            <w:r>
              <w:rPr>
                <w:rFonts w:ascii="Arial" w:eastAsia="Times New Roman" w:hAnsi="Arial" w:cs="Arial"/>
                <w:b/>
                <w:bCs/>
                <w:color w:val="000000"/>
                <w:sz w:val="20"/>
                <w:szCs w:val="20"/>
                <w:lang w:val="es-MX" w:eastAsia="es-MX"/>
              </w:rPr>
              <w:t xml:space="preserve"> </w:t>
            </w:r>
            <w:r w:rsidRPr="001339DD">
              <w:rPr>
                <w:rFonts w:ascii="Arial" w:eastAsia="Times New Roman" w:hAnsi="Arial" w:cs="Arial"/>
                <w:b/>
                <w:bCs/>
                <w:color w:val="000000"/>
                <w:sz w:val="20"/>
                <w:szCs w:val="20"/>
                <w:lang w:val="es-MX" w:eastAsia="es-MX"/>
              </w:rPr>
              <w:t>per</w:t>
            </w:r>
            <w:r>
              <w:rPr>
                <w:rFonts w:ascii="Arial" w:eastAsia="Times New Roman" w:hAnsi="Arial" w:cs="Arial"/>
                <w:b/>
                <w:bCs/>
                <w:color w:val="000000"/>
                <w:sz w:val="20"/>
                <w:szCs w:val="20"/>
                <w:lang w:val="es-MX" w:eastAsia="es-MX"/>
              </w:rPr>
              <w:t xml:space="preserve"> $</w:t>
            </w:r>
          </w:p>
        </w:tc>
        <w:tc>
          <w:tcPr>
            <w:tcW w:w="1530" w:type="dxa"/>
            <w:vAlign w:val="center"/>
          </w:tcPr>
          <w:p w14:paraId="4B7C179D" w14:textId="77777777" w:rsidR="00453993" w:rsidRPr="001339DD" w:rsidRDefault="00453993" w:rsidP="00453993">
            <w:pPr>
              <w:rPr>
                <w:sz w:val="20"/>
                <w:szCs w:val="20"/>
              </w:rPr>
            </w:pPr>
            <w:r w:rsidRPr="001339DD">
              <w:rPr>
                <w:rFonts w:ascii="Arial" w:eastAsia="Times New Roman" w:hAnsi="Arial" w:cs="Arial"/>
                <w:b/>
                <w:bCs/>
                <w:color w:val="000000"/>
                <w:sz w:val="20"/>
                <w:szCs w:val="20"/>
                <w:lang w:val="es-MX" w:eastAsia="es-MX"/>
              </w:rPr>
              <w:t>Return</w:t>
            </w:r>
            <w:r>
              <w:rPr>
                <w:rFonts w:ascii="Arial" w:eastAsia="Times New Roman" w:hAnsi="Arial" w:cs="Arial"/>
                <w:b/>
                <w:bCs/>
                <w:color w:val="000000"/>
                <w:sz w:val="20"/>
                <w:szCs w:val="20"/>
                <w:lang w:val="es-MX" w:eastAsia="es-MX"/>
              </w:rPr>
              <w:t xml:space="preserve"> </w:t>
            </w:r>
            <w:r w:rsidRPr="001339DD">
              <w:rPr>
                <w:rFonts w:ascii="Arial" w:eastAsia="Times New Roman" w:hAnsi="Arial" w:cs="Arial"/>
                <w:b/>
                <w:bCs/>
                <w:color w:val="000000"/>
                <w:sz w:val="20"/>
                <w:szCs w:val="20"/>
                <w:lang w:val="es-MX" w:eastAsia="es-MX"/>
              </w:rPr>
              <w:t>per</w:t>
            </w:r>
            <w:r>
              <w:rPr>
                <w:rFonts w:ascii="Arial" w:eastAsia="Times New Roman" w:hAnsi="Arial" w:cs="Arial"/>
                <w:b/>
                <w:bCs/>
                <w:color w:val="000000"/>
                <w:sz w:val="20"/>
                <w:szCs w:val="20"/>
                <w:lang w:val="es-MX" w:eastAsia="es-MX"/>
              </w:rPr>
              <w:t xml:space="preserve"> hr</w:t>
            </w:r>
          </w:p>
        </w:tc>
        <w:tc>
          <w:tcPr>
            <w:tcW w:w="1530" w:type="dxa"/>
          </w:tcPr>
          <w:p w14:paraId="398318D4" w14:textId="4639BD2F" w:rsidR="00453993" w:rsidRPr="001339DD" w:rsidRDefault="00453993" w:rsidP="00453993">
            <w:pPr>
              <w:rPr>
                <w:rFonts w:ascii="Arial" w:eastAsia="Times New Roman" w:hAnsi="Arial" w:cs="Arial"/>
                <w:b/>
                <w:bCs/>
                <w:color w:val="000000"/>
                <w:sz w:val="20"/>
                <w:szCs w:val="20"/>
                <w:lang w:val="es-MX" w:eastAsia="es-MX"/>
              </w:rPr>
            </w:pPr>
            <w:r>
              <w:rPr>
                <w:rFonts w:ascii="Arial" w:eastAsia="Times New Roman" w:hAnsi="Arial" w:cs="Arial"/>
                <w:b/>
                <w:bCs/>
                <w:color w:val="000000"/>
                <w:sz w:val="20"/>
                <w:szCs w:val="20"/>
                <w:lang w:val="es-MX" w:eastAsia="es-MX"/>
              </w:rPr>
              <w:t>Total Income</w:t>
            </w:r>
          </w:p>
        </w:tc>
      </w:tr>
      <w:tr w:rsidR="00453993" w14:paraId="272FD087" w14:textId="755C4FA9" w:rsidTr="00453993">
        <w:tc>
          <w:tcPr>
            <w:tcW w:w="1525" w:type="dxa"/>
            <w:vAlign w:val="center"/>
          </w:tcPr>
          <w:p w14:paraId="673C7B7C" w14:textId="77777777" w:rsidR="00453993" w:rsidRPr="001339DD" w:rsidRDefault="00453993" w:rsidP="00453993">
            <w:pPr>
              <w:rPr>
                <w:sz w:val="20"/>
                <w:szCs w:val="20"/>
              </w:rPr>
            </w:pPr>
            <w:r w:rsidRPr="001339DD">
              <w:rPr>
                <w:rFonts w:ascii="Arial" w:eastAsia="Times New Roman" w:hAnsi="Arial" w:cs="Arial"/>
                <w:color w:val="000000"/>
                <w:sz w:val="20"/>
                <w:szCs w:val="20"/>
                <w:lang w:val="es-MX" w:eastAsia="es-MX"/>
              </w:rPr>
              <w:t>Appeal - June</w:t>
            </w:r>
          </w:p>
        </w:tc>
        <w:tc>
          <w:tcPr>
            <w:tcW w:w="1440" w:type="dxa"/>
            <w:vAlign w:val="center"/>
          </w:tcPr>
          <w:p w14:paraId="165A3DCF" w14:textId="77777777" w:rsidR="00453993" w:rsidRPr="00453993" w:rsidRDefault="00453993" w:rsidP="00453993">
            <w:pPr>
              <w:rPr>
                <w:sz w:val="20"/>
                <w:szCs w:val="20"/>
              </w:rPr>
            </w:pPr>
            <w:r w:rsidRPr="00453993">
              <w:rPr>
                <w:rFonts w:ascii="Arial" w:eastAsia="Times New Roman" w:hAnsi="Arial" w:cs="Arial"/>
                <w:color w:val="000000"/>
                <w:sz w:val="20"/>
                <w:szCs w:val="20"/>
                <w:lang w:val="es-MX" w:eastAsia="es-MX"/>
              </w:rPr>
              <w:t>$26.31</w:t>
            </w:r>
          </w:p>
        </w:tc>
        <w:tc>
          <w:tcPr>
            <w:tcW w:w="1530" w:type="dxa"/>
            <w:vAlign w:val="center"/>
          </w:tcPr>
          <w:p w14:paraId="1F01E80C" w14:textId="77777777" w:rsidR="00453993" w:rsidRPr="00453993" w:rsidRDefault="00453993" w:rsidP="00453993">
            <w:pPr>
              <w:rPr>
                <w:sz w:val="20"/>
                <w:szCs w:val="20"/>
              </w:rPr>
            </w:pPr>
            <w:r w:rsidRPr="00453993">
              <w:rPr>
                <w:rFonts w:ascii="Arial" w:eastAsia="Times New Roman" w:hAnsi="Arial" w:cs="Arial"/>
                <w:color w:val="000000"/>
                <w:sz w:val="20"/>
                <w:szCs w:val="20"/>
                <w:lang w:val="es-MX" w:eastAsia="es-MX"/>
              </w:rPr>
              <w:t>$204.67</w:t>
            </w:r>
          </w:p>
        </w:tc>
        <w:tc>
          <w:tcPr>
            <w:tcW w:w="1530" w:type="dxa"/>
          </w:tcPr>
          <w:p w14:paraId="7168EDA5" w14:textId="4E01A97A" w:rsidR="00453993" w:rsidRPr="00453993" w:rsidRDefault="00453993" w:rsidP="00453993">
            <w:pPr>
              <w:rPr>
                <w:rFonts w:ascii="Arial" w:eastAsia="Times New Roman" w:hAnsi="Arial" w:cs="Arial"/>
                <w:color w:val="000000"/>
                <w:sz w:val="20"/>
                <w:szCs w:val="20"/>
                <w:lang w:val="es-MX" w:eastAsia="es-MX"/>
              </w:rPr>
            </w:pPr>
            <w:r>
              <w:rPr>
                <w:rFonts w:ascii="Helvetica" w:hAnsi="Helvetica"/>
                <w:color w:val="000000"/>
                <w:sz w:val="18"/>
                <w:szCs w:val="18"/>
                <w:shd w:val="clear" w:color="auto" w:fill="F5F5F5"/>
              </w:rPr>
              <w:t>$5526.00</w:t>
            </w:r>
          </w:p>
        </w:tc>
      </w:tr>
      <w:tr w:rsidR="00453993" w14:paraId="4E620515" w14:textId="6171B878" w:rsidTr="00453993">
        <w:tc>
          <w:tcPr>
            <w:tcW w:w="1525" w:type="dxa"/>
            <w:vAlign w:val="center"/>
          </w:tcPr>
          <w:p w14:paraId="705F9F69" w14:textId="77777777" w:rsidR="00453993" w:rsidRPr="001339DD" w:rsidRDefault="00453993" w:rsidP="00453993">
            <w:pPr>
              <w:rPr>
                <w:sz w:val="20"/>
                <w:szCs w:val="20"/>
              </w:rPr>
            </w:pPr>
            <w:r w:rsidRPr="001339DD">
              <w:rPr>
                <w:rFonts w:ascii="Arial" w:eastAsia="Times New Roman" w:hAnsi="Arial" w:cs="Arial"/>
                <w:color w:val="000000"/>
                <w:sz w:val="20"/>
                <w:szCs w:val="20"/>
                <w:lang w:val="es-MX" w:eastAsia="es-MX"/>
              </w:rPr>
              <w:t xml:space="preserve">Benefit Dinner </w:t>
            </w:r>
          </w:p>
        </w:tc>
        <w:tc>
          <w:tcPr>
            <w:tcW w:w="1440" w:type="dxa"/>
            <w:vAlign w:val="center"/>
          </w:tcPr>
          <w:p w14:paraId="1F736D37" w14:textId="77777777" w:rsidR="00453993" w:rsidRPr="00453993" w:rsidRDefault="00453993" w:rsidP="00453993">
            <w:pPr>
              <w:rPr>
                <w:sz w:val="20"/>
                <w:szCs w:val="20"/>
              </w:rPr>
            </w:pPr>
            <w:r w:rsidRPr="00453993">
              <w:rPr>
                <w:rFonts w:ascii="Arial" w:eastAsia="Times New Roman" w:hAnsi="Arial" w:cs="Arial"/>
                <w:color w:val="000000"/>
                <w:sz w:val="20"/>
                <w:szCs w:val="20"/>
                <w:lang w:val="es-MX" w:eastAsia="es-MX"/>
              </w:rPr>
              <w:t>$37.56</w:t>
            </w:r>
          </w:p>
        </w:tc>
        <w:tc>
          <w:tcPr>
            <w:tcW w:w="1530" w:type="dxa"/>
            <w:vAlign w:val="center"/>
          </w:tcPr>
          <w:p w14:paraId="2A31AA61" w14:textId="77777777" w:rsidR="00453993" w:rsidRPr="00453993" w:rsidRDefault="00453993" w:rsidP="00453993">
            <w:pPr>
              <w:rPr>
                <w:sz w:val="20"/>
                <w:szCs w:val="20"/>
              </w:rPr>
            </w:pPr>
            <w:r w:rsidRPr="00453993">
              <w:rPr>
                <w:rFonts w:ascii="Arial" w:eastAsia="Times New Roman" w:hAnsi="Arial" w:cs="Arial"/>
                <w:color w:val="000000"/>
                <w:sz w:val="20"/>
                <w:szCs w:val="20"/>
                <w:lang w:val="es-MX" w:eastAsia="es-MX"/>
              </w:rPr>
              <w:t>$97.49</w:t>
            </w:r>
          </w:p>
        </w:tc>
        <w:tc>
          <w:tcPr>
            <w:tcW w:w="1530" w:type="dxa"/>
          </w:tcPr>
          <w:p w14:paraId="62BEB23A" w14:textId="6094B6D0" w:rsidR="00453993" w:rsidRPr="00453993" w:rsidRDefault="00453993" w:rsidP="00453993">
            <w:pPr>
              <w:rPr>
                <w:rFonts w:ascii="Arial" w:eastAsia="Times New Roman" w:hAnsi="Arial" w:cs="Arial"/>
                <w:color w:val="000000"/>
                <w:sz w:val="20"/>
                <w:szCs w:val="20"/>
                <w:lang w:val="es-MX" w:eastAsia="es-MX"/>
              </w:rPr>
            </w:pPr>
            <w:r>
              <w:rPr>
                <w:rFonts w:ascii="Helvetica" w:hAnsi="Helvetica"/>
                <w:color w:val="000000"/>
                <w:sz w:val="18"/>
                <w:szCs w:val="18"/>
                <w:shd w:val="clear" w:color="auto" w:fill="FFFFFF"/>
              </w:rPr>
              <w:t>$73997.27</w:t>
            </w:r>
          </w:p>
        </w:tc>
      </w:tr>
    </w:tbl>
    <w:p w14:paraId="114AA15E" w14:textId="1465C693" w:rsidR="001339DD" w:rsidRDefault="001339DD" w:rsidP="00FE0EEA">
      <w:pPr>
        <w:spacing w:after="0" w:line="240" w:lineRule="auto"/>
      </w:pPr>
    </w:p>
    <w:p w14:paraId="1F7FB5B1" w14:textId="016A1B4D" w:rsidR="00453993" w:rsidRDefault="00453993" w:rsidP="00FE0EEA">
      <w:pPr>
        <w:spacing w:after="0" w:line="240" w:lineRule="auto"/>
      </w:pPr>
    </w:p>
    <w:p w14:paraId="5EA5FDD6" w14:textId="2107E2AC" w:rsidR="00453993" w:rsidRDefault="00453993" w:rsidP="00FE0EEA">
      <w:pPr>
        <w:spacing w:after="0" w:line="240" w:lineRule="auto"/>
      </w:pPr>
    </w:p>
    <w:p w14:paraId="468F9CF4" w14:textId="77777777" w:rsidR="00453993" w:rsidRDefault="00453993" w:rsidP="00FE0EEA">
      <w:pPr>
        <w:spacing w:after="0" w:line="240" w:lineRule="auto"/>
      </w:pPr>
    </w:p>
    <w:p w14:paraId="1F9F2B92" w14:textId="331A8621" w:rsidR="001339DD" w:rsidRDefault="001339DD" w:rsidP="00FE0EEA">
      <w:pPr>
        <w:spacing w:after="0" w:line="240" w:lineRule="auto"/>
      </w:pPr>
      <w:r>
        <w:rPr>
          <w:noProof/>
        </w:rPr>
        <w:drawing>
          <wp:inline distT="0" distB="0" distL="0" distR="0" wp14:anchorId="382E1F95" wp14:editId="7478DB76">
            <wp:extent cx="1943100" cy="3236725"/>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43100" cy="3236725"/>
                    </a:xfrm>
                    <a:prstGeom prst="rect">
                      <a:avLst/>
                    </a:prstGeom>
                  </pic:spPr>
                </pic:pic>
              </a:graphicData>
            </a:graphic>
          </wp:inline>
        </w:drawing>
      </w:r>
      <w:r>
        <w:rPr>
          <w:noProof/>
        </w:rPr>
        <w:t xml:space="preserve">     </w:t>
      </w:r>
      <w:r w:rsidR="00453993">
        <w:rPr>
          <w:noProof/>
        </w:rPr>
        <w:t xml:space="preserve">        </w:t>
      </w:r>
      <w:r>
        <w:rPr>
          <w:noProof/>
        </w:rPr>
        <w:drawing>
          <wp:inline distT="0" distB="0" distL="0" distR="0" wp14:anchorId="76F928D9" wp14:editId="57559B8E">
            <wp:extent cx="2057400" cy="3154680"/>
            <wp:effectExtent l="0" t="0" r="0" b="762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57400" cy="3154680"/>
                    </a:xfrm>
                    <a:prstGeom prst="rect">
                      <a:avLst/>
                    </a:prstGeom>
                  </pic:spPr>
                </pic:pic>
              </a:graphicData>
            </a:graphic>
          </wp:inline>
        </w:drawing>
      </w:r>
      <w:r w:rsidR="00453993">
        <w:rPr>
          <w:noProof/>
        </w:rPr>
        <w:t xml:space="preserve">   </w:t>
      </w:r>
      <w:r w:rsidR="00453993">
        <w:rPr>
          <w:noProof/>
        </w:rPr>
        <w:drawing>
          <wp:inline distT="0" distB="0" distL="0" distR="0" wp14:anchorId="256E31E9" wp14:editId="46749346">
            <wp:extent cx="2159000" cy="322732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73773" cy="3249409"/>
                    </a:xfrm>
                    <a:prstGeom prst="rect">
                      <a:avLst/>
                    </a:prstGeom>
                  </pic:spPr>
                </pic:pic>
              </a:graphicData>
            </a:graphic>
          </wp:inline>
        </w:drawing>
      </w:r>
    </w:p>
    <w:p w14:paraId="07C43993" w14:textId="1C00B2F2" w:rsidR="001339DD" w:rsidRDefault="001339DD" w:rsidP="00FE0EEA">
      <w:pPr>
        <w:spacing w:after="0" w:line="240" w:lineRule="auto"/>
      </w:pPr>
    </w:p>
    <w:p w14:paraId="1A15662D" w14:textId="77777777" w:rsidR="001339DD" w:rsidRDefault="001339DD" w:rsidP="00FE0EEA">
      <w:pPr>
        <w:spacing w:after="0" w:line="240" w:lineRule="auto"/>
      </w:pPr>
    </w:p>
    <w:p w14:paraId="39B81E4D" w14:textId="5B8839F2" w:rsidR="001339DD" w:rsidRDefault="001339DD" w:rsidP="00FE0EEA">
      <w:pPr>
        <w:spacing w:after="0" w:line="240" w:lineRule="auto"/>
      </w:pPr>
    </w:p>
    <w:p w14:paraId="1423F154" w14:textId="68E52E6F" w:rsidR="00453993" w:rsidRDefault="009D1B5D" w:rsidP="00FE0EEA">
      <w:pPr>
        <w:spacing w:after="0" w:line="240" w:lineRule="auto"/>
      </w:pPr>
      <w:r>
        <w:t>A</w:t>
      </w:r>
      <w:r w:rsidR="00453993">
        <w:t xml:space="preserve"> more detailed breakdown of the benefit dinner totals from FY21 and FY20 can show how individual income streams for the dinner shifted between the last two fiscal years.  </w:t>
      </w:r>
      <w:r>
        <w:t>In both years, gifts from major donors (i.e. “sponsorships” for the dinner from individuals, as opposed to companies) were the major source of income for the dinner, and the overall total of major gifts was higher in FY20.  A breakdown without the major gifts included shows a few more details:</w:t>
      </w:r>
    </w:p>
    <w:p w14:paraId="0B962D1C" w14:textId="782668BB" w:rsidR="009D1B5D" w:rsidRDefault="009D1B5D" w:rsidP="009D1B5D">
      <w:pPr>
        <w:pStyle w:val="ListParagraph"/>
        <w:numPr>
          <w:ilvl w:val="0"/>
          <w:numId w:val="2"/>
        </w:numPr>
        <w:spacing w:after="0" w:line="240" w:lineRule="auto"/>
      </w:pPr>
      <w:r>
        <w:t>Item sales were higher in FY20 than FY21, which is when item sales were done in person at the dinner, instead of virtually.</w:t>
      </w:r>
    </w:p>
    <w:p w14:paraId="748CB6D5" w14:textId="7DC0BCAF" w:rsidR="009D1B5D" w:rsidRDefault="009D1B5D" w:rsidP="009D1B5D">
      <w:pPr>
        <w:pStyle w:val="ListParagraph"/>
        <w:numPr>
          <w:ilvl w:val="0"/>
          <w:numId w:val="2"/>
        </w:numPr>
        <w:spacing w:after="0" w:line="240" w:lineRule="auto"/>
      </w:pPr>
      <w:r>
        <w:t>The amount brought in from the auction and ticket sales in both years was relatively consistent.</w:t>
      </w:r>
    </w:p>
    <w:p w14:paraId="4D55A407" w14:textId="4B2AF4EE" w:rsidR="009D1B5D" w:rsidRDefault="009D1B5D" w:rsidP="009D1B5D">
      <w:pPr>
        <w:pStyle w:val="ListParagraph"/>
        <w:numPr>
          <w:ilvl w:val="0"/>
          <w:numId w:val="2"/>
        </w:numPr>
        <w:spacing w:after="0" w:line="240" w:lineRule="auto"/>
      </w:pPr>
      <w:r>
        <w:t xml:space="preserve">The number of individual donations was noticeably higher in FY21 than FY20. </w:t>
      </w:r>
    </w:p>
    <w:p w14:paraId="46656281" w14:textId="3A80D883" w:rsidR="00453993" w:rsidRDefault="00453993" w:rsidP="00FE0EEA">
      <w:pPr>
        <w:spacing w:after="0" w:line="240" w:lineRule="auto"/>
      </w:pPr>
    </w:p>
    <w:p w14:paraId="7BFEF7C5" w14:textId="1102C925" w:rsidR="00453993" w:rsidRDefault="009D1B5D" w:rsidP="009D1B5D">
      <w:pPr>
        <w:pBdr>
          <w:bottom w:val="single" w:sz="6" w:space="1" w:color="auto"/>
        </w:pBdr>
        <w:spacing w:after="0" w:line="240" w:lineRule="auto"/>
        <w:jc w:val="center"/>
      </w:pPr>
      <w:r>
        <w:rPr>
          <w:noProof/>
        </w:rPr>
        <w:lastRenderedPageBreak/>
        <w:drawing>
          <wp:inline distT="0" distB="0" distL="0" distR="0" wp14:anchorId="6CB3F01E" wp14:editId="2AE6D0F2">
            <wp:extent cx="2667000" cy="3810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69638" cy="3813769"/>
                    </a:xfrm>
                    <a:prstGeom prst="rect">
                      <a:avLst/>
                    </a:prstGeom>
                  </pic:spPr>
                </pic:pic>
              </a:graphicData>
            </a:graphic>
          </wp:inline>
        </w:drawing>
      </w:r>
      <w:r>
        <w:rPr>
          <w:noProof/>
        </w:rPr>
        <w:t xml:space="preserve">               </w:t>
      </w:r>
      <w:r>
        <w:rPr>
          <w:noProof/>
        </w:rPr>
        <w:drawing>
          <wp:inline distT="0" distB="0" distL="0" distR="0" wp14:anchorId="51C9EBCC" wp14:editId="42E0FA04">
            <wp:extent cx="2654300" cy="3791857"/>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58012" cy="3797160"/>
                    </a:xfrm>
                    <a:prstGeom prst="rect">
                      <a:avLst/>
                    </a:prstGeom>
                  </pic:spPr>
                </pic:pic>
              </a:graphicData>
            </a:graphic>
          </wp:inline>
        </w:drawing>
      </w:r>
    </w:p>
    <w:p w14:paraId="7453D7B0" w14:textId="77777777" w:rsidR="001959AE" w:rsidRDefault="001959AE" w:rsidP="00FE0EEA">
      <w:pPr>
        <w:spacing w:after="0" w:line="240" w:lineRule="auto"/>
      </w:pPr>
    </w:p>
    <w:p w14:paraId="49B3948C" w14:textId="41047856" w:rsidR="001959AE" w:rsidRPr="001959AE" w:rsidRDefault="001959AE" w:rsidP="00FE0EEA">
      <w:pPr>
        <w:spacing w:after="0" w:line="240" w:lineRule="auto"/>
        <w:rPr>
          <w:b/>
          <w:bCs/>
          <w:sz w:val="24"/>
          <w:szCs w:val="24"/>
          <w:u w:val="single"/>
        </w:rPr>
      </w:pPr>
      <w:r w:rsidRPr="001959AE">
        <w:rPr>
          <w:b/>
          <w:bCs/>
          <w:sz w:val="24"/>
          <w:szCs w:val="24"/>
          <w:u w:val="single"/>
        </w:rPr>
        <w:t>Monthly Trends</w:t>
      </w:r>
    </w:p>
    <w:p w14:paraId="7887B3AE" w14:textId="1FC1DCCE" w:rsidR="001E0211" w:rsidRDefault="009D1B5D" w:rsidP="00FE0EEA">
      <w:pPr>
        <w:spacing w:after="0" w:line="240" w:lineRule="auto"/>
      </w:pPr>
      <w:r>
        <w:t>Lastly, it</w:t>
      </w:r>
      <w:r w:rsidR="001C6460" w:rsidRPr="00882889">
        <w:t xml:space="preserve"> is worth noting that according to the graphs below, </w:t>
      </w:r>
      <w:r w:rsidR="00882889" w:rsidRPr="00882889">
        <w:t>August</w:t>
      </w:r>
      <w:r w:rsidR="001C6460" w:rsidRPr="00882889">
        <w:t xml:space="preserve"> through </w:t>
      </w:r>
      <w:r w:rsidR="00882889" w:rsidRPr="00882889">
        <w:t>November</w:t>
      </w:r>
      <w:r w:rsidR="001C6460" w:rsidRPr="00882889">
        <w:t xml:space="preserve"> have historically been the most productive months in terms of fundraising income.  This bodes well for the financial health of the organization through the rest of the fiscal year</w:t>
      </w:r>
      <w:r w:rsidR="00882889" w:rsidRPr="00882889">
        <w:t>, since we are less than halfway through the year and over 50% of the way to most of the fundraising levels achieved in the last fiscal year</w:t>
      </w:r>
      <w:r w:rsidR="001C6460" w:rsidRPr="00882889">
        <w:t>.</w:t>
      </w:r>
      <w:r w:rsidR="001C6460">
        <w:t xml:space="preserve">  </w:t>
      </w:r>
    </w:p>
    <w:p w14:paraId="099E1DF2" w14:textId="6B1758C4" w:rsidR="00BE400F" w:rsidRDefault="001E0211" w:rsidP="009D1B5D">
      <w:pPr>
        <w:spacing w:after="0" w:line="240" w:lineRule="auto"/>
      </w:pPr>
      <w:r>
        <w:rPr>
          <w:noProof/>
        </w:rPr>
        <w:drawing>
          <wp:inline distT="0" distB="0" distL="0" distR="0" wp14:anchorId="39CC4669" wp14:editId="2E9B8095">
            <wp:extent cx="3441700" cy="2064702"/>
            <wp:effectExtent l="0" t="0" r="635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16880" cy="2109803"/>
                    </a:xfrm>
                    <a:prstGeom prst="rect">
                      <a:avLst/>
                    </a:prstGeom>
                  </pic:spPr>
                </pic:pic>
              </a:graphicData>
            </a:graphic>
          </wp:inline>
        </w:drawing>
      </w:r>
      <w:r w:rsidR="009D1B5D">
        <w:rPr>
          <w:noProof/>
        </w:rPr>
        <w:drawing>
          <wp:inline distT="0" distB="0" distL="0" distR="0" wp14:anchorId="79B557DA" wp14:editId="4C590CBD">
            <wp:extent cx="3390900" cy="2034228"/>
            <wp:effectExtent l="0" t="0" r="0" b="444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96951" cy="2097849"/>
                    </a:xfrm>
                    <a:prstGeom prst="rect">
                      <a:avLst/>
                    </a:prstGeom>
                  </pic:spPr>
                </pic:pic>
              </a:graphicData>
            </a:graphic>
          </wp:inline>
        </w:drawing>
      </w:r>
    </w:p>
    <w:p w14:paraId="2C42AC52" w14:textId="299B5C3C" w:rsidR="00BE400F" w:rsidRDefault="00BE400F" w:rsidP="001E0211">
      <w:pPr>
        <w:spacing w:after="0" w:line="240" w:lineRule="auto"/>
        <w:jc w:val="center"/>
      </w:pPr>
    </w:p>
    <w:sectPr w:rsidR="00BE400F" w:rsidSect="005D77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C7BD5"/>
    <w:multiLevelType w:val="hybridMultilevel"/>
    <w:tmpl w:val="F424A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FE16E4"/>
    <w:multiLevelType w:val="hybridMultilevel"/>
    <w:tmpl w:val="9940AB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15"/>
    <w:rsid w:val="00033215"/>
    <w:rsid w:val="00091592"/>
    <w:rsid w:val="001339DD"/>
    <w:rsid w:val="00145B18"/>
    <w:rsid w:val="001959AE"/>
    <w:rsid w:val="001A65D4"/>
    <w:rsid w:val="001C6460"/>
    <w:rsid w:val="001E0211"/>
    <w:rsid w:val="002366FE"/>
    <w:rsid w:val="00251770"/>
    <w:rsid w:val="00313C7A"/>
    <w:rsid w:val="00391085"/>
    <w:rsid w:val="00453993"/>
    <w:rsid w:val="004D1ECC"/>
    <w:rsid w:val="00596A03"/>
    <w:rsid w:val="005D7729"/>
    <w:rsid w:val="00601FEB"/>
    <w:rsid w:val="00624440"/>
    <w:rsid w:val="007749B1"/>
    <w:rsid w:val="00877D85"/>
    <w:rsid w:val="00882889"/>
    <w:rsid w:val="009D1B5D"/>
    <w:rsid w:val="00AD4964"/>
    <w:rsid w:val="00BD076E"/>
    <w:rsid w:val="00BE400F"/>
    <w:rsid w:val="00C41BBF"/>
    <w:rsid w:val="00D00F9F"/>
    <w:rsid w:val="00EB3D36"/>
    <w:rsid w:val="00FE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AC2D"/>
  <w15:chartTrackingRefBased/>
  <w15:docId w15:val="{3BCC5313-FB8E-498E-ABCB-92ADCFA6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85"/>
    <w:pPr>
      <w:ind w:left="720"/>
      <w:contextualSpacing/>
    </w:pPr>
  </w:style>
  <w:style w:type="table" w:styleId="TableGrid">
    <w:name w:val="Table Grid"/>
    <w:basedOn w:val="TableNormal"/>
    <w:uiPriority w:val="39"/>
    <w:rsid w:val="00774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0015">
      <w:bodyDiv w:val="1"/>
      <w:marLeft w:val="0"/>
      <w:marRight w:val="0"/>
      <w:marTop w:val="0"/>
      <w:marBottom w:val="0"/>
      <w:divBdr>
        <w:top w:val="none" w:sz="0" w:space="0" w:color="auto"/>
        <w:left w:val="none" w:sz="0" w:space="0" w:color="auto"/>
        <w:bottom w:val="none" w:sz="0" w:space="0" w:color="auto"/>
        <w:right w:val="none" w:sz="0" w:space="0" w:color="auto"/>
      </w:divBdr>
    </w:div>
    <w:div w:id="163059647">
      <w:bodyDiv w:val="1"/>
      <w:marLeft w:val="0"/>
      <w:marRight w:val="0"/>
      <w:marTop w:val="0"/>
      <w:marBottom w:val="0"/>
      <w:divBdr>
        <w:top w:val="none" w:sz="0" w:space="0" w:color="auto"/>
        <w:left w:val="none" w:sz="0" w:space="0" w:color="auto"/>
        <w:bottom w:val="none" w:sz="0" w:space="0" w:color="auto"/>
        <w:right w:val="none" w:sz="0" w:space="0" w:color="auto"/>
      </w:divBdr>
    </w:div>
    <w:div w:id="355733274">
      <w:bodyDiv w:val="1"/>
      <w:marLeft w:val="0"/>
      <w:marRight w:val="0"/>
      <w:marTop w:val="0"/>
      <w:marBottom w:val="0"/>
      <w:divBdr>
        <w:top w:val="none" w:sz="0" w:space="0" w:color="auto"/>
        <w:left w:val="none" w:sz="0" w:space="0" w:color="auto"/>
        <w:bottom w:val="none" w:sz="0" w:space="0" w:color="auto"/>
        <w:right w:val="none" w:sz="0" w:space="0" w:color="auto"/>
      </w:divBdr>
    </w:div>
    <w:div w:id="430007730">
      <w:bodyDiv w:val="1"/>
      <w:marLeft w:val="0"/>
      <w:marRight w:val="0"/>
      <w:marTop w:val="0"/>
      <w:marBottom w:val="0"/>
      <w:divBdr>
        <w:top w:val="none" w:sz="0" w:space="0" w:color="auto"/>
        <w:left w:val="none" w:sz="0" w:space="0" w:color="auto"/>
        <w:bottom w:val="none" w:sz="0" w:space="0" w:color="auto"/>
        <w:right w:val="none" w:sz="0" w:space="0" w:color="auto"/>
      </w:divBdr>
    </w:div>
    <w:div w:id="1274829329">
      <w:bodyDiv w:val="1"/>
      <w:marLeft w:val="0"/>
      <w:marRight w:val="0"/>
      <w:marTop w:val="0"/>
      <w:marBottom w:val="0"/>
      <w:divBdr>
        <w:top w:val="none" w:sz="0" w:space="0" w:color="auto"/>
        <w:left w:val="none" w:sz="0" w:space="0" w:color="auto"/>
        <w:bottom w:val="none" w:sz="0" w:space="0" w:color="auto"/>
        <w:right w:val="none" w:sz="0" w:space="0" w:color="auto"/>
      </w:divBdr>
    </w:div>
    <w:div w:id="1381590843">
      <w:bodyDiv w:val="1"/>
      <w:marLeft w:val="0"/>
      <w:marRight w:val="0"/>
      <w:marTop w:val="0"/>
      <w:marBottom w:val="0"/>
      <w:divBdr>
        <w:top w:val="none" w:sz="0" w:space="0" w:color="auto"/>
        <w:left w:val="none" w:sz="0" w:space="0" w:color="auto"/>
        <w:bottom w:val="none" w:sz="0" w:space="0" w:color="auto"/>
        <w:right w:val="none" w:sz="0" w:space="0" w:color="auto"/>
      </w:divBdr>
    </w:div>
    <w:div w:id="1535726830">
      <w:bodyDiv w:val="1"/>
      <w:marLeft w:val="0"/>
      <w:marRight w:val="0"/>
      <w:marTop w:val="0"/>
      <w:marBottom w:val="0"/>
      <w:divBdr>
        <w:top w:val="none" w:sz="0" w:space="0" w:color="auto"/>
        <w:left w:val="none" w:sz="0" w:space="0" w:color="auto"/>
        <w:bottom w:val="none" w:sz="0" w:space="0" w:color="auto"/>
        <w:right w:val="none" w:sz="0" w:space="0" w:color="auto"/>
      </w:divBdr>
    </w:div>
    <w:div w:id="161186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4</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 Patel</dc:creator>
  <cp:keywords/>
  <dc:description/>
  <cp:lastModifiedBy>Purvi Patel</cp:lastModifiedBy>
  <cp:revision>14</cp:revision>
  <dcterms:created xsi:type="dcterms:W3CDTF">2020-09-19T22:30:00Z</dcterms:created>
  <dcterms:modified xsi:type="dcterms:W3CDTF">2021-01-24T01:08:00Z</dcterms:modified>
</cp:coreProperties>
</file>