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8CEF" w14:textId="7CC0F6AA" w:rsidR="00BD076E" w:rsidRPr="00BD076E" w:rsidRDefault="00BD076E" w:rsidP="007D19EC">
      <w:pPr>
        <w:spacing w:after="0" w:line="240" w:lineRule="auto"/>
        <w:jc w:val="center"/>
        <w:rPr>
          <w:b/>
          <w:bCs/>
          <w:sz w:val="28"/>
          <w:szCs w:val="28"/>
        </w:rPr>
      </w:pPr>
      <w:r w:rsidRPr="00BD076E">
        <w:rPr>
          <w:b/>
          <w:bCs/>
          <w:sz w:val="28"/>
          <w:szCs w:val="28"/>
        </w:rPr>
        <w:t xml:space="preserve">Starfish Foundation, Inc. </w:t>
      </w:r>
    </w:p>
    <w:p w14:paraId="11C3C0E3" w14:textId="5B38AA44" w:rsidR="00BD076E" w:rsidRPr="00BD076E" w:rsidRDefault="00BD076E" w:rsidP="007D19EC">
      <w:pPr>
        <w:spacing w:after="0" w:line="240" w:lineRule="auto"/>
        <w:jc w:val="center"/>
        <w:rPr>
          <w:b/>
          <w:bCs/>
          <w:sz w:val="24"/>
          <w:szCs w:val="24"/>
        </w:rPr>
      </w:pPr>
      <w:r w:rsidRPr="00BD076E">
        <w:rPr>
          <w:b/>
          <w:bCs/>
          <w:sz w:val="24"/>
          <w:szCs w:val="24"/>
        </w:rPr>
        <w:t xml:space="preserve">Fundraising Analysis, </w:t>
      </w:r>
      <w:r w:rsidR="004F470C">
        <w:rPr>
          <w:b/>
          <w:bCs/>
          <w:sz w:val="24"/>
          <w:szCs w:val="24"/>
        </w:rPr>
        <w:t>May</w:t>
      </w:r>
      <w:r w:rsidR="005C6389">
        <w:rPr>
          <w:b/>
          <w:bCs/>
          <w:sz w:val="24"/>
          <w:szCs w:val="24"/>
        </w:rPr>
        <w:t xml:space="preserve"> 2021</w:t>
      </w:r>
    </w:p>
    <w:p w14:paraId="6BE5D231" w14:textId="77777777" w:rsidR="00BD076E" w:rsidRDefault="00BD076E" w:rsidP="007D19EC">
      <w:pPr>
        <w:spacing w:after="0" w:line="240" w:lineRule="auto"/>
        <w:rPr>
          <w:b/>
          <w:bCs/>
        </w:rPr>
      </w:pPr>
    </w:p>
    <w:p w14:paraId="4842C22F" w14:textId="6D133AC7" w:rsidR="00091592" w:rsidRDefault="006408BE" w:rsidP="007D19EC">
      <w:pPr>
        <w:pBdr>
          <w:bottom w:val="single" w:sz="6" w:space="1" w:color="auto"/>
        </w:pBdr>
        <w:spacing w:after="0" w:line="240" w:lineRule="auto"/>
      </w:pPr>
      <w:r>
        <w:t xml:space="preserve">This report is a </w:t>
      </w:r>
      <w:r w:rsidR="004F470C">
        <w:t xml:space="preserve">year-end update </w:t>
      </w:r>
      <w:r>
        <w:t xml:space="preserve">of the </w:t>
      </w:r>
      <w:r w:rsidR="0098386F">
        <w:t xml:space="preserve">FY2021 </w:t>
      </w:r>
      <w:r w:rsidR="004F470C">
        <w:t>quarter</w:t>
      </w:r>
      <w:r w:rsidR="0098386F">
        <w:t>ly</w:t>
      </w:r>
      <w:r>
        <w:t xml:space="preserve"> </w:t>
      </w:r>
      <w:r w:rsidRPr="0098386F">
        <w:t>fundraising analysis</w:t>
      </w:r>
      <w:r w:rsidR="0098386F" w:rsidRPr="0098386F">
        <w:t>,</w:t>
      </w:r>
      <w:r w:rsidR="002E537D" w:rsidRPr="0098386F">
        <w:t xml:space="preserve"> </w:t>
      </w:r>
      <w:r w:rsidR="00673F4E" w:rsidRPr="0098386F">
        <w:t>includ</w:t>
      </w:r>
      <w:r w:rsidR="0098386F" w:rsidRPr="0098386F">
        <w:t>ing</w:t>
      </w:r>
      <w:r w:rsidR="00673F4E" w:rsidRPr="0098386F">
        <w:t xml:space="preserve"> additional analysis of individual</w:t>
      </w:r>
      <w:r w:rsidR="002E537D" w:rsidRPr="0098386F">
        <w:t xml:space="preserve"> campaigns over the whole arc of </w:t>
      </w:r>
      <w:r w:rsidR="00673F4E" w:rsidRPr="0098386F">
        <w:t>FY2021.</w:t>
      </w:r>
      <w:r w:rsidR="004839F3">
        <w:t xml:space="preserve"> The data analysis and report has been produced by the data analytics team of Starfish Foundation, Inc.’s Advancement Committee.</w:t>
      </w:r>
    </w:p>
    <w:p w14:paraId="23713C66" w14:textId="77777777" w:rsidR="00673F4E" w:rsidRDefault="00673F4E" w:rsidP="007D19EC">
      <w:pPr>
        <w:pBdr>
          <w:bottom w:val="single" w:sz="6" w:space="1" w:color="auto"/>
        </w:pBdr>
        <w:spacing w:after="0" w:line="240" w:lineRule="auto"/>
      </w:pPr>
    </w:p>
    <w:p w14:paraId="6F8EDD70" w14:textId="77777777" w:rsidR="00673F4E" w:rsidRDefault="00673F4E" w:rsidP="007D19EC">
      <w:pPr>
        <w:spacing w:after="0" w:line="240" w:lineRule="auto"/>
        <w:rPr>
          <w:b/>
          <w:bCs/>
          <w:sz w:val="24"/>
          <w:szCs w:val="24"/>
          <w:u w:val="single"/>
        </w:rPr>
      </w:pPr>
    </w:p>
    <w:p w14:paraId="682E68A6" w14:textId="0A25D406" w:rsidR="00FE0EEA" w:rsidRPr="004839F3" w:rsidRDefault="004E249F" w:rsidP="007D19EC">
      <w:pPr>
        <w:spacing w:after="0" w:line="240" w:lineRule="auto"/>
        <w:rPr>
          <w:b/>
          <w:bCs/>
          <w:sz w:val="28"/>
          <w:szCs w:val="28"/>
          <w:u w:val="single"/>
        </w:rPr>
      </w:pPr>
      <w:r w:rsidRPr="004839F3">
        <w:rPr>
          <w:b/>
          <w:bCs/>
          <w:sz w:val="28"/>
          <w:szCs w:val="28"/>
          <w:u w:val="single"/>
        </w:rPr>
        <w:t>FY2021</w:t>
      </w:r>
      <w:r w:rsidR="00453993" w:rsidRPr="004839F3">
        <w:rPr>
          <w:b/>
          <w:bCs/>
          <w:sz w:val="28"/>
          <w:szCs w:val="28"/>
          <w:u w:val="single"/>
        </w:rPr>
        <w:t xml:space="preserve"> &amp; FY20</w:t>
      </w:r>
      <w:r w:rsidRPr="004839F3">
        <w:rPr>
          <w:b/>
          <w:bCs/>
          <w:sz w:val="28"/>
          <w:szCs w:val="28"/>
          <w:u w:val="single"/>
        </w:rPr>
        <w:t>20</w:t>
      </w:r>
      <w:r w:rsidR="00453993" w:rsidRPr="004839F3">
        <w:rPr>
          <w:b/>
          <w:bCs/>
          <w:sz w:val="28"/>
          <w:szCs w:val="28"/>
          <w:u w:val="single"/>
        </w:rPr>
        <w:t xml:space="preserve"> Comparisons</w:t>
      </w:r>
      <w:r w:rsidR="00FE0EEA" w:rsidRPr="004839F3">
        <w:rPr>
          <w:b/>
          <w:bCs/>
          <w:sz w:val="28"/>
          <w:szCs w:val="28"/>
          <w:u w:val="single"/>
        </w:rPr>
        <w:t>:</w:t>
      </w:r>
    </w:p>
    <w:tbl>
      <w:tblPr>
        <w:tblW w:w="11520" w:type="dxa"/>
        <w:tblInd w:w="-365" w:type="dxa"/>
        <w:tblLayout w:type="fixed"/>
        <w:tblLook w:val="04A0" w:firstRow="1" w:lastRow="0" w:firstColumn="1" w:lastColumn="0" w:noHBand="0" w:noVBand="1"/>
      </w:tblPr>
      <w:tblGrid>
        <w:gridCol w:w="1710"/>
        <w:gridCol w:w="1350"/>
        <w:gridCol w:w="1350"/>
        <w:gridCol w:w="1170"/>
        <w:gridCol w:w="1710"/>
        <w:gridCol w:w="1710"/>
        <w:gridCol w:w="1260"/>
        <w:gridCol w:w="1260"/>
      </w:tblGrid>
      <w:tr w:rsidR="004E249F" w:rsidRPr="004E249F" w14:paraId="7C87770D" w14:textId="77777777" w:rsidTr="004E249F">
        <w:trPr>
          <w:trHeight w:val="580"/>
        </w:trPr>
        <w:tc>
          <w:tcPr>
            <w:tcW w:w="171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BD312"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Bucket</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468D31BB"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Income FY21</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31B9A4C2"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Income FY20</w:t>
            </w:r>
          </w:p>
        </w:tc>
        <w:tc>
          <w:tcPr>
            <w:tcW w:w="1170" w:type="dxa"/>
            <w:tcBorders>
              <w:top w:val="single" w:sz="4" w:space="0" w:color="auto"/>
              <w:left w:val="nil"/>
              <w:bottom w:val="single" w:sz="4" w:space="0" w:color="auto"/>
              <w:right w:val="single" w:sz="4" w:space="0" w:color="auto"/>
            </w:tcBorders>
            <w:shd w:val="clear" w:color="auto" w:fill="auto"/>
            <w:vAlign w:val="bottom"/>
            <w:hideMark/>
          </w:tcPr>
          <w:p w14:paraId="39F26771"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FY21 as % of FY20</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3772009"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In-Kind Donations FY21</w:t>
            </w:r>
          </w:p>
        </w:tc>
        <w:tc>
          <w:tcPr>
            <w:tcW w:w="1710" w:type="dxa"/>
            <w:tcBorders>
              <w:top w:val="single" w:sz="4" w:space="0" w:color="auto"/>
              <w:left w:val="nil"/>
              <w:bottom w:val="single" w:sz="4" w:space="0" w:color="auto"/>
              <w:right w:val="single" w:sz="4" w:space="0" w:color="auto"/>
            </w:tcBorders>
            <w:shd w:val="clear" w:color="auto" w:fill="auto"/>
            <w:vAlign w:val="bottom"/>
            <w:hideMark/>
          </w:tcPr>
          <w:p w14:paraId="2C14C5C6"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In-Kind Donations FY20</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33F401DD"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Volunteer Hours FY21</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32F85952"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Volunteer Hours FY20</w:t>
            </w:r>
          </w:p>
        </w:tc>
      </w:tr>
      <w:tr w:rsidR="004E249F" w:rsidRPr="004E249F" w14:paraId="451DF2AE"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73EF2CE0"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1: Individual Giving</w:t>
            </w:r>
          </w:p>
        </w:tc>
        <w:tc>
          <w:tcPr>
            <w:tcW w:w="1350" w:type="dxa"/>
            <w:tcBorders>
              <w:top w:val="nil"/>
              <w:left w:val="nil"/>
              <w:bottom w:val="single" w:sz="4" w:space="0" w:color="auto"/>
              <w:right w:val="single" w:sz="4" w:space="0" w:color="auto"/>
            </w:tcBorders>
            <w:shd w:val="clear" w:color="auto" w:fill="auto"/>
            <w:vAlign w:val="bottom"/>
            <w:hideMark/>
          </w:tcPr>
          <w:p w14:paraId="399970A8"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$91,974.80 </w:t>
            </w:r>
          </w:p>
        </w:tc>
        <w:tc>
          <w:tcPr>
            <w:tcW w:w="1350" w:type="dxa"/>
            <w:tcBorders>
              <w:top w:val="nil"/>
              <w:left w:val="nil"/>
              <w:bottom w:val="single" w:sz="4" w:space="0" w:color="auto"/>
              <w:right w:val="single" w:sz="4" w:space="0" w:color="auto"/>
            </w:tcBorders>
            <w:shd w:val="clear" w:color="auto" w:fill="auto"/>
            <w:vAlign w:val="bottom"/>
            <w:hideMark/>
          </w:tcPr>
          <w:p w14:paraId="4E83AA6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$88,207.57 </w:t>
            </w:r>
          </w:p>
        </w:tc>
        <w:tc>
          <w:tcPr>
            <w:tcW w:w="1170" w:type="dxa"/>
            <w:tcBorders>
              <w:top w:val="nil"/>
              <w:left w:val="nil"/>
              <w:bottom w:val="single" w:sz="4" w:space="0" w:color="auto"/>
              <w:right w:val="single" w:sz="4" w:space="0" w:color="auto"/>
            </w:tcBorders>
            <w:shd w:val="clear" w:color="auto" w:fill="auto"/>
            <w:vAlign w:val="bottom"/>
            <w:hideMark/>
          </w:tcPr>
          <w:p w14:paraId="2C2E3027"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104.30%</w:t>
            </w:r>
          </w:p>
        </w:tc>
        <w:tc>
          <w:tcPr>
            <w:tcW w:w="1710" w:type="dxa"/>
            <w:tcBorders>
              <w:top w:val="nil"/>
              <w:left w:val="nil"/>
              <w:bottom w:val="single" w:sz="4" w:space="0" w:color="auto"/>
              <w:right w:val="single" w:sz="4" w:space="0" w:color="auto"/>
            </w:tcBorders>
            <w:shd w:val="clear" w:color="auto" w:fill="auto"/>
            <w:vAlign w:val="bottom"/>
            <w:hideMark/>
          </w:tcPr>
          <w:p w14:paraId="02FA1B1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$11,685.96 </w:t>
            </w:r>
          </w:p>
        </w:tc>
        <w:tc>
          <w:tcPr>
            <w:tcW w:w="1710" w:type="dxa"/>
            <w:tcBorders>
              <w:top w:val="nil"/>
              <w:left w:val="nil"/>
              <w:bottom w:val="single" w:sz="4" w:space="0" w:color="auto"/>
              <w:right w:val="single" w:sz="4" w:space="0" w:color="auto"/>
            </w:tcBorders>
            <w:shd w:val="clear" w:color="auto" w:fill="auto"/>
            <w:vAlign w:val="bottom"/>
            <w:hideMark/>
          </w:tcPr>
          <w:p w14:paraId="4FEF044C"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$32,086.90 </w:t>
            </w:r>
          </w:p>
        </w:tc>
        <w:tc>
          <w:tcPr>
            <w:tcW w:w="1260" w:type="dxa"/>
            <w:tcBorders>
              <w:top w:val="nil"/>
              <w:left w:val="nil"/>
              <w:bottom w:val="single" w:sz="4" w:space="0" w:color="auto"/>
              <w:right w:val="single" w:sz="4" w:space="0" w:color="auto"/>
            </w:tcBorders>
            <w:shd w:val="clear" w:color="auto" w:fill="auto"/>
            <w:vAlign w:val="bottom"/>
            <w:hideMark/>
          </w:tcPr>
          <w:p w14:paraId="1F84AC82"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758</w:t>
            </w:r>
          </w:p>
        </w:tc>
        <w:tc>
          <w:tcPr>
            <w:tcW w:w="1260" w:type="dxa"/>
            <w:tcBorders>
              <w:top w:val="nil"/>
              <w:left w:val="nil"/>
              <w:bottom w:val="single" w:sz="4" w:space="0" w:color="auto"/>
              <w:right w:val="single" w:sz="4" w:space="0" w:color="auto"/>
            </w:tcBorders>
            <w:shd w:val="clear" w:color="auto" w:fill="auto"/>
            <w:vAlign w:val="bottom"/>
            <w:hideMark/>
          </w:tcPr>
          <w:p w14:paraId="3FDAB9FD"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1015</w:t>
            </w:r>
          </w:p>
        </w:tc>
      </w:tr>
      <w:tr w:rsidR="004E249F" w:rsidRPr="004E249F" w14:paraId="6473681E"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28F3D9E6"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2: Major Donors</w:t>
            </w:r>
          </w:p>
        </w:tc>
        <w:tc>
          <w:tcPr>
            <w:tcW w:w="1350" w:type="dxa"/>
            <w:tcBorders>
              <w:top w:val="nil"/>
              <w:left w:val="nil"/>
              <w:bottom w:val="single" w:sz="4" w:space="0" w:color="auto"/>
              <w:right w:val="single" w:sz="4" w:space="0" w:color="auto"/>
            </w:tcBorders>
            <w:shd w:val="clear" w:color="auto" w:fill="auto"/>
            <w:vAlign w:val="bottom"/>
            <w:hideMark/>
          </w:tcPr>
          <w:p w14:paraId="2DFB1A7B"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$84,475.00 </w:t>
            </w:r>
          </w:p>
        </w:tc>
        <w:tc>
          <w:tcPr>
            <w:tcW w:w="1350" w:type="dxa"/>
            <w:tcBorders>
              <w:top w:val="nil"/>
              <w:left w:val="nil"/>
              <w:bottom w:val="single" w:sz="4" w:space="0" w:color="auto"/>
              <w:right w:val="single" w:sz="4" w:space="0" w:color="auto"/>
            </w:tcBorders>
            <w:shd w:val="clear" w:color="auto" w:fill="auto"/>
            <w:vAlign w:val="bottom"/>
            <w:hideMark/>
          </w:tcPr>
          <w:p w14:paraId="1533B6E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$132,716.00 </w:t>
            </w:r>
          </w:p>
        </w:tc>
        <w:tc>
          <w:tcPr>
            <w:tcW w:w="1170" w:type="dxa"/>
            <w:tcBorders>
              <w:top w:val="nil"/>
              <w:left w:val="nil"/>
              <w:bottom w:val="single" w:sz="4" w:space="0" w:color="auto"/>
              <w:right w:val="single" w:sz="4" w:space="0" w:color="auto"/>
            </w:tcBorders>
            <w:shd w:val="clear" w:color="auto" w:fill="auto"/>
            <w:vAlign w:val="bottom"/>
            <w:hideMark/>
          </w:tcPr>
          <w:p w14:paraId="7BFD7E8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63.70%</w:t>
            </w:r>
          </w:p>
        </w:tc>
        <w:tc>
          <w:tcPr>
            <w:tcW w:w="1710" w:type="dxa"/>
            <w:tcBorders>
              <w:top w:val="nil"/>
              <w:left w:val="nil"/>
              <w:bottom w:val="single" w:sz="4" w:space="0" w:color="auto"/>
              <w:right w:val="single" w:sz="4" w:space="0" w:color="auto"/>
            </w:tcBorders>
            <w:shd w:val="clear" w:color="auto" w:fill="auto"/>
            <w:vAlign w:val="bottom"/>
            <w:hideMark/>
          </w:tcPr>
          <w:p w14:paraId="46ED1355"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100B8690"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2535FE42"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58</w:t>
            </w:r>
          </w:p>
        </w:tc>
        <w:tc>
          <w:tcPr>
            <w:tcW w:w="1260" w:type="dxa"/>
            <w:tcBorders>
              <w:top w:val="nil"/>
              <w:left w:val="nil"/>
              <w:bottom w:val="single" w:sz="4" w:space="0" w:color="auto"/>
              <w:right w:val="single" w:sz="4" w:space="0" w:color="auto"/>
            </w:tcBorders>
            <w:shd w:val="clear" w:color="auto" w:fill="auto"/>
            <w:vAlign w:val="bottom"/>
            <w:hideMark/>
          </w:tcPr>
          <w:p w14:paraId="2367E971"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31</w:t>
            </w:r>
          </w:p>
        </w:tc>
      </w:tr>
      <w:tr w:rsidR="004E249F" w:rsidRPr="004E249F" w14:paraId="6269DC65"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3A6E3F75"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3: Grants</w:t>
            </w:r>
          </w:p>
        </w:tc>
        <w:tc>
          <w:tcPr>
            <w:tcW w:w="1350" w:type="dxa"/>
            <w:tcBorders>
              <w:top w:val="nil"/>
              <w:left w:val="nil"/>
              <w:bottom w:val="single" w:sz="4" w:space="0" w:color="auto"/>
              <w:right w:val="single" w:sz="4" w:space="0" w:color="auto"/>
            </w:tcBorders>
            <w:shd w:val="clear" w:color="auto" w:fill="auto"/>
            <w:vAlign w:val="bottom"/>
            <w:hideMark/>
          </w:tcPr>
          <w:p w14:paraId="32854F4F"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$8,750.00 </w:t>
            </w:r>
          </w:p>
        </w:tc>
        <w:tc>
          <w:tcPr>
            <w:tcW w:w="1350" w:type="dxa"/>
            <w:tcBorders>
              <w:top w:val="nil"/>
              <w:left w:val="nil"/>
              <w:bottom w:val="single" w:sz="4" w:space="0" w:color="auto"/>
              <w:right w:val="single" w:sz="4" w:space="0" w:color="auto"/>
            </w:tcBorders>
            <w:shd w:val="clear" w:color="auto" w:fill="auto"/>
            <w:vAlign w:val="bottom"/>
            <w:hideMark/>
          </w:tcPr>
          <w:p w14:paraId="3F406171"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$1,500.00 </w:t>
            </w:r>
          </w:p>
        </w:tc>
        <w:tc>
          <w:tcPr>
            <w:tcW w:w="1170" w:type="dxa"/>
            <w:tcBorders>
              <w:top w:val="nil"/>
              <w:left w:val="nil"/>
              <w:bottom w:val="single" w:sz="4" w:space="0" w:color="auto"/>
              <w:right w:val="single" w:sz="4" w:space="0" w:color="auto"/>
            </w:tcBorders>
            <w:shd w:val="clear" w:color="auto" w:fill="auto"/>
            <w:vAlign w:val="bottom"/>
            <w:hideMark/>
          </w:tcPr>
          <w:p w14:paraId="23E6FA6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583.30%</w:t>
            </w:r>
          </w:p>
        </w:tc>
        <w:tc>
          <w:tcPr>
            <w:tcW w:w="1710" w:type="dxa"/>
            <w:tcBorders>
              <w:top w:val="nil"/>
              <w:left w:val="nil"/>
              <w:bottom w:val="single" w:sz="4" w:space="0" w:color="auto"/>
              <w:right w:val="single" w:sz="4" w:space="0" w:color="auto"/>
            </w:tcBorders>
            <w:shd w:val="clear" w:color="auto" w:fill="auto"/>
            <w:vAlign w:val="bottom"/>
            <w:hideMark/>
          </w:tcPr>
          <w:p w14:paraId="6F220149"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0698379F"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189A8A08"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6</w:t>
            </w:r>
          </w:p>
        </w:tc>
        <w:tc>
          <w:tcPr>
            <w:tcW w:w="1260" w:type="dxa"/>
            <w:tcBorders>
              <w:top w:val="nil"/>
              <w:left w:val="nil"/>
              <w:bottom w:val="single" w:sz="4" w:space="0" w:color="auto"/>
              <w:right w:val="single" w:sz="4" w:space="0" w:color="auto"/>
            </w:tcBorders>
            <w:shd w:val="clear" w:color="auto" w:fill="auto"/>
            <w:vAlign w:val="bottom"/>
            <w:hideMark/>
          </w:tcPr>
          <w:p w14:paraId="7BAE2261"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w:t>
            </w:r>
          </w:p>
        </w:tc>
      </w:tr>
      <w:tr w:rsidR="004E249F" w:rsidRPr="004E249F" w14:paraId="75EECE7A" w14:textId="77777777" w:rsidTr="004E249F">
        <w:trPr>
          <w:trHeight w:val="287"/>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123903F5"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4: Corporations</w:t>
            </w:r>
          </w:p>
        </w:tc>
        <w:tc>
          <w:tcPr>
            <w:tcW w:w="1350" w:type="dxa"/>
            <w:tcBorders>
              <w:top w:val="nil"/>
              <w:left w:val="nil"/>
              <w:bottom w:val="single" w:sz="4" w:space="0" w:color="auto"/>
              <w:right w:val="single" w:sz="4" w:space="0" w:color="auto"/>
            </w:tcBorders>
            <w:shd w:val="clear" w:color="auto" w:fill="auto"/>
            <w:vAlign w:val="bottom"/>
            <w:hideMark/>
          </w:tcPr>
          <w:p w14:paraId="30598BBF"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$22,850.04 </w:t>
            </w:r>
          </w:p>
        </w:tc>
        <w:tc>
          <w:tcPr>
            <w:tcW w:w="1350" w:type="dxa"/>
            <w:tcBorders>
              <w:top w:val="nil"/>
              <w:left w:val="nil"/>
              <w:bottom w:val="single" w:sz="4" w:space="0" w:color="auto"/>
              <w:right w:val="single" w:sz="4" w:space="0" w:color="auto"/>
            </w:tcBorders>
            <w:shd w:val="clear" w:color="auto" w:fill="auto"/>
            <w:vAlign w:val="bottom"/>
            <w:hideMark/>
          </w:tcPr>
          <w:p w14:paraId="7652EBA3"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$2,269.19 </w:t>
            </w:r>
          </w:p>
        </w:tc>
        <w:tc>
          <w:tcPr>
            <w:tcW w:w="1170" w:type="dxa"/>
            <w:tcBorders>
              <w:top w:val="nil"/>
              <w:left w:val="nil"/>
              <w:bottom w:val="single" w:sz="4" w:space="0" w:color="auto"/>
              <w:right w:val="single" w:sz="4" w:space="0" w:color="auto"/>
            </w:tcBorders>
            <w:shd w:val="clear" w:color="auto" w:fill="auto"/>
            <w:vAlign w:val="bottom"/>
            <w:hideMark/>
          </w:tcPr>
          <w:p w14:paraId="6626B078"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1007.00%</w:t>
            </w:r>
          </w:p>
        </w:tc>
        <w:tc>
          <w:tcPr>
            <w:tcW w:w="1710" w:type="dxa"/>
            <w:tcBorders>
              <w:top w:val="nil"/>
              <w:left w:val="nil"/>
              <w:bottom w:val="single" w:sz="4" w:space="0" w:color="auto"/>
              <w:right w:val="single" w:sz="4" w:space="0" w:color="auto"/>
            </w:tcBorders>
            <w:shd w:val="clear" w:color="auto" w:fill="auto"/>
            <w:vAlign w:val="bottom"/>
            <w:hideMark/>
          </w:tcPr>
          <w:p w14:paraId="754CC6E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710" w:type="dxa"/>
            <w:tcBorders>
              <w:top w:val="nil"/>
              <w:left w:val="nil"/>
              <w:bottom w:val="single" w:sz="4" w:space="0" w:color="auto"/>
              <w:right w:val="single" w:sz="4" w:space="0" w:color="auto"/>
            </w:tcBorders>
            <w:shd w:val="clear" w:color="auto" w:fill="auto"/>
            <w:vAlign w:val="bottom"/>
            <w:hideMark/>
          </w:tcPr>
          <w:p w14:paraId="1D788269"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$0.00 </w:t>
            </w:r>
          </w:p>
        </w:tc>
        <w:tc>
          <w:tcPr>
            <w:tcW w:w="1260" w:type="dxa"/>
            <w:tcBorders>
              <w:top w:val="nil"/>
              <w:left w:val="nil"/>
              <w:bottom w:val="single" w:sz="4" w:space="0" w:color="auto"/>
              <w:right w:val="single" w:sz="4" w:space="0" w:color="auto"/>
            </w:tcBorders>
            <w:shd w:val="clear" w:color="auto" w:fill="auto"/>
            <w:vAlign w:val="bottom"/>
            <w:hideMark/>
          </w:tcPr>
          <w:p w14:paraId="332FC9FE"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w:t>
            </w:r>
          </w:p>
        </w:tc>
        <w:tc>
          <w:tcPr>
            <w:tcW w:w="1260" w:type="dxa"/>
            <w:tcBorders>
              <w:top w:val="nil"/>
              <w:left w:val="nil"/>
              <w:bottom w:val="single" w:sz="4" w:space="0" w:color="auto"/>
              <w:right w:val="single" w:sz="4" w:space="0" w:color="auto"/>
            </w:tcBorders>
            <w:shd w:val="clear" w:color="auto" w:fill="auto"/>
            <w:vAlign w:val="bottom"/>
            <w:hideMark/>
          </w:tcPr>
          <w:p w14:paraId="4B64D290"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7</w:t>
            </w:r>
          </w:p>
        </w:tc>
      </w:tr>
      <w:tr w:rsidR="004E249F" w:rsidRPr="004E249F" w14:paraId="74CE6D63" w14:textId="77777777" w:rsidTr="004E249F">
        <w:trPr>
          <w:trHeight w:val="290"/>
        </w:trPr>
        <w:tc>
          <w:tcPr>
            <w:tcW w:w="1710" w:type="dxa"/>
            <w:tcBorders>
              <w:top w:val="nil"/>
              <w:left w:val="single" w:sz="4" w:space="0" w:color="auto"/>
              <w:bottom w:val="single" w:sz="4" w:space="0" w:color="auto"/>
              <w:right w:val="single" w:sz="4" w:space="0" w:color="auto"/>
            </w:tcBorders>
            <w:shd w:val="clear" w:color="auto" w:fill="auto"/>
            <w:vAlign w:val="bottom"/>
            <w:hideMark/>
          </w:tcPr>
          <w:p w14:paraId="65741B4C" w14:textId="77777777"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eastAsia="Times New Roman" w:hAnsi="Calibri" w:cs="Calibri"/>
                <w:b/>
                <w:bCs/>
                <w:color w:val="000000"/>
                <w:lang w:val="en-GB" w:eastAsia="en-GB"/>
              </w:rPr>
              <w:t>5: Earned Revenue</w:t>
            </w:r>
          </w:p>
        </w:tc>
        <w:tc>
          <w:tcPr>
            <w:tcW w:w="1350" w:type="dxa"/>
            <w:tcBorders>
              <w:top w:val="nil"/>
              <w:left w:val="nil"/>
              <w:bottom w:val="single" w:sz="4" w:space="0" w:color="auto"/>
              <w:right w:val="single" w:sz="4" w:space="0" w:color="auto"/>
            </w:tcBorders>
            <w:shd w:val="clear" w:color="auto" w:fill="auto"/>
            <w:vAlign w:val="bottom"/>
            <w:hideMark/>
          </w:tcPr>
          <w:p w14:paraId="324831EA"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$1,500.82 </w:t>
            </w:r>
          </w:p>
        </w:tc>
        <w:tc>
          <w:tcPr>
            <w:tcW w:w="1350" w:type="dxa"/>
            <w:tcBorders>
              <w:top w:val="nil"/>
              <w:left w:val="nil"/>
              <w:bottom w:val="single" w:sz="4" w:space="0" w:color="auto"/>
              <w:right w:val="single" w:sz="4" w:space="0" w:color="auto"/>
            </w:tcBorders>
            <w:shd w:val="clear" w:color="auto" w:fill="auto"/>
            <w:vAlign w:val="bottom"/>
            <w:hideMark/>
          </w:tcPr>
          <w:p w14:paraId="16AFA8CA"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$7,321.79 </w:t>
            </w:r>
          </w:p>
        </w:tc>
        <w:tc>
          <w:tcPr>
            <w:tcW w:w="1170" w:type="dxa"/>
            <w:tcBorders>
              <w:top w:val="nil"/>
              <w:left w:val="nil"/>
              <w:bottom w:val="single" w:sz="4" w:space="0" w:color="auto"/>
              <w:right w:val="single" w:sz="4" w:space="0" w:color="auto"/>
            </w:tcBorders>
            <w:shd w:val="clear" w:color="auto" w:fill="auto"/>
            <w:vAlign w:val="bottom"/>
            <w:hideMark/>
          </w:tcPr>
          <w:p w14:paraId="6BEB0B7F"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20.50%</w:t>
            </w:r>
          </w:p>
        </w:tc>
        <w:tc>
          <w:tcPr>
            <w:tcW w:w="1710" w:type="dxa"/>
            <w:tcBorders>
              <w:top w:val="nil"/>
              <w:left w:val="nil"/>
              <w:bottom w:val="single" w:sz="4" w:space="0" w:color="auto"/>
              <w:right w:val="single" w:sz="4" w:space="0" w:color="auto"/>
            </w:tcBorders>
            <w:shd w:val="clear" w:color="auto" w:fill="auto"/>
            <w:vAlign w:val="bottom"/>
            <w:hideMark/>
          </w:tcPr>
          <w:p w14:paraId="3324F73B"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$989.19 </w:t>
            </w:r>
          </w:p>
        </w:tc>
        <w:tc>
          <w:tcPr>
            <w:tcW w:w="1710" w:type="dxa"/>
            <w:tcBorders>
              <w:top w:val="nil"/>
              <w:left w:val="nil"/>
              <w:bottom w:val="single" w:sz="4" w:space="0" w:color="auto"/>
              <w:right w:val="single" w:sz="4" w:space="0" w:color="auto"/>
            </w:tcBorders>
            <w:shd w:val="clear" w:color="auto" w:fill="auto"/>
            <w:vAlign w:val="bottom"/>
            <w:hideMark/>
          </w:tcPr>
          <w:p w14:paraId="2C2D6215"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 xml:space="preserve">$298.23 </w:t>
            </w:r>
          </w:p>
        </w:tc>
        <w:tc>
          <w:tcPr>
            <w:tcW w:w="1260" w:type="dxa"/>
            <w:tcBorders>
              <w:top w:val="nil"/>
              <w:left w:val="nil"/>
              <w:bottom w:val="single" w:sz="4" w:space="0" w:color="auto"/>
              <w:right w:val="single" w:sz="4" w:space="0" w:color="auto"/>
            </w:tcBorders>
            <w:shd w:val="clear" w:color="auto" w:fill="auto"/>
            <w:vAlign w:val="bottom"/>
            <w:hideMark/>
          </w:tcPr>
          <w:p w14:paraId="64189CB0"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16</w:t>
            </w:r>
          </w:p>
        </w:tc>
        <w:tc>
          <w:tcPr>
            <w:tcW w:w="1260" w:type="dxa"/>
            <w:tcBorders>
              <w:top w:val="nil"/>
              <w:left w:val="nil"/>
              <w:bottom w:val="single" w:sz="4" w:space="0" w:color="auto"/>
              <w:right w:val="single" w:sz="4" w:space="0" w:color="auto"/>
            </w:tcBorders>
            <w:shd w:val="clear" w:color="auto" w:fill="auto"/>
            <w:vAlign w:val="bottom"/>
            <w:hideMark/>
          </w:tcPr>
          <w:p w14:paraId="1F3FFCB5" w14:textId="77777777" w:rsidR="004E249F" w:rsidRPr="004E249F" w:rsidRDefault="004E249F" w:rsidP="007D19EC">
            <w:pPr>
              <w:spacing w:after="0" w:line="240" w:lineRule="auto"/>
              <w:jc w:val="right"/>
              <w:rPr>
                <w:rFonts w:ascii="Calibri" w:eastAsia="Times New Roman" w:hAnsi="Calibri" w:cs="Calibri"/>
                <w:color w:val="000000"/>
                <w:lang w:val="en-GB" w:eastAsia="en-GB"/>
              </w:rPr>
            </w:pPr>
            <w:r w:rsidRPr="004E249F">
              <w:rPr>
                <w:rFonts w:ascii="Calibri" w:eastAsia="Times New Roman" w:hAnsi="Calibri" w:cs="Calibri"/>
                <w:color w:val="000000"/>
                <w:lang w:val="en-GB" w:eastAsia="en-GB"/>
              </w:rPr>
              <w:t>43</w:t>
            </w:r>
          </w:p>
        </w:tc>
      </w:tr>
      <w:tr w:rsidR="004E249F" w:rsidRPr="004E249F" w14:paraId="5A686C4B" w14:textId="77777777" w:rsidTr="004E249F">
        <w:trPr>
          <w:trHeight w:val="290"/>
        </w:trPr>
        <w:tc>
          <w:tcPr>
            <w:tcW w:w="1710" w:type="dxa"/>
            <w:tcBorders>
              <w:top w:val="single" w:sz="4" w:space="0" w:color="auto"/>
              <w:left w:val="single" w:sz="4" w:space="0" w:color="auto"/>
              <w:bottom w:val="single" w:sz="4" w:space="0" w:color="auto"/>
              <w:right w:val="single" w:sz="4" w:space="0" w:color="auto"/>
            </w:tcBorders>
            <w:shd w:val="clear" w:color="auto" w:fill="auto"/>
            <w:vAlign w:val="bottom"/>
          </w:tcPr>
          <w:p w14:paraId="65912EE5" w14:textId="0453C5E6" w:rsidR="004E249F" w:rsidRPr="004E249F" w:rsidRDefault="004E249F" w:rsidP="007D19EC">
            <w:pPr>
              <w:spacing w:after="0" w:line="240" w:lineRule="auto"/>
              <w:rPr>
                <w:rFonts w:ascii="Calibri" w:eastAsia="Times New Roman" w:hAnsi="Calibri" w:cs="Calibri"/>
                <w:b/>
                <w:bCs/>
                <w:color w:val="000000"/>
                <w:lang w:val="en-GB" w:eastAsia="en-GB"/>
              </w:rPr>
            </w:pPr>
            <w:r w:rsidRPr="004E249F">
              <w:rPr>
                <w:rFonts w:ascii="Calibri" w:hAnsi="Calibri" w:cs="Calibri"/>
                <w:b/>
                <w:bCs/>
                <w:color w:val="000000"/>
              </w:rPr>
              <w:t>TOTAL</w:t>
            </w:r>
          </w:p>
        </w:tc>
        <w:tc>
          <w:tcPr>
            <w:tcW w:w="1350" w:type="dxa"/>
            <w:tcBorders>
              <w:top w:val="single" w:sz="4" w:space="0" w:color="auto"/>
              <w:left w:val="nil"/>
              <w:bottom w:val="single" w:sz="4" w:space="0" w:color="auto"/>
              <w:right w:val="single" w:sz="4" w:space="0" w:color="auto"/>
            </w:tcBorders>
            <w:shd w:val="clear" w:color="auto" w:fill="auto"/>
            <w:vAlign w:val="bottom"/>
          </w:tcPr>
          <w:p w14:paraId="0DC0E3BB" w14:textId="1CDBAE35"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$209,550.66 </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ED3CEC" w14:textId="32B6F871"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$232,014.55 </w:t>
            </w:r>
          </w:p>
        </w:tc>
        <w:tc>
          <w:tcPr>
            <w:tcW w:w="1170" w:type="dxa"/>
            <w:tcBorders>
              <w:top w:val="single" w:sz="4" w:space="0" w:color="auto"/>
              <w:left w:val="nil"/>
              <w:bottom w:val="single" w:sz="4" w:space="0" w:color="auto"/>
              <w:right w:val="single" w:sz="4" w:space="0" w:color="auto"/>
            </w:tcBorders>
            <w:shd w:val="clear" w:color="auto" w:fill="auto"/>
            <w:vAlign w:val="bottom"/>
          </w:tcPr>
          <w:p w14:paraId="17470839" w14:textId="3065C654"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$17.79 </w:t>
            </w:r>
          </w:p>
        </w:tc>
        <w:tc>
          <w:tcPr>
            <w:tcW w:w="1710" w:type="dxa"/>
            <w:tcBorders>
              <w:top w:val="single" w:sz="4" w:space="0" w:color="auto"/>
              <w:left w:val="nil"/>
              <w:bottom w:val="single" w:sz="4" w:space="0" w:color="auto"/>
              <w:right w:val="single" w:sz="4" w:space="0" w:color="auto"/>
            </w:tcBorders>
            <w:shd w:val="clear" w:color="auto" w:fill="auto"/>
            <w:vAlign w:val="bottom"/>
          </w:tcPr>
          <w:p w14:paraId="1B13280F" w14:textId="271AF869"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$12,675.15 </w:t>
            </w:r>
          </w:p>
        </w:tc>
        <w:tc>
          <w:tcPr>
            <w:tcW w:w="1710" w:type="dxa"/>
            <w:tcBorders>
              <w:top w:val="single" w:sz="4" w:space="0" w:color="auto"/>
              <w:left w:val="nil"/>
              <w:bottom w:val="single" w:sz="4" w:space="0" w:color="auto"/>
              <w:right w:val="single" w:sz="4" w:space="0" w:color="auto"/>
            </w:tcBorders>
            <w:shd w:val="clear" w:color="auto" w:fill="auto"/>
            <w:vAlign w:val="bottom"/>
          </w:tcPr>
          <w:p w14:paraId="48F48783" w14:textId="50B89302"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$32,385.13 </w:t>
            </w:r>
          </w:p>
        </w:tc>
        <w:tc>
          <w:tcPr>
            <w:tcW w:w="1260" w:type="dxa"/>
            <w:tcBorders>
              <w:top w:val="single" w:sz="4" w:space="0" w:color="auto"/>
              <w:left w:val="nil"/>
              <w:bottom w:val="single" w:sz="4" w:space="0" w:color="auto"/>
              <w:right w:val="single" w:sz="4" w:space="0" w:color="auto"/>
            </w:tcBorders>
            <w:shd w:val="clear" w:color="auto" w:fill="auto"/>
            <w:vAlign w:val="bottom"/>
          </w:tcPr>
          <w:p w14:paraId="67FF920A" w14:textId="53EC9CC6"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$845.00 </w:t>
            </w:r>
          </w:p>
        </w:tc>
        <w:tc>
          <w:tcPr>
            <w:tcW w:w="1260" w:type="dxa"/>
            <w:tcBorders>
              <w:top w:val="single" w:sz="4" w:space="0" w:color="auto"/>
              <w:left w:val="nil"/>
              <w:bottom w:val="single" w:sz="4" w:space="0" w:color="auto"/>
              <w:right w:val="single" w:sz="4" w:space="0" w:color="auto"/>
            </w:tcBorders>
            <w:shd w:val="clear" w:color="auto" w:fill="auto"/>
            <w:vAlign w:val="bottom"/>
          </w:tcPr>
          <w:p w14:paraId="52928796" w14:textId="37474B18" w:rsidR="004E249F" w:rsidRPr="004E249F" w:rsidRDefault="004E249F" w:rsidP="007D19EC">
            <w:pPr>
              <w:spacing w:after="0" w:line="240" w:lineRule="auto"/>
              <w:jc w:val="right"/>
              <w:rPr>
                <w:rFonts w:ascii="Calibri" w:eastAsia="Times New Roman" w:hAnsi="Calibri" w:cs="Calibri"/>
                <w:b/>
                <w:bCs/>
                <w:color w:val="000000"/>
                <w:lang w:val="en-GB" w:eastAsia="en-GB"/>
              </w:rPr>
            </w:pPr>
            <w:r w:rsidRPr="004E249F">
              <w:rPr>
                <w:rFonts w:ascii="Calibri" w:hAnsi="Calibri" w:cs="Calibri"/>
                <w:b/>
                <w:bCs/>
                <w:color w:val="000000"/>
              </w:rPr>
              <w:t xml:space="preserve">$1,097.00 </w:t>
            </w:r>
          </w:p>
        </w:tc>
      </w:tr>
    </w:tbl>
    <w:p w14:paraId="5ECFEF80" w14:textId="79E2A998" w:rsidR="00204BC2" w:rsidRDefault="00204BC2" w:rsidP="007D19EC">
      <w:pPr>
        <w:spacing w:after="0" w:line="240" w:lineRule="auto"/>
        <w:rPr>
          <w:b/>
          <w:bCs/>
        </w:rPr>
      </w:pPr>
    </w:p>
    <w:p w14:paraId="079122D6" w14:textId="65F20D88" w:rsidR="00204BC2" w:rsidRDefault="00204BC2" w:rsidP="007D19EC">
      <w:pPr>
        <w:spacing w:after="0" w:line="240" w:lineRule="auto"/>
        <w:rPr>
          <w:b/>
          <w:bCs/>
        </w:rPr>
      </w:pPr>
    </w:p>
    <w:p w14:paraId="1A319548" w14:textId="6C39CC1E" w:rsidR="009339F6" w:rsidRPr="00492E32" w:rsidRDefault="001C6460" w:rsidP="007D19EC">
      <w:pPr>
        <w:spacing w:after="0" w:line="240" w:lineRule="auto"/>
        <w:rPr>
          <w:b/>
          <w:bCs/>
          <w:sz w:val="24"/>
          <w:szCs w:val="24"/>
        </w:rPr>
      </w:pPr>
      <w:r w:rsidRPr="001959AE">
        <w:rPr>
          <w:b/>
          <w:bCs/>
          <w:sz w:val="24"/>
          <w:szCs w:val="24"/>
        </w:rPr>
        <w:t>Evaluation of FY21 (</w:t>
      </w:r>
      <w:r w:rsidR="009339F6">
        <w:rPr>
          <w:b/>
          <w:bCs/>
          <w:sz w:val="24"/>
          <w:szCs w:val="24"/>
        </w:rPr>
        <w:t>through 03/31</w:t>
      </w:r>
      <w:r w:rsidRPr="001959AE">
        <w:rPr>
          <w:b/>
          <w:bCs/>
          <w:sz w:val="24"/>
          <w:szCs w:val="24"/>
        </w:rPr>
        <w:t>/2</w:t>
      </w:r>
      <w:r w:rsidR="0038531D">
        <w:rPr>
          <w:b/>
          <w:bCs/>
          <w:sz w:val="24"/>
          <w:szCs w:val="24"/>
        </w:rPr>
        <w:t>1</w:t>
      </w:r>
      <w:r w:rsidRPr="001959AE">
        <w:rPr>
          <w:b/>
          <w:bCs/>
          <w:sz w:val="24"/>
          <w:szCs w:val="24"/>
        </w:rPr>
        <w:t>):</w:t>
      </w:r>
    </w:p>
    <w:p w14:paraId="46109FB0" w14:textId="1DB4C16B" w:rsidR="009339F6" w:rsidRDefault="009339F6" w:rsidP="007D19EC">
      <w:pPr>
        <w:spacing w:after="0" w:line="240" w:lineRule="auto"/>
      </w:pPr>
      <w:r>
        <w:t xml:space="preserve">Even with a 40% drop in income from major donors (totaling $48,000 less in donations), the overall income was only around $22,000 USD less than FY2020. In many ways, that is quite remarkable given that FY21 saw us navigating through a rarely-seen global economic downturn, stemming from the COVID-19 global pandemic, with donations to non-profits around the world hitting the lowest levels in the past decade. Coupled with cuts to staff and decreased programmatic expenses related to a pandemic-related scaling back of program activities, Starfish was actually able to allocate a substantial portion of its income towards building back our financial reserves.  </w:t>
      </w:r>
      <w:r w:rsidRPr="009339F6">
        <w:rPr>
          <w:highlight w:val="yellow"/>
        </w:rPr>
        <w:t xml:space="preserve">According to the most recent Treasurer’s report, Starfish’s reserve can now cover </w:t>
      </w:r>
      <w:r w:rsidR="00492E32">
        <w:rPr>
          <w:highlight w:val="yellow"/>
        </w:rPr>
        <w:t>8</w:t>
      </w:r>
      <w:r w:rsidRPr="009339F6">
        <w:rPr>
          <w:highlight w:val="yellow"/>
        </w:rPr>
        <w:t xml:space="preserve"> months of operations, at current operating levels.</w:t>
      </w:r>
      <w:r>
        <w:t xml:space="preserve"> </w:t>
      </w:r>
    </w:p>
    <w:p w14:paraId="3702C80B" w14:textId="00C11CAD" w:rsidR="009339F6" w:rsidRDefault="009339F6" w:rsidP="007D19EC">
      <w:pPr>
        <w:spacing w:after="0" w:line="240" w:lineRule="auto"/>
      </w:pPr>
    </w:p>
    <w:p w14:paraId="36A2A0B8" w14:textId="00588394" w:rsidR="00E502CD" w:rsidRDefault="00E502CD" w:rsidP="007D19EC">
      <w:pPr>
        <w:spacing w:after="0" w:line="240" w:lineRule="auto"/>
        <w:rPr>
          <w:b/>
          <w:bCs/>
        </w:rPr>
      </w:pPr>
    </w:p>
    <w:p w14:paraId="7F99F98F" w14:textId="48978C8C" w:rsidR="006902B9" w:rsidRDefault="006902B9" w:rsidP="007D19EC">
      <w:pPr>
        <w:spacing w:after="0" w:line="240" w:lineRule="auto"/>
        <w:rPr>
          <w:b/>
          <w:bCs/>
        </w:rPr>
      </w:pPr>
      <w:r>
        <w:rPr>
          <w:b/>
          <w:bCs/>
        </w:rPr>
        <w:t>FY21 Monthly Giving Trends</w:t>
      </w:r>
    </w:p>
    <w:p w14:paraId="78F7C500" w14:textId="2E4FD240" w:rsidR="006902B9" w:rsidRDefault="006902B9" w:rsidP="007D19EC">
      <w:pPr>
        <w:spacing w:after="0" w:line="240" w:lineRule="auto"/>
        <w:rPr>
          <w:b/>
          <w:bCs/>
        </w:rPr>
      </w:pPr>
      <w:r>
        <w:rPr>
          <w:b/>
          <w:bCs/>
          <w:noProof/>
        </w:rPr>
        <w:drawing>
          <wp:inline distT="0" distB="0" distL="0" distR="0" wp14:anchorId="3A644DEB" wp14:editId="2A7B3B48">
            <wp:extent cx="3345084" cy="2006742"/>
            <wp:effectExtent l="0" t="0" r="8255"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388395" cy="2032725"/>
                    </a:xfrm>
                    <a:prstGeom prst="rect">
                      <a:avLst/>
                    </a:prstGeom>
                  </pic:spPr>
                </pic:pic>
              </a:graphicData>
            </a:graphic>
          </wp:inline>
        </w:drawing>
      </w:r>
      <w:r w:rsidR="00DA448F">
        <w:rPr>
          <w:b/>
          <w:bCs/>
          <w:noProof/>
        </w:rPr>
        <w:drawing>
          <wp:inline distT="0" distB="0" distL="0" distR="0" wp14:anchorId="4741A2E3" wp14:editId="04E70DEE">
            <wp:extent cx="3310359" cy="1985908"/>
            <wp:effectExtent l="0" t="0" r="4445"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43360" cy="2005706"/>
                    </a:xfrm>
                    <a:prstGeom prst="rect">
                      <a:avLst/>
                    </a:prstGeom>
                  </pic:spPr>
                </pic:pic>
              </a:graphicData>
            </a:graphic>
          </wp:inline>
        </w:drawing>
      </w:r>
    </w:p>
    <w:p w14:paraId="338E845A" w14:textId="77777777" w:rsidR="006902B9" w:rsidRDefault="006902B9" w:rsidP="007D19EC">
      <w:pPr>
        <w:spacing w:after="0" w:line="240" w:lineRule="auto"/>
        <w:rPr>
          <w:b/>
          <w:bCs/>
        </w:rPr>
      </w:pPr>
    </w:p>
    <w:p w14:paraId="7D0F929A" w14:textId="2E184740" w:rsidR="00DA448F" w:rsidRDefault="006902B9" w:rsidP="007D19EC">
      <w:pPr>
        <w:spacing w:after="0" w:line="240" w:lineRule="auto"/>
      </w:pPr>
      <w:r>
        <w:t xml:space="preserve">Looking at the monthly giving trends of the last five fiscal years (FY17-FY21) we can see that FY21 is very unique in terms of donations received.  Pre-COVID (FY17-FY19), Starfish typically saw two spikes in giving, a small spike in the spring, and a larger spike in the late summer/early fall.  </w:t>
      </w:r>
      <w:commentRangeStart w:id="0"/>
      <w:r w:rsidRPr="006902B9">
        <w:rPr>
          <w:highlight w:val="yellow"/>
        </w:rPr>
        <w:t>The fall spike, the smaller spike was most likely connected to fundraising pushes at the start of the school year in Guayaquil.</w:t>
      </w:r>
      <w:r>
        <w:t xml:space="preserve">  </w:t>
      </w:r>
      <w:commentRangeEnd w:id="0"/>
      <w:r>
        <w:rPr>
          <w:rStyle w:val="CommentReference"/>
        </w:rPr>
        <w:commentReference w:id="0"/>
      </w:r>
      <w:r w:rsidRPr="006902B9">
        <w:t>In FY20 (the lime green line in the first of the two graphs above)</w:t>
      </w:r>
      <w:r w:rsidR="00DA448F">
        <w:t xml:space="preserve">, the largest giving spike was still in the early fall, but much less pronounced than in past years, with giving distributed much more evenly throughout the year.  With FY21, the largest spike came in early spring. </w:t>
      </w:r>
    </w:p>
    <w:p w14:paraId="74721F50" w14:textId="592841B0" w:rsidR="00DA448F" w:rsidRDefault="00DA448F" w:rsidP="007D19EC">
      <w:pPr>
        <w:spacing w:after="0" w:line="240" w:lineRule="auto"/>
      </w:pPr>
    </w:p>
    <w:p w14:paraId="786CE011" w14:textId="5C24E61A" w:rsidR="00DA448F" w:rsidRDefault="00DA448F" w:rsidP="007D19EC">
      <w:pPr>
        <w:spacing w:after="0" w:line="240" w:lineRule="auto"/>
      </w:pPr>
      <w:r>
        <w:lastRenderedPageBreak/>
        <w:t>It is important to note that these figures are greatly influenced by the influx of major donor funds.  To get a better idea of the ebb and flow of revenue outside of individual giving, it would be best to generate monthly data without major donor gifts included.</w:t>
      </w:r>
    </w:p>
    <w:p w14:paraId="4D94DC33" w14:textId="51EA48BE" w:rsidR="006902B9" w:rsidRDefault="006902B9" w:rsidP="007D19EC">
      <w:pPr>
        <w:spacing w:after="0" w:line="240" w:lineRule="auto"/>
      </w:pPr>
    </w:p>
    <w:p w14:paraId="23F57013" w14:textId="6321F29A" w:rsidR="004839F3" w:rsidRDefault="004839F3" w:rsidP="007D19EC">
      <w:pPr>
        <w:spacing w:after="0" w:line="240" w:lineRule="auto"/>
      </w:pPr>
    </w:p>
    <w:p w14:paraId="2864E1FA" w14:textId="35D7E172" w:rsidR="004839F3" w:rsidRPr="004839F3" w:rsidRDefault="004839F3" w:rsidP="007D19EC">
      <w:pPr>
        <w:spacing w:after="0" w:line="240" w:lineRule="auto"/>
        <w:rPr>
          <w:b/>
          <w:bCs/>
          <w:sz w:val="28"/>
          <w:szCs w:val="28"/>
          <w:u w:val="single"/>
        </w:rPr>
      </w:pPr>
      <w:r w:rsidRPr="004839F3">
        <w:rPr>
          <w:b/>
          <w:bCs/>
          <w:sz w:val="28"/>
          <w:szCs w:val="28"/>
          <w:u w:val="single"/>
        </w:rPr>
        <w:t>FY2021 Detailed Giving Analysis</w:t>
      </w:r>
    </w:p>
    <w:p w14:paraId="01B09FD3" w14:textId="77777777" w:rsidR="004839F3" w:rsidRPr="006902B9" w:rsidRDefault="004839F3" w:rsidP="007D19EC">
      <w:pPr>
        <w:spacing w:after="0" w:line="240" w:lineRule="auto"/>
      </w:pPr>
    </w:p>
    <w:p w14:paraId="3ED837B7" w14:textId="549E03A2" w:rsidR="009339F6" w:rsidRDefault="00840D23" w:rsidP="007D19EC">
      <w:pPr>
        <w:spacing w:after="0" w:line="240" w:lineRule="auto"/>
        <w:rPr>
          <w:b/>
          <w:bCs/>
        </w:rPr>
      </w:pPr>
      <w:r>
        <w:rPr>
          <w:b/>
          <w:bCs/>
        </w:rPr>
        <w:t xml:space="preserve">FY21 Fundraising </w:t>
      </w:r>
      <w:r w:rsidR="00E502CD">
        <w:rPr>
          <w:b/>
          <w:bCs/>
        </w:rPr>
        <w:t>Analysis by Giving Bucket</w:t>
      </w:r>
    </w:p>
    <w:p w14:paraId="575F25D6" w14:textId="4DAD0735" w:rsidR="0083018F" w:rsidRDefault="00A51A61" w:rsidP="007D19EC">
      <w:pPr>
        <w:spacing w:after="0" w:line="240" w:lineRule="auto"/>
        <w:rPr>
          <w:b/>
          <w:bCs/>
        </w:rPr>
      </w:pPr>
      <w:r>
        <w:rPr>
          <w:b/>
          <w:bCs/>
          <w:noProof/>
        </w:rPr>
        <w:drawing>
          <wp:inline distT="0" distB="0" distL="0" distR="0" wp14:anchorId="01FA6B3A" wp14:editId="30A08DBA">
            <wp:extent cx="3586367" cy="1991762"/>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39501" cy="2021271"/>
                    </a:xfrm>
                    <a:prstGeom prst="rect">
                      <a:avLst/>
                    </a:prstGeom>
                  </pic:spPr>
                </pic:pic>
              </a:graphicData>
            </a:graphic>
          </wp:inline>
        </w:drawing>
      </w:r>
      <w:r w:rsidR="009068B0">
        <w:rPr>
          <w:b/>
          <w:bCs/>
          <w:noProof/>
        </w:rPr>
        <w:drawing>
          <wp:inline distT="0" distB="0" distL="0" distR="0" wp14:anchorId="03D4B192" wp14:editId="504358DC">
            <wp:extent cx="3226345" cy="1979390"/>
            <wp:effectExtent l="19050" t="19050" r="12700" b="20955"/>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56731" cy="2059383"/>
                    </a:xfrm>
                    <a:prstGeom prst="rect">
                      <a:avLst/>
                    </a:prstGeom>
                    <a:ln w="3175">
                      <a:solidFill>
                        <a:schemeClr val="tx1"/>
                      </a:solidFill>
                    </a:ln>
                  </pic:spPr>
                </pic:pic>
              </a:graphicData>
            </a:graphic>
          </wp:inline>
        </w:drawing>
      </w:r>
    </w:p>
    <w:p w14:paraId="17925ADB" w14:textId="275F7573" w:rsidR="0083018F" w:rsidRDefault="0083018F" w:rsidP="007D19EC">
      <w:pPr>
        <w:spacing w:after="0" w:line="240" w:lineRule="auto"/>
        <w:rPr>
          <w:b/>
          <w:bCs/>
        </w:rPr>
      </w:pPr>
    </w:p>
    <w:p w14:paraId="739B8450" w14:textId="4DF3CA5C" w:rsidR="0083018F" w:rsidRPr="00492E32" w:rsidRDefault="00492E32" w:rsidP="007D19EC">
      <w:pPr>
        <w:spacing w:after="0" w:line="240" w:lineRule="auto"/>
      </w:pPr>
      <w:r>
        <w:t xml:space="preserve">FY 2021 marked the first year that Starfish was operating with its new </w:t>
      </w:r>
      <w:r w:rsidR="005F1017">
        <w:t xml:space="preserve">annual </w:t>
      </w:r>
      <w:r>
        <w:t>fundraising strategy format in place</w:t>
      </w:r>
      <w:r w:rsidR="005F1017">
        <w:t>, with campaigns sorted into five different giving areas or “buckets</w:t>
      </w:r>
      <w:r>
        <w:t>.</w:t>
      </w:r>
      <w:r w:rsidR="005F1017">
        <w:t>”</w:t>
      </w:r>
      <w:r>
        <w:t xml:space="preserve">  Individual giving and major donors were still the two </w:t>
      </w:r>
      <w:r w:rsidR="005F1017">
        <w:t>highest revenue</w:t>
      </w:r>
      <w:r>
        <w:t xml:space="preserve"> giving areas</w:t>
      </w:r>
      <w:r w:rsidR="005F1017">
        <w:t>.  However, w</w:t>
      </w:r>
      <w:r>
        <w:t xml:space="preserve">ith a decrease in total major donor funds from FY20 to FY21, Individual Giving did end up the largest giving area. If we take a look at the change in revenue </w:t>
      </w:r>
      <w:r w:rsidR="00DB1D8F">
        <w:t xml:space="preserve">from FY20 to FY21, </w:t>
      </w:r>
      <w:r>
        <w:t xml:space="preserve">divided out by giving bucket, corporate giving showed the most growth over the prior year, with some increases in individual giving and grants as well. </w:t>
      </w:r>
      <w:r w:rsidR="00DB1D8F">
        <w:t xml:space="preserve">Given the expected decrease in revenue in the major donors bucket, an offsetting-positive was the fact that three of the five giving “buckets” showed growth during the year, even in the midst of the pandemic. </w:t>
      </w:r>
    </w:p>
    <w:p w14:paraId="7CC3FE09" w14:textId="05F599A2" w:rsidR="00492E32" w:rsidRDefault="00492E32" w:rsidP="007D19EC">
      <w:pPr>
        <w:spacing w:after="0" w:line="240" w:lineRule="auto"/>
        <w:rPr>
          <w:b/>
          <w:bCs/>
        </w:rPr>
      </w:pPr>
    </w:p>
    <w:p w14:paraId="3A1380CB" w14:textId="77777777" w:rsidR="00492E32" w:rsidRDefault="00492E32" w:rsidP="007D19EC">
      <w:pPr>
        <w:spacing w:after="0" w:line="240" w:lineRule="auto"/>
        <w:rPr>
          <w:b/>
          <w:bCs/>
        </w:rPr>
      </w:pPr>
    </w:p>
    <w:p w14:paraId="63FE801D" w14:textId="2C9CD98E" w:rsidR="0083018F" w:rsidRDefault="0083018F" w:rsidP="007D19EC">
      <w:pPr>
        <w:spacing w:after="0" w:line="240" w:lineRule="auto"/>
        <w:rPr>
          <w:b/>
          <w:bCs/>
        </w:rPr>
      </w:pPr>
      <w:r>
        <w:rPr>
          <w:b/>
          <w:bCs/>
        </w:rPr>
        <w:t xml:space="preserve">FY21 Campaigns Analysis </w:t>
      </w:r>
    </w:p>
    <w:p w14:paraId="1852E8DE" w14:textId="77777777" w:rsidR="00586E6E" w:rsidRDefault="00586E6E" w:rsidP="007D19EC">
      <w:pPr>
        <w:spacing w:after="0" w:line="240" w:lineRule="auto"/>
        <w:rPr>
          <w:b/>
          <w:bCs/>
        </w:rPr>
      </w:pPr>
    </w:p>
    <w:p w14:paraId="787EFE9F" w14:textId="5D02179F" w:rsidR="0083018F" w:rsidRDefault="009068B0" w:rsidP="007D19EC">
      <w:pPr>
        <w:spacing w:after="0" w:line="240" w:lineRule="auto"/>
        <w:rPr>
          <w:b/>
          <w:bCs/>
        </w:rPr>
      </w:pPr>
      <w:r>
        <w:rPr>
          <w:noProof/>
        </w:rPr>
        <w:drawing>
          <wp:inline distT="0" distB="0" distL="0" distR="0" wp14:anchorId="78CFBEF8" wp14:editId="2831DFA1">
            <wp:extent cx="3933731" cy="1752076"/>
            <wp:effectExtent l="0" t="0" r="0" b="635"/>
            <wp:docPr id="5" name="Picture 5"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low confidence"/>
                    <pic:cNvPicPr/>
                  </pic:nvPicPr>
                  <pic:blipFill>
                    <a:blip r:embed="rId13">
                      <a:extLst>
                        <a:ext uri="{28A0092B-C50C-407E-A947-70E740481C1C}">
                          <a14:useLocalDpi xmlns:a14="http://schemas.microsoft.com/office/drawing/2010/main" val="0"/>
                        </a:ext>
                      </a:extLst>
                    </a:blip>
                    <a:stretch>
                      <a:fillRect/>
                    </a:stretch>
                  </pic:blipFill>
                  <pic:spPr>
                    <a:xfrm>
                      <a:off x="0" y="0"/>
                      <a:ext cx="4147836" cy="1847438"/>
                    </a:xfrm>
                    <a:prstGeom prst="rect">
                      <a:avLst/>
                    </a:prstGeom>
                  </pic:spPr>
                </pic:pic>
              </a:graphicData>
            </a:graphic>
          </wp:inline>
        </w:drawing>
      </w:r>
      <w:r>
        <w:rPr>
          <w:b/>
          <w:bCs/>
          <w:noProof/>
        </w:rPr>
        <w:drawing>
          <wp:inline distT="0" distB="0" distL="0" distR="0" wp14:anchorId="38C62912" wp14:editId="4F9BF1EC">
            <wp:extent cx="2842882" cy="1710011"/>
            <wp:effectExtent l="19050" t="19050" r="15240" b="2413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1524" cy="1781375"/>
                    </a:xfrm>
                    <a:prstGeom prst="rect">
                      <a:avLst/>
                    </a:prstGeom>
                    <a:ln w="3175">
                      <a:solidFill>
                        <a:schemeClr val="tx1"/>
                      </a:solidFill>
                    </a:ln>
                  </pic:spPr>
                </pic:pic>
              </a:graphicData>
            </a:graphic>
          </wp:inline>
        </w:drawing>
      </w:r>
    </w:p>
    <w:p w14:paraId="4A8813DC" w14:textId="616ECDAA" w:rsidR="0083018F" w:rsidRDefault="0083018F" w:rsidP="007D19EC">
      <w:pPr>
        <w:spacing w:after="0" w:line="240" w:lineRule="auto"/>
        <w:rPr>
          <w:b/>
          <w:bCs/>
        </w:rPr>
      </w:pPr>
    </w:p>
    <w:p w14:paraId="72D4DE6D" w14:textId="6B65FC79" w:rsidR="0083018F" w:rsidRDefault="0083018F" w:rsidP="007D19EC">
      <w:pPr>
        <w:spacing w:after="0" w:line="240" w:lineRule="auto"/>
        <w:rPr>
          <w:b/>
          <w:bCs/>
        </w:rPr>
      </w:pPr>
    </w:p>
    <w:p w14:paraId="429397FB" w14:textId="315CA2C7" w:rsidR="0083018F" w:rsidRDefault="005F1017" w:rsidP="007D19EC">
      <w:pPr>
        <w:spacing w:after="0" w:line="240" w:lineRule="auto"/>
      </w:pPr>
      <w:r>
        <w:t>Looking at net revenue, Starfish’s top 5 individual giving campaigns were:</w:t>
      </w:r>
    </w:p>
    <w:p w14:paraId="49DD6A8F" w14:textId="2E13A1BD" w:rsidR="005F1017" w:rsidRDefault="005F1017" w:rsidP="007D19EC">
      <w:pPr>
        <w:pStyle w:val="ListParagraph"/>
        <w:numPr>
          <w:ilvl w:val="0"/>
          <w:numId w:val="3"/>
        </w:numPr>
        <w:spacing w:after="0" w:line="240" w:lineRule="auto"/>
      </w:pPr>
      <w:r>
        <w:t>‘An Evening for the Stars’ sponsorships</w:t>
      </w:r>
    </w:p>
    <w:p w14:paraId="42309F16" w14:textId="08014DF9" w:rsidR="005F1017" w:rsidRDefault="005F1017" w:rsidP="007D19EC">
      <w:pPr>
        <w:pStyle w:val="ListParagraph"/>
        <w:numPr>
          <w:ilvl w:val="0"/>
          <w:numId w:val="3"/>
        </w:numPr>
        <w:spacing w:after="0" w:line="240" w:lineRule="auto"/>
      </w:pPr>
      <w:r>
        <w:t>Major donors not affiliated with the dinner</w:t>
      </w:r>
    </w:p>
    <w:p w14:paraId="3518F97D" w14:textId="126B4E75" w:rsidR="005F1017" w:rsidRDefault="005F1017" w:rsidP="007D19EC">
      <w:pPr>
        <w:pStyle w:val="ListParagraph"/>
        <w:numPr>
          <w:ilvl w:val="0"/>
          <w:numId w:val="3"/>
        </w:numPr>
        <w:spacing w:after="0" w:line="240" w:lineRule="auto"/>
      </w:pPr>
      <w:r>
        <w:t>Sponsor a Scholar</w:t>
      </w:r>
    </w:p>
    <w:p w14:paraId="79BD0647" w14:textId="42FC9A24" w:rsidR="005F1017" w:rsidRDefault="005F1017" w:rsidP="007D19EC">
      <w:pPr>
        <w:pStyle w:val="ListParagraph"/>
        <w:numPr>
          <w:ilvl w:val="0"/>
          <w:numId w:val="3"/>
        </w:numPr>
        <w:spacing w:after="0" w:line="240" w:lineRule="auto"/>
      </w:pPr>
      <w:r>
        <w:t>Corporate gift matching</w:t>
      </w:r>
    </w:p>
    <w:p w14:paraId="6FB238A2" w14:textId="73027D68" w:rsidR="005F1017" w:rsidRDefault="005F1017" w:rsidP="007D19EC">
      <w:pPr>
        <w:pStyle w:val="ListParagraph"/>
        <w:numPr>
          <w:ilvl w:val="0"/>
          <w:numId w:val="3"/>
        </w:numPr>
        <w:spacing w:after="0" w:line="240" w:lineRule="auto"/>
      </w:pPr>
      <w:r>
        <w:t>the December Appeal</w:t>
      </w:r>
    </w:p>
    <w:p w14:paraId="4191FDC9" w14:textId="1247EF5E" w:rsidR="005F1017" w:rsidRDefault="005F1017" w:rsidP="007D19EC">
      <w:pPr>
        <w:spacing w:after="0" w:line="240" w:lineRule="auto"/>
      </w:pPr>
    </w:p>
    <w:p w14:paraId="6CB6AD55" w14:textId="1FB7F2B3" w:rsidR="005F1017" w:rsidRDefault="005F1017" w:rsidP="007D19EC">
      <w:pPr>
        <w:spacing w:after="0" w:line="240" w:lineRule="auto"/>
      </w:pPr>
      <w:r>
        <w:t>The majority of the remainder of the campaigns were individual giving campaigns, with the exception of Grants (which was the 7</w:t>
      </w:r>
      <w:r w:rsidRPr="005F1017">
        <w:rPr>
          <w:vertAlign w:val="superscript"/>
        </w:rPr>
        <w:t>th</w:t>
      </w:r>
      <w:r>
        <w:t xml:space="preserve"> highest revenue earner). </w:t>
      </w:r>
    </w:p>
    <w:p w14:paraId="6EE67D9D" w14:textId="1B6DDFE8" w:rsidR="005F1017" w:rsidRDefault="005F1017" w:rsidP="007D19EC">
      <w:pPr>
        <w:spacing w:after="0" w:line="240" w:lineRule="auto"/>
      </w:pPr>
    </w:p>
    <w:p w14:paraId="61338219" w14:textId="172B6A34" w:rsidR="005F1017" w:rsidRDefault="005F1017" w:rsidP="007D19EC">
      <w:pPr>
        <w:spacing w:after="0" w:line="240" w:lineRule="auto"/>
      </w:pPr>
      <w:r>
        <w:t>While major donors continued to be the highest area of revenue, an analysis of growth for individual campaigns from FY20 to FY21 does show advancement in Starfish’s efforts to diversify its funding base.  The top campaigns in terms of growth in FY21 were:</w:t>
      </w:r>
    </w:p>
    <w:p w14:paraId="77960EC0" w14:textId="5E802BEC" w:rsidR="005F1017" w:rsidRDefault="005F1017" w:rsidP="007D19EC">
      <w:pPr>
        <w:pStyle w:val="ListParagraph"/>
        <w:numPr>
          <w:ilvl w:val="0"/>
          <w:numId w:val="4"/>
        </w:numPr>
        <w:spacing w:after="0" w:line="240" w:lineRule="auto"/>
      </w:pPr>
      <w:r>
        <w:t>Corporate matching donations</w:t>
      </w:r>
    </w:p>
    <w:p w14:paraId="7621DFDD" w14:textId="61A0246E" w:rsidR="005F1017" w:rsidRDefault="005F1017" w:rsidP="007D19EC">
      <w:pPr>
        <w:pStyle w:val="ListParagraph"/>
        <w:numPr>
          <w:ilvl w:val="0"/>
          <w:numId w:val="4"/>
        </w:numPr>
        <w:spacing w:after="0" w:line="240" w:lineRule="auto"/>
      </w:pPr>
      <w:r>
        <w:t>Grants</w:t>
      </w:r>
    </w:p>
    <w:p w14:paraId="57A281B4" w14:textId="430BB570" w:rsidR="005F1017" w:rsidRDefault="005F1017" w:rsidP="007D19EC">
      <w:pPr>
        <w:pStyle w:val="ListParagraph"/>
        <w:numPr>
          <w:ilvl w:val="0"/>
          <w:numId w:val="4"/>
        </w:numPr>
        <w:spacing w:after="0" w:line="240" w:lineRule="auto"/>
      </w:pPr>
      <w:r>
        <w:t>Individual donations (apart from major donors) for ‘An Evening for the Stars’</w:t>
      </w:r>
    </w:p>
    <w:p w14:paraId="333C5FDB" w14:textId="2E89D506" w:rsidR="005F1017" w:rsidRDefault="005F1017" w:rsidP="007D19EC">
      <w:pPr>
        <w:pStyle w:val="ListParagraph"/>
        <w:numPr>
          <w:ilvl w:val="0"/>
          <w:numId w:val="4"/>
        </w:numPr>
        <w:spacing w:after="0" w:line="240" w:lineRule="auto"/>
      </w:pPr>
      <w:r>
        <w:t>the individual event for Connecticut/New England donors</w:t>
      </w:r>
    </w:p>
    <w:p w14:paraId="03D2824D" w14:textId="49727CB8" w:rsidR="005F1017" w:rsidRPr="005F1017" w:rsidRDefault="005F1017" w:rsidP="007D19EC">
      <w:pPr>
        <w:pStyle w:val="ListParagraph"/>
        <w:numPr>
          <w:ilvl w:val="0"/>
          <w:numId w:val="4"/>
        </w:numPr>
        <w:spacing w:after="0" w:line="240" w:lineRule="auto"/>
      </w:pPr>
      <w:r>
        <w:t>the June Appeal</w:t>
      </w:r>
    </w:p>
    <w:p w14:paraId="5F8C004C" w14:textId="18F45847" w:rsidR="0083018F" w:rsidRDefault="0083018F" w:rsidP="007D19EC">
      <w:pPr>
        <w:spacing w:after="0" w:line="240" w:lineRule="auto"/>
        <w:rPr>
          <w:b/>
          <w:bCs/>
        </w:rPr>
      </w:pPr>
    </w:p>
    <w:p w14:paraId="70EB4826" w14:textId="223B8DAF" w:rsidR="0083018F" w:rsidRPr="0098386F" w:rsidRDefault="0098386F" w:rsidP="007D19EC">
      <w:pPr>
        <w:spacing w:after="0" w:line="240" w:lineRule="auto"/>
      </w:pPr>
      <w:r>
        <w:t>After these “top 5” campaigns, there was a drop off in growth for the remaining campaigns.  For example, the 6</w:t>
      </w:r>
      <w:r w:rsidRPr="0098386F">
        <w:rPr>
          <w:vertAlign w:val="superscript"/>
        </w:rPr>
        <w:t>th</w:t>
      </w:r>
      <w:r>
        <w:t xml:space="preserve"> place campaign in terms of growth (tickets for ‘An Evening for the Stars’) was less than half of the growth of the 5</w:t>
      </w:r>
      <w:r w:rsidRPr="0098386F">
        <w:rPr>
          <w:vertAlign w:val="superscript"/>
        </w:rPr>
        <w:t>th</w:t>
      </w:r>
      <w:r>
        <w:t xml:space="preserve"> place campaign (the June Appeal).  </w:t>
      </w:r>
    </w:p>
    <w:p w14:paraId="49756F83" w14:textId="476A5A51" w:rsidR="0083018F" w:rsidRDefault="0083018F" w:rsidP="007D19EC">
      <w:pPr>
        <w:spacing w:after="0" w:line="240" w:lineRule="auto"/>
        <w:rPr>
          <w:b/>
          <w:bCs/>
        </w:rPr>
      </w:pPr>
    </w:p>
    <w:p w14:paraId="56179E54" w14:textId="77777777" w:rsidR="004839F3" w:rsidRDefault="004839F3" w:rsidP="007D19EC">
      <w:pPr>
        <w:spacing w:after="0" w:line="240" w:lineRule="auto"/>
        <w:rPr>
          <w:b/>
          <w:bCs/>
        </w:rPr>
      </w:pPr>
    </w:p>
    <w:p w14:paraId="2C42AC52" w14:textId="1474298A" w:rsidR="00BE400F" w:rsidRPr="004839F3" w:rsidRDefault="004839F3" w:rsidP="007D19EC">
      <w:pPr>
        <w:spacing w:after="0" w:line="240" w:lineRule="auto"/>
        <w:rPr>
          <w:b/>
          <w:bCs/>
        </w:rPr>
      </w:pPr>
      <w:r>
        <w:rPr>
          <w:b/>
          <w:bCs/>
        </w:rPr>
        <w:t>FY21 Campaigns – Return on Investment</w:t>
      </w:r>
    </w:p>
    <w:p w14:paraId="67D40130" w14:textId="18CC0621" w:rsidR="0083018F" w:rsidRDefault="0083018F" w:rsidP="007D19EC">
      <w:pPr>
        <w:spacing w:after="0" w:line="240" w:lineRule="auto"/>
        <w:jc w:val="center"/>
      </w:pPr>
    </w:p>
    <w:p w14:paraId="3DF99DCD" w14:textId="155049AE" w:rsidR="0083018F" w:rsidRDefault="009068B0" w:rsidP="007D19EC">
      <w:pPr>
        <w:spacing w:after="0" w:line="240" w:lineRule="auto"/>
      </w:pPr>
      <w:r>
        <w:rPr>
          <w:noProof/>
        </w:rPr>
        <w:drawing>
          <wp:inline distT="0" distB="0" distL="0" distR="0" wp14:anchorId="0FCA733D" wp14:editId="1992FE58">
            <wp:extent cx="3422210" cy="1887287"/>
            <wp:effectExtent l="0" t="0" r="6985"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478392" cy="1918270"/>
                    </a:xfrm>
                    <a:prstGeom prst="rect">
                      <a:avLst/>
                    </a:prstGeom>
                  </pic:spPr>
                </pic:pic>
              </a:graphicData>
            </a:graphic>
          </wp:inline>
        </w:drawing>
      </w:r>
      <w:r w:rsidR="0083018F">
        <w:rPr>
          <w:noProof/>
        </w:rPr>
        <w:drawing>
          <wp:inline distT="0" distB="0" distL="0" distR="0" wp14:anchorId="1630A28A" wp14:editId="515798E6">
            <wp:extent cx="3396761" cy="1873250"/>
            <wp:effectExtent l="19050" t="19050" r="13335" b="1270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96761" cy="1873250"/>
                    </a:xfrm>
                    <a:prstGeom prst="rect">
                      <a:avLst/>
                    </a:prstGeom>
                    <a:ln w="3175">
                      <a:solidFill>
                        <a:schemeClr val="tx1"/>
                      </a:solidFill>
                    </a:ln>
                  </pic:spPr>
                </pic:pic>
              </a:graphicData>
            </a:graphic>
          </wp:inline>
        </w:drawing>
      </w:r>
    </w:p>
    <w:p w14:paraId="2B0D03F9" w14:textId="39BF59F9" w:rsidR="0083018F" w:rsidRDefault="0083018F" w:rsidP="007D19EC">
      <w:pPr>
        <w:spacing w:after="0" w:line="240" w:lineRule="auto"/>
        <w:jc w:val="center"/>
      </w:pPr>
    </w:p>
    <w:p w14:paraId="7CEB8AFB" w14:textId="39EDEDDF" w:rsidR="0083018F" w:rsidRDefault="0098386F" w:rsidP="007D19EC">
      <w:pPr>
        <w:spacing w:after="0" w:line="240" w:lineRule="auto"/>
      </w:pPr>
      <w:r>
        <w:t xml:space="preserve">A Return on Investment (ROI) analysis was done for volunteer hours invested, as seen in the graphs above. </w:t>
      </w:r>
      <w:r w:rsidR="00374AC2">
        <w:t xml:space="preserve">We recognize that volunteer hours tracking is still being fine tuned for FY22, but given that Starfish has so few paid staff, the ROI for ‘return per hour volunteered’ seems a better metric to evaluate the fundraising yields for the investment Starfish makes into each fundraising campaign. </w:t>
      </w:r>
    </w:p>
    <w:p w14:paraId="2DED6E81" w14:textId="08B51CD7" w:rsidR="00374AC2" w:rsidRDefault="00374AC2" w:rsidP="007D19EC">
      <w:pPr>
        <w:spacing w:after="0" w:line="240" w:lineRule="auto"/>
      </w:pPr>
    </w:p>
    <w:p w14:paraId="27200CA5" w14:textId="48C81065" w:rsidR="00374AC2" w:rsidRDefault="00374AC2" w:rsidP="007D19EC">
      <w:pPr>
        <w:spacing w:after="0" w:line="240" w:lineRule="auto"/>
      </w:pPr>
      <w:r>
        <w:t>The top five time-intensive campaigns for FY2021 were:</w:t>
      </w:r>
    </w:p>
    <w:p w14:paraId="3E29BFB8" w14:textId="22F030D8" w:rsidR="00374AC2" w:rsidRDefault="00374AC2" w:rsidP="007D19EC">
      <w:pPr>
        <w:pStyle w:val="ListParagraph"/>
        <w:numPr>
          <w:ilvl w:val="0"/>
          <w:numId w:val="5"/>
        </w:numPr>
        <w:spacing w:after="0" w:line="240" w:lineRule="auto"/>
      </w:pPr>
      <w:r>
        <w:t>promoting ticket sales for ‘An Evening for the Stars’</w:t>
      </w:r>
    </w:p>
    <w:p w14:paraId="6CBCA298" w14:textId="77777777" w:rsidR="00374AC2" w:rsidRDefault="00374AC2" w:rsidP="007D19EC">
      <w:pPr>
        <w:pStyle w:val="ListParagraph"/>
        <w:numPr>
          <w:ilvl w:val="0"/>
          <w:numId w:val="5"/>
        </w:numPr>
        <w:spacing w:after="0" w:line="240" w:lineRule="auto"/>
      </w:pPr>
      <w:r>
        <w:t>the auction for ‘An Evening for the Stars’</w:t>
      </w:r>
    </w:p>
    <w:p w14:paraId="57512C2F" w14:textId="7E88FB13" w:rsidR="00374AC2" w:rsidRDefault="00CF4F57" w:rsidP="007D19EC">
      <w:pPr>
        <w:pStyle w:val="ListParagraph"/>
        <w:numPr>
          <w:ilvl w:val="0"/>
          <w:numId w:val="5"/>
        </w:numPr>
        <w:spacing w:after="0" w:line="240" w:lineRule="auto"/>
      </w:pPr>
      <w:r>
        <w:t>securing sponsorships for ‘An Evening for the Stars’</w:t>
      </w:r>
    </w:p>
    <w:p w14:paraId="5D6E1D76" w14:textId="1B8D57A0" w:rsidR="00374AC2" w:rsidRDefault="00CF4F57" w:rsidP="007D19EC">
      <w:pPr>
        <w:pStyle w:val="ListParagraph"/>
        <w:numPr>
          <w:ilvl w:val="0"/>
          <w:numId w:val="5"/>
        </w:numPr>
        <w:spacing w:after="0" w:line="240" w:lineRule="auto"/>
      </w:pPr>
      <w:r>
        <w:t>promoting Sponsor a Scholar</w:t>
      </w:r>
    </w:p>
    <w:p w14:paraId="1458121B" w14:textId="18675498" w:rsidR="00CF4F57" w:rsidRDefault="00CF4F57" w:rsidP="007D19EC">
      <w:pPr>
        <w:pStyle w:val="ListParagraph"/>
        <w:numPr>
          <w:ilvl w:val="0"/>
          <w:numId w:val="5"/>
        </w:numPr>
        <w:spacing w:after="0" w:line="240" w:lineRule="auto"/>
      </w:pPr>
      <w:r>
        <w:t>launching the June Appeal</w:t>
      </w:r>
    </w:p>
    <w:p w14:paraId="4F24F8ED" w14:textId="0DD05977" w:rsidR="00CF4F57" w:rsidRDefault="00CF4F57" w:rsidP="007D19EC">
      <w:pPr>
        <w:spacing w:after="0" w:line="240" w:lineRule="auto"/>
      </w:pPr>
    </w:p>
    <w:p w14:paraId="0D04F4CA" w14:textId="6A1C9AF3" w:rsidR="0082762A" w:rsidRDefault="0082762A" w:rsidP="007D19EC">
      <w:pPr>
        <w:spacing w:after="0" w:line="240" w:lineRule="auto"/>
      </w:pPr>
      <w:r>
        <w:t>The ROI for ‘return per hour volunteered’ was calculated by dividing the net revenue for each campaign by the number of volunteer hours reported for that campaign. Based on this metric, the top 5 performing campaigns for FY2021 were:</w:t>
      </w:r>
    </w:p>
    <w:p w14:paraId="66715D27" w14:textId="7195C703" w:rsidR="0082762A" w:rsidRDefault="0082762A" w:rsidP="007D19EC">
      <w:pPr>
        <w:pStyle w:val="ListParagraph"/>
        <w:numPr>
          <w:ilvl w:val="0"/>
          <w:numId w:val="6"/>
        </w:numPr>
        <w:spacing w:after="0" w:line="240" w:lineRule="auto"/>
      </w:pPr>
      <w:r>
        <w:t>securing donations from ‘Other Major Donors’</w:t>
      </w:r>
    </w:p>
    <w:p w14:paraId="1A00AAD0" w14:textId="24E942C9" w:rsidR="0082762A" w:rsidRDefault="0082762A" w:rsidP="007D19EC">
      <w:pPr>
        <w:pStyle w:val="ListParagraph"/>
        <w:numPr>
          <w:ilvl w:val="0"/>
          <w:numId w:val="6"/>
        </w:numPr>
        <w:spacing w:after="0" w:line="240" w:lineRule="auto"/>
      </w:pPr>
      <w:r>
        <w:t>the December Appeal</w:t>
      </w:r>
    </w:p>
    <w:p w14:paraId="23B3EFDD" w14:textId="2BD5651A" w:rsidR="0082762A" w:rsidRDefault="0082762A" w:rsidP="007D19EC">
      <w:pPr>
        <w:pStyle w:val="ListParagraph"/>
        <w:numPr>
          <w:ilvl w:val="0"/>
          <w:numId w:val="6"/>
        </w:numPr>
        <w:spacing w:after="0" w:line="240" w:lineRule="auto"/>
      </w:pPr>
      <w:r>
        <w:t>Individual donations from ‘An Evening for the Stars’ (separate from sponsorships, auction sales, ticket sales, etc. for the event)</w:t>
      </w:r>
    </w:p>
    <w:p w14:paraId="67AAF62C" w14:textId="70099542" w:rsidR="0082762A" w:rsidRDefault="0082762A" w:rsidP="007D19EC">
      <w:pPr>
        <w:pStyle w:val="ListParagraph"/>
        <w:numPr>
          <w:ilvl w:val="0"/>
          <w:numId w:val="6"/>
        </w:numPr>
        <w:spacing w:after="0" w:line="240" w:lineRule="auto"/>
      </w:pPr>
      <w:r>
        <w:t>Giving Tuesday</w:t>
      </w:r>
    </w:p>
    <w:p w14:paraId="014B936B" w14:textId="0360AE83" w:rsidR="0082762A" w:rsidRDefault="0082762A" w:rsidP="007D19EC">
      <w:pPr>
        <w:pStyle w:val="ListParagraph"/>
        <w:numPr>
          <w:ilvl w:val="0"/>
          <w:numId w:val="6"/>
        </w:numPr>
        <w:spacing w:after="0" w:line="240" w:lineRule="auto"/>
      </w:pPr>
      <w:r>
        <w:t>the individual event for Connecticut/New England donors</w:t>
      </w:r>
    </w:p>
    <w:p w14:paraId="2F139B8D" w14:textId="37638EE3" w:rsidR="0082762A" w:rsidRDefault="0082762A" w:rsidP="007D19EC">
      <w:pPr>
        <w:spacing w:after="0" w:line="240" w:lineRule="auto"/>
      </w:pPr>
    </w:p>
    <w:p w14:paraId="016D6FE3" w14:textId="7DD55C4E" w:rsidR="0082762A" w:rsidRDefault="0082762A" w:rsidP="007D19EC">
      <w:pPr>
        <w:spacing w:after="0" w:line="240" w:lineRule="auto"/>
      </w:pPr>
      <w:r>
        <w:t xml:space="preserve">Overall, a few general positives was the continued efficiency of campaigns like the December appeal and Giving Tuesday.  We would also consider the CT/NE event a notable success, not only because the Starfish’s did seem to </w:t>
      </w:r>
      <w:r>
        <w:lastRenderedPageBreak/>
        <w:t>achieve its goal of growing the donor base in a new region outside of Maryland, but also in terms of efficient ROI</w:t>
      </w:r>
      <w:r w:rsidR="00DB1D8F">
        <w:t xml:space="preserve"> and growth over similar campaigns in FY20. </w:t>
      </w:r>
    </w:p>
    <w:p w14:paraId="6CE55CD9" w14:textId="3627D995" w:rsidR="0098386F" w:rsidRDefault="0098386F" w:rsidP="007D19EC">
      <w:pPr>
        <w:spacing w:after="0" w:line="240" w:lineRule="auto"/>
      </w:pPr>
    </w:p>
    <w:p w14:paraId="31D30092" w14:textId="1A9CBBBD" w:rsidR="0098386F" w:rsidRDefault="0098386F" w:rsidP="007D19EC">
      <w:pPr>
        <w:spacing w:after="0" w:line="240" w:lineRule="auto"/>
        <w:rPr>
          <w:b/>
          <w:bCs/>
        </w:rPr>
      </w:pPr>
      <w:r w:rsidRPr="0098386F">
        <w:rPr>
          <w:b/>
          <w:bCs/>
          <w:highlight w:val="yellow"/>
        </w:rPr>
        <w:t>[NOTE – we have not run an ROI analysis for ‘return per dollar spent’ – in part because with everything virtual this year, the costs were so low.  But we can run one if the AC wants it).</w:t>
      </w:r>
      <w:r>
        <w:rPr>
          <w:b/>
          <w:bCs/>
        </w:rPr>
        <w:t xml:space="preserve"> </w:t>
      </w:r>
    </w:p>
    <w:p w14:paraId="09DB0865" w14:textId="32DDD027" w:rsidR="00CF4F57" w:rsidRDefault="00CF4F57" w:rsidP="007D19EC">
      <w:pPr>
        <w:spacing w:after="0" w:line="240" w:lineRule="auto"/>
        <w:rPr>
          <w:b/>
          <w:bCs/>
        </w:rPr>
      </w:pPr>
    </w:p>
    <w:p w14:paraId="02872A42" w14:textId="028994BF" w:rsidR="00CF4F57" w:rsidRPr="0098386F" w:rsidRDefault="00CF4F57" w:rsidP="007D19EC">
      <w:pPr>
        <w:spacing w:after="0" w:line="240" w:lineRule="auto"/>
        <w:rPr>
          <w:b/>
          <w:bCs/>
        </w:rPr>
      </w:pPr>
      <w:r w:rsidRPr="00CF4F57">
        <w:rPr>
          <w:b/>
          <w:bCs/>
          <w:highlight w:val="yellow"/>
        </w:rPr>
        <w:t>We also have not done an analysis where we aggregate all the numbers (revenue, volunteer hours, etc) for the dinner into one category, but we could if there was a specific campaign, or a few specific campaigns, that you wanted to make a comparison with.</w:t>
      </w:r>
    </w:p>
    <w:p w14:paraId="4E26C542" w14:textId="77777777" w:rsidR="0098386F" w:rsidRDefault="0098386F" w:rsidP="007D19EC">
      <w:pPr>
        <w:spacing w:after="0" w:line="240" w:lineRule="auto"/>
      </w:pPr>
    </w:p>
    <w:sectPr w:rsidR="0098386F" w:rsidSect="002366FE">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urvi Patel" w:date="2021-06-06T22:20:00Z" w:initials="PP">
    <w:p w14:paraId="50D5C5F4" w14:textId="24085860" w:rsidR="006902B9" w:rsidRDefault="006902B9">
      <w:pPr>
        <w:pStyle w:val="CommentText"/>
      </w:pPr>
      <w:r>
        <w:rPr>
          <w:rStyle w:val="CommentReference"/>
        </w:rPr>
        <w:annotationRef/>
      </w:r>
      <w:r>
        <w:t>Is this a fair assumption?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5C5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7C8B5" w16cex:dateUtc="2021-06-07T0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5C5F4" w16cid:durableId="2467C8B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C7BD5"/>
    <w:multiLevelType w:val="hybridMultilevel"/>
    <w:tmpl w:val="F424A9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60F3D5B"/>
    <w:multiLevelType w:val="hybridMultilevel"/>
    <w:tmpl w:val="0366D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FE16E4"/>
    <w:multiLevelType w:val="hybridMultilevel"/>
    <w:tmpl w:val="9940AB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E4D18EF"/>
    <w:multiLevelType w:val="hybridMultilevel"/>
    <w:tmpl w:val="813A1A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C049D1"/>
    <w:multiLevelType w:val="hybridMultilevel"/>
    <w:tmpl w:val="1640F7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AB1915"/>
    <w:multiLevelType w:val="hybridMultilevel"/>
    <w:tmpl w:val="E9CAB2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urvi Patel">
    <w15:presenceInfo w15:providerId="Windows Live" w15:userId="e069e7edda4a30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215"/>
    <w:rsid w:val="00033215"/>
    <w:rsid w:val="00057836"/>
    <w:rsid w:val="00091592"/>
    <w:rsid w:val="001321EC"/>
    <w:rsid w:val="001339DD"/>
    <w:rsid w:val="00145B18"/>
    <w:rsid w:val="001959AE"/>
    <w:rsid w:val="001A65D4"/>
    <w:rsid w:val="001C6460"/>
    <w:rsid w:val="001E0211"/>
    <w:rsid w:val="00204BC2"/>
    <w:rsid w:val="002366FE"/>
    <w:rsid w:val="0024554C"/>
    <w:rsid w:val="00251770"/>
    <w:rsid w:val="002E537D"/>
    <w:rsid w:val="00313C7A"/>
    <w:rsid w:val="00374AC2"/>
    <w:rsid w:val="0038531D"/>
    <w:rsid w:val="0039139D"/>
    <w:rsid w:val="00453993"/>
    <w:rsid w:val="004839F3"/>
    <w:rsid w:val="00492E32"/>
    <w:rsid w:val="004D1ECC"/>
    <w:rsid w:val="004E249F"/>
    <w:rsid w:val="004F470C"/>
    <w:rsid w:val="00586E6E"/>
    <w:rsid w:val="00596A03"/>
    <w:rsid w:val="005C6389"/>
    <w:rsid w:val="005F1017"/>
    <w:rsid w:val="005F7133"/>
    <w:rsid w:val="00601FEB"/>
    <w:rsid w:val="006408BE"/>
    <w:rsid w:val="00673F4E"/>
    <w:rsid w:val="006902B9"/>
    <w:rsid w:val="007749B1"/>
    <w:rsid w:val="007D19EC"/>
    <w:rsid w:val="0082762A"/>
    <w:rsid w:val="0083018F"/>
    <w:rsid w:val="00840D23"/>
    <w:rsid w:val="00877D85"/>
    <w:rsid w:val="00882889"/>
    <w:rsid w:val="009068B0"/>
    <w:rsid w:val="009339F6"/>
    <w:rsid w:val="0098386F"/>
    <w:rsid w:val="009D1B5D"/>
    <w:rsid w:val="00A51A61"/>
    <w:rsid w:val="00AB2BEF"/>
    <w:rsid w:val="00AD4964"/>
    <w:rsid w:val="00B61132"/>
    <w:rsid w:val="00BD076E"/>
    <w:rsid w:val="00BE400F"/>
    <w:rsid w:val="00C41BBF"/>
    <w:rsid w:val="00CF4F57"/>
    <w:rsid w:val="00CF7344"/>
    <w:rsid w:val="00D00F9F"/>
    <w:rsid w:val="00DA448F"/>
    <w:rsid w:val="00DB1D8F"/>
    <w:rsid w:val="00E502CD"/>
    <w:rsid w:val="00EB3D36"/>
    <w:rsid w:val="00FB3983"/>
    <w:rsid w:val="00FE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AC2D"/>
  <w15:chartTrackingRefBased/>
  <w15:docId w15:val="{D2DEF892-54A1-4487-9632-4777E5ECC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D85"/>
    <w:pPr>
      <w:ind w:left="720"/>
      <w:contextualSpacing/>
    </w:pPr>
  </w:style>
  <w:style w:type="table" w:styleId="TableGrid">
    <w:name w:val="Table Grid"/>
    <w:basedOn w:val="TableNormal"/>
    <w:uiPriority w:val="39"/>
    <w:rsid w:val="00774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02B9"/>
    <w:rPr>
      <w:sz w:val="16"/>
      <w:szCs w:val="16"/>
    </w:rPr>
  </w:style>
  <w:style w:type="paragraph" w:styleId="CommentText">
    <w:name w:val="annotation text"/>
    <w:basedOn w:val="Normal"/>
    <w:link w:val="CommentTextChar"/>
    <w:uiPriority w:val="99"/>
    <w:semiHidden/>
    <w:unhideWhenUsed/>
    <w:rsid w:val="006902B9"/>
    <w:pPr>
      <w:spacing w:line="240" w:lineRule="auto"/>
    </w:pPr>
    <w:rPr>
      <w:sz w:val="20"/>
      <w:szCs w:val="20"/>
    </w:rPr>
  </w:style>
  <w:style w:type="character" w:customStyle="1" w:styleId="CommentTextChar">
    <w:name w:val="Comment Text Char"/>
    <w:basedOn w:val="DefaultParagraphFont"/>
    <w:link w:val="CommentText"/>
    <w:uiPriority w:val="99"/>
    <w:semiHidden/>
    <w:rsid w:val="006902B9"/>
    <w:rPr>
      <w:sz w:val="20"/>
      <w:szCs w:val="20"/>
    </w:rPr>
  </w:style>
  <w:style w:type="paragraph" w:styleId="CommentSubject">
    <w:name w:val="annotation subject"/>
    <w:basedOn w:val="CommentText"/>
    <w:next w:val="CommentText"/>
    <w:link w:val="CommentSubjectChar"/>
    <w:uiPriority w:val="99"/>
    <w:semiHidden/>
    <w:unhideWhenUsed/>
    <w:rsid w:val="006902B9"/>
    <w:rPr>
      <w:b/>
      <w:bCs/>
    </w:rPr>
  </w:style>
  <w:style w:type="character" w:customStyle="1" w:styleId="CommentSubjectChar">
    <w:name w:val="Comment Subject Char"/>
    <w:basedOn w:val="CommentTextChar"/>
    <w:link w:val="CommentSubject"/>
    <w:uiPriority w:val="99"/>
    <w:semiHidden/>
    <w:rsid w:val="006902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0015">
      <w:bodyDiv w:val="1"/>
      <w:marLeft w:val="0"/>
      <w:marRight w:val="0"/>
      <w:marTop w:val="0"/>
      <w:marBottom w:val="0"/>
      <w:divBdr>
        <w:top w:val="none" w:sz="0" w:space="0" w:color="auto"/>
        <w:left w:val="none" w:sz="0" w:space="0" w:color="auto"/>
        <w:bottom w:val="none" w:sz="0" w:space="0" w:color="auto"/>
        <w:right w:val="none" w:sz="0" w:space="0" w:color="auto"/>
      </w:divBdr>
    </w:div>
    <w:div w:id="163059647">
      <w:bodyDiv w:val="1"/>
      <w:marLeft w:val="0"/>
      <w:marRight w:val="0"/>
      <w:marTop w:val="0"/>
      <w:marBottom w:val="0"/>
      <w:divBdr>
        <w:top w:val="none" w:sz="0" w:space="0" w:color="auto"/>
        <w:left w:val="none" w:sz="0" w:space="0" w:color="auto"/>
        <w:bottom w:val="none" w:sz="0" w:space="0" w:color="auto"/>
        <w:right w:val="none" w:sz="0" w:space="0" w:color="auto"/>
      </w:divBdr>
    </w:div>
    <w:div w:id="355733274">
      <w:bodyDiv w:val="1"/>
      <w:marLeft w:val="0"/>
      <w:marRight w:val="0"/>
      <w:marTop w:val="0"/>
      <w:marBottom w:val="0"/>
      <w:divBdr>
        <w:top w:val="none" w:sz="0" w:space="0" w:color="auto"/>
        <w:left w:val="none" w:sz="0" w:space="0" w:color="auto"/>
        <w:bottom w:val="none" w:sz="0" w:space="0" w:color="auto"/>
        <w:right w:val="none" w:sz="0" w:space="0" w:color="auto"/>
      </w:divBdr>
    </w:div>
    <w:div w:id="430007730">
      <w:bodyDiv w:val="1"/>
      <w:marLeft w:val="0"/>
      <w:marRight w:val="0"/>
      <w:marTop w:val="0"/>
      <w:marBottom w:val="0"/>
      <w:divBdr>
        <w:top w:val="none" w:sz="0" w:space="0" w:color="auto"/>
        <w:left w:val="none" w:sz="0" w:space="0" w:color="auto"/>
        <w:bottom w:val="none" w:sz="0" w:space="0" w:color="auto"/>
        <w:right w:val="none" w:sz="0" w:space="0" w:color="auto"/>
      </w:divBdr>
    </w:div>
    <w:div w:id="641695672">
      <w:bodyDiv w:val="1"/>
      <w:marLeft w:val="0"/>
      <w:marRight w:val="0"/>
      <w:marTop w:val="0"/>
      <w:marBottom w:val="0"/>
      <w:divBdr>
        <w:top w:val="none" w:sz="0" w:space="0" w:color="auto"/>
        <w:left w:val="none" w:sz="0" w:space="0" w:color="auto"/>
        <w:bottom w:val="none" w:sz="0" w:space="0" w:color="auto"/>
        <w:right w:val="none" w:sz="0" w:space="0" w:color="auto"/>
      </w:divBdr>
    </w:div>
    <w:div w:id="1274829329">
      <w:bodyDiv w:val="1"/>
      <w:marLeft w:val="0"/>
      <w:marRight w:val="0"/>
      <w:marTop w:val="0"/>
      <w:marBottom w:val="0"/>
      <w:divBdr>
        <w:top w:val="none" w:sz="0" w:space="0" w:color="auto"/>
        <w:left w:val="none" w:sz="0" w:space="0" w:color="auto"/>
        <w:bottom w:val="none" w:sz="0" w:space="0" w:color="auto"/>
        <w:right w:val="none" w:sz="0" w:space="0" w:color="auto"/>
      </w:divBdr>
    </w:div>
    <w:div w:id="1381590843">
      <w:bodyDiv w:val="1"/>
      <w:marLeft w:val="0"/>
      <w:marRight w:val="0"/>
      <w:marTop w:val="0"/>
      <w:marBottom w:val="0"/>
      <w:divBdr>
        <w:top w:val="none" w:sz="0" w:space="0" w:color="auto"/>
        <w:left w:val="none" w:sz="0" w:space="0" w:color="auto"/>
        <w:bottom w:val="none" w:sz="0" w:space="0" w:color="auto"/>
        <w:right w:val="none" w:sz="0" w:space="0" w:color="auto"/>
      </w:divBdr>
    </w:div>
    <w:div w:id="1457286223">
      <w:bodyDiv w:val="1"/>
      <w:marLeft w:val="0"/>
      <w:marRight w:val="0"/>
      <w:marTop w:val="0"/>
      <w:marBottom w:val="0"/>
      <w:divBdr>
        <w:top w:val="none" w:sz="0" w:space="0" w:color="auto"/>
        <w:left w:val="none" w:sz="0" w:space="0" w:color="auto"/>
        <w:bottom w:val="none" w:sz="0" w:space="0" w:color="auto"/>
        <w:right w:val="none" w:sz="0" w:space="0" w:color="auto"/>
      </w:divBdr>
    </w:div>
    <w:div w:id="1535726830">
      <w:bodyDiv w:val="1"/>
      <w:marLeft w:val="0"/>
      <w:marRight w:val="0"/>
      <w:marTop w:val="0"/>
      <w:marBottom w:val="0"/>
      <w:divBdr>
        <w:top w:val="none" w:sz="0" w:space="0" w:color="auto"/>
        <w:left w:val="none" w:sz="0" w:space="0" w:color="auto"/>
        <w:bottom w:val="none" w:sz="0" w:space="0" w:color="auto"/>
        <w:right w:val="none" w:sz="0" w:space="0" w:color="auto"/>
      </w:divBdr>
    </w:div>
    <w:div w:id="1574465542">
      <w:bodyDiv w:val="1"/>
      <w:marLeft w:val="0"/>
      <w:marRight w:val="0"/>
      <w:marTop w:val="0"/>
      <w:marBottom w:val="0"/>
      <w:divBdr>
        <w:top w:val="none" w:sz="0" w:space="0" w:color="auto"/>
        <w:left w:val="none" w:sz="0" w:space="0" w:color="auto"/>
        <w:bottom w:val="none" w:sz="0" w:space="0" w:color="auto"/>
        <w:right w:val="none" w:sz="0" w:space="0" w:color="auto"/>
      </w:divBdr>
    </w:div>
    <w:div w:id="19756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image" Target="media/image7.jpeg"/><Relationship Id="rId10" Type="http://schemas.microsoft.com/office/2018/08/relationships/commentsExtensible" Target="commentsExtensible.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4</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Purvi Patel</dc:creator>
  <cp:keywords/>
  <dc:description/>
  <cp:lastModifiedBy>Purvi Patel</cp:lastModifiedBy>
  <cp:revision>11</cp:revision>
  <dcterms:created xsi:type="dcterms:W3CDTF">2021-05-07T14:33:00Z</dcterms:created>
  <dcterms:modified xsi:type="dcterms:W3CDTF">2021-06-07T03:50:00Z</dcterms:modified>
</cp:coreProperties>
</file>