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E67C5" w14:textId="77777777" w:rsidR="00C779A2" w:rsidRDefault="00C779A2" w:rsidP="00C779A2">
      <w:pPr>
        <w:pStyle w:val="Heading1"/>
        <w:jc w:val="center"/>
      </w:pPr>
      <w:r w:rsidRPr="00C779A2">
        <w:t>Risk Management Plan</w:t>
      </w:r>
    </w:p>
    <w:p w14:paraId="0D6AB448" w14:textId="77777777" w:rsidR="00C779A2" w:rsidRPr="00C779A2" w:rsidRDefault="00C779A2" w:rsidP="00C779A2"/>
    <w:p w14:paraId="29DFC5D6" w14:textId="77777777" w:rsidR="00C779A2" w:rsidRPr="00C779A2" w:rsidRDefault="00C779A2" w:rsidP="00C779A2">
      <w:r w:rsidRPr="00C779A2">
        <w:rPr>
          <w:b/>
          <w:bCs/>
        </w:rPr>
        <w:t>Project Name:</w:t>
      </w:r>
      <w:r w:rsidRPr="00C779A2">
        <w:t xml:space="preserve"> GreenLeaf Medical Delivery</w:t>
      </w:r>
    </w:p>
    <w:p w14:paraId="08B57158" w14:textId="77777777" w:rsidR="00C779A2" w:rsidRPr="00C779A2" w:rsidRDefault="00C779A2" w:rsidP="00C779A2">
      <w:pPr>
        <w:rPr>
          <w:b/>
          <w:bCs/>
        </w:rPr>
      </w:pPr>
      <w:r w:rsidRPr="00C779A2">
        <w:rPr>
          <w:b/>
          <w:bCs/>
        </w:rPr>
        <w:t>Company Name: GreenLeaf Medical Delivery</w:t>
      </w:r>
    </w:p>
    <w:p w14:paraId="33CA0533" w14:textId="77777777" w:rsidR="00C779A2" w:rsidRPr="00C779A2" w:rsidRDefault="00C779A2" w:rsidP="00C779A2">
      <w:r w:rsidRPr="00C779A2">
        <w:rPr>
          <w:b/>
          <w:bCs/>
        </w:rPr>
        <w:t>Location:</w:t>
      </w:r>
      <w:r w:rsidRPr="00C779A2">
        <w:t xml:space="preserve"> Bridgeport, CT</w:t>
      </w:r>
      <w:r w:rsidRPr="00C779A2">
        <w:br/>
      </w:r>
      <w:r w:rsidRPr="00C779A2">
        <w:rPr>
          <w:b/>
          <w:bCs/>
        </w:rPr>
        <w:t>Date:</w:t>
      </w:r>
      <w:r w:rsidRPr="00C779A2">
        <w:t xml:space="preserve"> [Insert Date]</w:t>
      </w:r>
    </w:p>
    <w:p w14:paraId="68365343" w14:textId="77777777" w:rsidR="00C779A2" w:rsidRPr="00C779A2" w:rsidRDefault="00C779A2" w:rsidP="00C779A2">
      <w:r w:rsidRPr="00C779A2">
        <w:pict w14:anchorId="6CDF9C50">
          <v:rect id="_x0000_i1098" style="width:0;height:1.5pt" o:hralign="center" o:hrstd="t" o:hr="t" fillcolor="#a0a0a0" stroked="f"/>
        </w:pict>
      </w:r>
    </w:p>
    <w:p w14:paraId="07251419" w14:textId="77777777" w:rsidR="00C779A2" w:rsidRPr="00C779A2" w:rsidRDefault="00C779A2" w:rsidP="00C779A2">
      <w:pPr>
        <w:rPr>
          <w:b/>
          <w:bCs/>
        </w:rPr>
      </w:pPr>
      <w:r w:rsidRPr="00C779A2">
        <w:rPr>
          <w:b/>
          <w:bCs/>
        </w:rPr>
        <w:t>Table of Contents</w:t>
      </w:r>
    </w:p>
    <w:p w14:paraId="3480C5FE" w14:textId="77777777" w:rsidR="00C779A2" w:rsidRPr="00C779A2" w:rsidRDefault="00C779A2" w:rsidP="00C779A2">
      <w:pPr>
        <w:numPr>
          <w:ilvl w:val="0"/>
          <w:numId w:val="1"/>
        </w:numPr>
      </w:pPr>
      <w:r w:rsidRPr="00C779A2">
        <w:t>Introduction</w:t>
      </w:r>
    </w:p>
    <w:p w14:paraId="4B3882FB" w14:textId="77777777" w:rsidR="00C779A2" w:rsidRPr="00C779A2" w:rsidRDefault="00C779A2" w:rsidP="00C779A2">
      <w:pPr>
        <w:numPr>
          <w:ilvl w:val="0"/>
          <w:numId w:val="1"/>
        </w:numPr>
      </w:pPr>
      <w:r w:rsidRPr="00C779A2">
        <w:t>Top Three Risks</w:t>
      </w:r>
    </w:p>
    <w:p w14:paraId="5205ABA1" w14:textId="77777777" w:rsidR="00C779A2" w:rsidRPr="00C779A2" w:rsidRDefault="00C779A2" w:rsidP="00C779A2">
      <w:pPr>
        <w:numPr>
          <w:ilvl w:val="0"/>
          <w:numId w:val="1"/>
        </w:numPr>
      </w:pPr>
      <w:r w:rsidRPr="00C779A2">
        <w:t>Risk Management Approach</w:t>
      </w:r>
    </w:p>
    <w:p w14:paraId="3E960E2A" w14:textId="77777777" w:rsidR="00C779A2" w:rsidRPr="00C779A2" w:rsidRDefault="00C779A2" w:rsidP="00C779A2">
      <w:pPr>
        <w:numPr>
          <w:ilvl w:val="0"/>
          <w:numId w:val="1"/>
        </w:numPr>
      </w:pPr>
      <w:r w:rsidRPr="00C779A2">
        <w:t>Risk Identification</w:t>
      </w:r>
    </w:p>
    <w:p w14:paraId="1DAA3076" w14:textId="77777777" w:rsidR="00C779A2" w:rsidRPr="00C779A2" w:rsidRDefault="00C779A2" w:rsidP="00C779A2">
      <w:pPr>
        <w:numPr>
          <w:ilvl w:val="0"/>
          <w:numId w:val="1"/>
        </w:numPr>
      </w:pPr>
      <w:r w:rsidRPr="00C779A2">
        <w:t>Risk Qualification and Prioritization</w:t>
      </w:r>
    </w:p>
    <w:p w14:paraId="2511D21F" w14:textId="77777777" w:rsidR="00C779A2" w:rsidRPr="00C779A2" w:rsidRDefault="00C779A2" w:rsidP="00C779A2">
      <w:pPr>
        <w:numPr>
          <w:ilvl w:val="0"/>
          <w:numId w:val="1"/>
        </w:numPr>
      </w:pPr>
      <w:r w:rsidRPr="00C779A2">
        <w:t>Risk Monitoring</w:t>
      </w:r>
    </w:p>
    <w:p w14:paraId="37B6AC08" w14:textId="77777777" w:rsidR="00C779A2" w:rsidRPr="00C779A2" w:rsidRDefault="00C779A2" w:rsidP="00C779A2">
      <w:pPr>
        <w:numPr>
          <w:ilvl w:val="0"/>
          <w:numId w:val="1"/>
        </w:numPr>
      </w:pPr>
      <w:r w:rsidRPr="00C779A2">
        <w:t>Risk Mitigation and Avoidance</w:t>
      </w:r>
    </w:p>
    <w:p w14:paraId="75F26E4B" w14:textId="77777777" w:rsidR="00C779A2" w:rsidRPr="00C779A2" w:rsidRDefault="00C779A2" w:rsidP="00C779A2">
      <w:pPr>
        <w:numPr>
          <w:ilvl w:val="0"/>
          <w:numId w:val="1"/>
        </w:numPr>
      </w:pPr>
      <w:r w:rsidRPr="00C779A2">
        <w:t>Risk Register</w:t>
      </w:r>
    </w:p>
    <w:p w14:paraId="707E26B5" w14:textId="77777777" w:rsidR="00C779A2" w:rsidRPr="00C779A2" w:rsidRDefault="00C779A2" w:rsidP="00C779A2">
      <w:pPr>
        <w:numPr>
          <w:ilvl w:val="0"/>
          <w:numId w:val="1"/>
        </w:numPr>
      </w:pPr>
      <w:r w:rsidRPr="00C779A2">
        <w:t>Sponsor Acceptance</w:t>
      </w:r>
    </w:p>
    <w:p w14:paraId="329FEA83" w14:textId="77777777" w:rsidR="00C779A2" w:rsidRPr="00C779A2" w:rsidRDefault="00C779A2" w:rsidP="00C779A2">
      <w:r w:rsidRPr="00C779A2">
        <w:pict w14:anchorId="597C90C3">
          <v:rect id="_x0000_i1099" style="width:0;height:1.5pt" o:hralign="center" o:hrstd="t" o:hr="t" fillcolor="#a0a0a0" stroked="f"/>
        </w:pict>
      </w:r>
    </w:p>
    <w:p w14:paraId="3BF467B3" w14:textId="77777777" w:rsidR="00C779A2" w:rsidRPr="00C779A2" w:rsidRDefault="00C779A2" w:rsidP="00C779A2">
      <w:pPr>
        <w:rPr>
          <w:b/>
          <w:bCs/>
        </w:rPr>
      </w:pPr>
      <w:r w:rsidRPr="00C779A2">
        <w:rPr>
          <w:b/>
          <w:bCs/>
        </w:rPr>
        <w:t>1. Introduction</w:t>
      </w:r>
    </w:p>
    <w:p w14:paraId="2A3B1C24" w14:textId="77777777" w:rsidR="00C779A2" w:rsidRPr="00C779A2" w:rsidRDefault="00C779A2" w:rsidP="00C779A2">
      <w:r w:rsidRPr="00C779A2">
        <w:t>The GreenLeaf Medical Delivery project is aimed at establishing a legally compliant and efficient medical marijuana delivery service. Given the regulatory, operational, and technological uncertainties, risk management is critical for the project's success. This document outlines the structured approach for identifying, assessing, and mitigating risks throughout the project lifecycle.</w:t>
      </w:r>
    </w:p>
    <w:p w14:paraId="38B349F3" w14:textId="77777777" w:rsidR="00C779A2" w:rsidRPr="00C779A2" w:rsidRDefault="00C779A2" w:rsidP="00C779A2">
      <w:r w:rsidRPr="00C779A2">
        <w:t xml:space="preserve">The project has been categorized as </w:t>
      </w:r>
      <w:r w:rsidRPr="00C779A2">
        <w:rPr>
          <w:b/>
          <w:bCs/>
        </w:rPr>
        <w:t>medium risk</w:t>
      </w:r>
      <w:r w:rsidRPr="00C779A2">
        <w:t>, with a risk score of 24 on a 100-point scale. The primary areas of risk include legal compliance, technology implementation, and logistics.</w:t>
      </w:r>
    </w:p>
    <w:p w14:paraId="5128C3F2" w14:textId="77777777" w:rsidR="00C779A2" w:rsidRPr="00C779A2" w:rsidRDefault="00C779A2" w:rsidP="00C779A2">
      <w:r w:rsidRPr="00C779A2">
        <w:lastRenderedPageBreak/>
        <w:t>Before initiating risk management, key project elements such as work scope, resource allocation, scheduling, and compliance requirements were defined.</w:t>
      </w:r>
    </w:p>
    <w:p w14:paraId="23F1FE7F" w14:textId="77777777" w:rsidR="00C779A2" w:rsidRPr="00C779A2" w:rsidRDefault="00C779A2" w:rsidP="00C779A2">
      <w:r w:rsidRPr="00C779A2">
        <w:pict w14:anchorId="1ACA71AB">
          <v:rect id="_x0000_i1100" style="width:0;height:1.5pt" o:hralign="center" o:hrstd="t" o:hr="t" fillcolor="#a0a0a0" stroked="f"/>
        </w:pict>
      </w:r>
    </w:p>
    <w:p w14:paraId="15BD10FA" w14:textId="77777777" w:rsidR="00C779A2" w:rsidRPr="00C779A2" w:rsidRDefault="00C779A2" w:rsidP="00C779A2">
      <w:pPr>
        <w:rPr>
          <w:b/>
          <w:bCs/>
        </w:rPr>
      </w:pPr>
      <w:r w:rsidRPr="00C779A2">
        <w:rPr>
          <w:b/>
          <w:bCs/>
        </w:rPr>
        <w:t>2. Top Three Risks</w:t>
      </w:r>
    </w:p>
    <w:p w14:paraId="1140FB33" w14:textId="77777777" w:rsidR="00C779A2" w:rsidRPr="00C779A2" w:rsidRDefault="00C779A2" w:rsidP="00C779A2">
      <w:r w:rsidRPr="00C779A2">
        <w:t>The following risks have been identified as having the highest probability and impact on the project:</w:t>
      </w:r>
    </w:p>
    <w:p w14:paraId="04F185BC" w14:textId="77777777" w:rsidR="00C779A2" w:rsidRPr="00C779A2" w:rsidRDefault="00C779A2" w:rsidP="00C779A2">
      <w:pPr>
        <w:numPr>
          <w:ilvl w:val="0"/>
          <w:numId w:val="2"/>
        </w:numPr>
      </w:pPr>
      <w:r w:rsidRPr="00C779A2">
        <w:rPr>
          <w:b/>
          <w:bCs/>
        </w:rPr>
        <w:t>Regulatory Compliance Delays</w:t>
      </w:r>
    </w:p>
    <w:p w14:paraId="40A4253C" w14:textId="77777777" w:rsidR="00C779A2" w:rsidRPr="00C779A2" w:rsidRDefault="00C779A2" w:rsidP="00C779A2">
      <w:pPr>
        <w:numPr>
          <w:ilvl w:val="1"/>
          <w:numId w:val="2"/>
        </w:numPr>
      </w:pPr>
      <w:r w:rsidRPr="00C779A2">
        <w:t>Risk: Unexpected delays in obtaining necessary licenses and permits.</w:t>
      </w:r>
    </w:p>
    <w:p w14:paraId="74354184" w14:textId="77777777" w:rsidR="00C779A2" w:rsidRPr="00C779A2" w:rsidRDefault="00C779A2" w:rsidP="00C779A2">
      <w:pPr>
        <w:numPr>
          <w:ilvl w:val="1"/>
          <w:numId w:val="2"/>
        </w:numPr>
      </w:pPr>
      <w:r w:rsidRPr="00C779A2">
        <w:t>Impact: Delays in project launch and potential legal consequences.</w:t>
      </w:r>
    </w:p>
    <w:p w14:paraId="3A1F532C" w14:textId="68982090" w:rsidR="00C779A2" w:rsidRPr="00C779A2" w:rsidRDefault="00C779A2" w:rsidP="00C779A2">
      <w:pPr>
        <w:numPr>
          <w:ilvl w:val="1"/>
          <w:numId w:val="2"/>
        </w:numPr>
      </w:pPr>
      <w:r w:rsidRPr="00C779A2">
        <w:t xml:space="preserve">Mitigation: Legal </w:t>
      </w:r>
      <w:r w:rsidRPr="00C779A2">
        <w:t>teams</w:t>
      </w:r>
      <w:r w:rsidRPr="00C779A2">
        <w:t xml:space="preserve"> will proactively engage with regulatory bodies and expedite paperwork submission.</w:t>
      </w:r>
    </w:p>
    <w:p w14:paraId="5EC6A051" w14:textId="77777777" w:rsidR="00C779A2" w:rsidRPr="00C779A2" w:rsidRDefault="00C779A2" w:rsidP="00C779A2">
      <w:pPr>
        <w:numPr>
          <w:ilvl w:val="0"/>
          <w:numId w:val="2"/>
        </w:numPr>
      </w:pPr>
      <w:r w:rsidRPr="00C779A2">
        <w:rPr>
          <w:b/>
          <w:bCs/>
        </w:rPr>
        <w:t>Technical Implementation Challenges</w:t>
      </w:r>
    </w:p>
    <w:p w14:paraId="05011B65" w14:textId="77777777" w:rsidR="00C779A2" w:rsidRPr="00C779A2" w:rsidRDefault="00C779A2" w:rsidP="00C779A2">
      <w:pPr>
        <w:numPr>
          <w:ilvl w:val="1"/>
          <w:numId w:val="2"/>
        </w:numPr>
      </w:pPr>
      <w:r w:rsidRPr="00C779A2">
        <w:t>Risk: Integration issues with the secure online ordering system and GPS tracking.</w:t>
      </w:r>
    </w:p>
    <w:p w14:paraId="1684AE9C" w14:textId="77777777" w:rsidR="00C779A2" w:rsidRPr="00C779A2" w:rsidRDefault="00C779A2" w:rsidP="00C779A2">
      <w:pPr>
        <w:numPr>
          <w:ilvl w:val="1"/>
          <w:numId w:val="2"/>
        </w:numPr>
      </w:pPr>
      <w:r w:rsidRPr="00C779A2">
        <w:t>Impact: Service disruptions and compromised security.</w:t>
      </w:r>
    </w:p>
    <w:p w14:paraId="7B2B63FF" w14:textId="77777777" w:rsidR="00C779A2" w:rsidRPr="00C779A2" w:rsidRDefault="00C779A2" w:rsidP="00C779A2">
      <w:pPr>
        <w:numPr>
          <w:ilvl w:val="1"/>
          <w:numId w:val="2"/>
        </w:numPr>
      </w:pPr>
      <w:r w:rsidRPr="00C779A2">
        <w:t>Mitigation: Conduct phased testing, employ experienced developers, and implement contingency plans.</w:t>
      </w:r>
    </w:p>
    <w:p w14:paraId="4AA818DC" w14:textId="77777777" w:rsidR="00C779A2" w:rsidRPr="00C779A2" w:rsidRDefault="00C779A2" w:rsidP="00C779A2">
      <w:pPr>
        <w:numPr>
          <w:ilvl w:val="0"/>
          <w:numId w:val="2"/>
        </w:numPr>
      </w:pPr>
      <w:r w:rsidRPr="00C779A2">
        <w:rPr>
          <w:b/>
          <w:bCs/>
        </w:rPr>
        <w:t>Driver Shortages and Training Delays</w:t>
      </w:r>
    </w:p>
    <w:p w14:paraId="2DCE8711" w14:textId="77777777" w:rsidR="00C779A2" w:rsidRPr="00C779A2" w:rsidRDefault="00C779A2" w:rsidP="00C779A2">
      <w:pPr>
        <w:numPr>
          <w:ilvl w:val="1"/>
          <w:numId w:val="2"/>
        </w:numPr>
      </w:pPr>
      <w:r w:rsidRPr="00C779A2">
        <w:t>Risk: Inability to hire and train sufficient delivery personnel.</w:t>
      </w:r>
    </w:p>
    <w:p w14:paraId="6720542A" w14:textId="77777777" w:rsidR="00C779A2" w:rsidRPr="00C779A2" w:rsidRDefault="00C779A2" w:rsidP="00C779A2">
      <w:pPr>
        <w:numPr>
          <w:ilvl w:val="1"/>
          <w:numId w:val="2"/>
        </w:numPr>
      </w:pPr>
      <w:r w:rsidRPr="00C779A2">
        <w:t>Impact: Inadequate service coverage and customer dissatisfaction.</w:t>
      </w:r>
    </w:p>
    <w:p w14:paraId="5E49C9EA" w14:textId="77777777" w:rsidR="00C779A2" w:rsidRPr="00C779A2" w:rsidRDefault="00C779A2" w:rsidP="00C779A2">
      <w:pPr>
        <w:numPr>
          <w:ilvl w:val="1"/>
          <w:numId w:val="2"/>
        </w:numPr>
      </w:pPr>
      <w:r w:rsidRPr="00C779A2">
        <w:t>Mitigation: Launch early recruitment campaigns and offer competitive incentives.</w:t>
      </w:r>
    </w:p>
    <w:p w14:paraId="4FD3FD1C" w14:textId="77777777" w:rsidR="00C779A2" w:rsidRPr="00C779A2" w:rsidRDefault="00C779A2" w:rsidP="00C779A2">
      <w:r w:rsidRPr="00C779A2">
        <w:pict w14:anchorId="63776504">
          <v:rect id="_x0000_i1101" style="width:0;height:1.5pt" o:hralign="center" o:hrstd="t" o:hr="t" fillcolor="#a0a0a0" stroked="f"/>
        </w:pict>
      </w:r>
    </w:p>
    <w:p w14:paraId="12A1F29E" w14:textId="77777777" w:rsidR="00C779A2" w:rsidRPr="00C779A2" w:rsidRDefault="00C779A2" w:rsidP="00C779A2">
      <w:pPr>
        <w:rPr>
          <w:b/>
          <w:bCs/>
        </w:rPr>
      </w:pPr>
      <w:r w:rsidRPr="00C779A2">
        <w:rPr>
          <w:b/>
          <w:bCs/>
        </w:rPr>
        <w:t>3. Risk Management Approach</w:t>
      </w:r>
    </w:p>
    <w:p w14:paraId="69E549E6" w14:textId="77777777" w:rsidR="00C779A2" w:rsidRPr="00C779A2" w:rsidRDefault="00C779A2" w:rsidP="00C779A2">
      <w:r w:rsidRPr="00C779A2">
        <w:t>The risk management strategy involves:</w:t>
      </w:r>
    </w:p>
    <w:p w14:paraId="1C50E6BB" w14:textId="77777777" w:rsidR="00C779A2" w:rsidRPr="00C779A2" w:rsidRDefault="00C779A2" w:rsidP="00C779A2">
      <w:pPr>
        <w:numPr>
          <w:ilvl w:val="0"/>
          <w:numId w:val="3"/>
        </w:numPr>
      </w:pPr>
      <w:r w:rsidRPr="00C779A2">
        <w:t>Systematic identification, ranking, and scoring of risks.</w:t>
      </w:r>
    </w:p>
    <w:p w14:paraId="66B0562B" w14:textId="77777777" w:rsidR="00C779A2" w:rsidRPr="00C779A2" w:rsidRDefault="00C779A2" w:rsidP="00C779A2">
      <w:pPr>
        <w:numPr>
          <w:ilvl w:val="0"/>
          <w:numId w:val="3"/>
        </w:numPr>
      </w:pPr>
      <w:r w:rsidRPr="00C779A2">
        <w:t>Assignment of mitigation strategies and responsible risk managers.</w:t>
      </w:r>
    </w:p>
    <w:p w14:paraId="15E69F58" w14:textId="77777777" w:rsidR="00C779A2" w:rsidRPr="00C779A2" w:rsidRDefault="00C779A2" w:rsidP="00C779A2">
      <w:pPr>
        <w:numPr>
          <w:ilvl w:val="0"/>
          <w:numId w:val="3"/>
        </w:numPr>
      </w:pPr>
      <w:r w:rsidRPr="00C779A2">
        <w:t>Regular monitoring of risks through bi-weekly meetings.</w:t>
      </w:r>
    </w:p>
    <w:p w14:paraId="4B7B9FC7" w14:textId="77777777" w:rsidR="00C779A2" w:rsidRPr="00C779A2" w:rsidRDefault="00C779A2" w:rsidP="00C779A2">
      <w:pPr>
        <w:numPr>
          <w:ilvl w:val="0"/>
          <w:numId w:val="3"/>
        </w:numPr>
      </w:pPr>
      <w:r w:rsidRPr="00C779A2">
        <w:lastRenderedPageBreak/>
        <w:t>Lessons learned analysis post-project to refine future risk management processes.</w:t>
      </w:r>
    </w:p>
    <w:p w14:paraId="60AD6098" w14:textId="77777777" w:rsidR="00C779A2" w:rsidRPr="00C779A2" w:rsidRDefault="00C779A2" w:rsidP="00C779A2">
      <w:r w:rsidRPr="00C779A2">
        <w:pict w14:anchorId="766B379F">
          <v:rect id="_x0000_i1102" style="width:0;height:1.5pt" o:hralign="center" o:hrstd="t" o:hr="t" fillcolor="#a0a0a0" stroked="f"/>
        </w:pict>
      </w:r>
    </w:p>
    <w:p w14:paraId="765F961C" w14:textId="77777777" w:rsidR="00C779A2" w:rsidRPr="00C779A2" w:rsidRDefault="00C779A2" w:rsidP="00C779A2">
      <w:pPr>
        <w:rPr>
          <w:b/>
          <w:bCs/>
        </w:rPr>
      </w:pPr>
      <w:r w:rsidRPr="00C779A2">
        <w:rPr>
          <w:b/>
          <w:bCs/>
        </w:rPr>
        <w:t>4. Risk Identification</w:t>
      </w:r>
    </w:p>
    <w:p w14:paraId="4C0EA9C8" w14:textId="77777777" w:rsidR="00C779A2" w:rsidRPr="00C779A2" w:rsidRDefault="00C779A2" w:rsidP="00C779A2">
      <w:r w:rsidRPr="00C779A2">
        <w:t>Risks were identified through the following methods:</w:t>
      </w:r>
    </w:p>
    <w:p w14:paraId="69943000" w14:textId="77777777" w:rsidR="00C779A2" w:rsidRPr="00C779A2" w:rsidRDefault="00C779A2" w:rsidP="00C779A2">
      <w:pPr>
        <w:numPr>
          <w:ilvl w:val="0"/>
          <w:numId w:val="4"/>
        </w:numPr>
      </w:pPr>
      <w:r w:rsidRPr="00C779A2">
        <w:rPr>
          <w:b/>
          <w:bCs/>
        </w:rPr>
        <w:t>Expert Interviews:</w:t>
      </w:r>
      <w:r w:rsidRPr="00C779A2">
        <w:t xml:space="preserve"> Consulted industry professionals on legal and operational risks.</w:t>
      </w:r>
    </w:p>
    <w:p w14:paraId="750261BD" w14:textId="77777777" w:rsidR="00C779A2" w:rsidRPr="00C779A2" w:rsidRDefault="00C779A2" w:rsidP="00C779A2">
      <w:pPr>
        <w:numPr>
          <w:ilvl w:val="0"/>
          <w:numId w:val="4"/>
        </w:numPr>
      </w:pPr>
      <w:r w:rsidRPr="00C779A2">
        <w:rPr>
          <w:b/>
          <w:bCs/>
        </w:rPr>
        <w:t>Risk Assessment Meeting:</w:t>
      </w:r>
      <w:r w:rsidRPr="00C779A2">
        <w:t xml:space="preserve"> Conducted brainstorming sessions with key stakeholders.</w:t>
      </w:r>
    </w:p>
    <w:p w14:paraId="776C8585" w14:textId="77777777" w:rsidR="00C779A2" w:rsidRPr="00C779A2" w:rsidRDefault="00C779A2" w:rsidP="00C779A2">
      <w:pPr>
        <w:numPr>
          <w:ilvl w:val="0"/>
          <w:numId w:val="4"/>
        </w:numPr>
      </w:pPr>
      <w:r w:rsidRPr="00C779A2">
        <w:rPr>
          <w:b/>
          <w:bCs/>
        </w:rPr>
        <w:t>Historical Review:</w:t>
      </w:r>
      <w:r w:rsidRPr="00C779A2">
        <w:t xml:space="preserve"> Analyzed risks encountered in similar delivery service projects.</w:t>
      </w:r>
    </w:p>
    <w:p w14:paraId="194B34E2" w14:textId="77777777" w:rsidR="00C779A2" w:rsidRPr="00C779A2" w:rsidRDefault="00C779A2" w:rsidP="00C779A2">
      <w:r w:rsidRPr="00C779A2">
        <w:t xml:space="preserve">All identified risks are documented in the </w:t>
      </w:r>
      <w:r w:rsidRPr="00C779A2">
        <w:rPr>
          <w:b/>
          <w:bCs/>
        </w:rPr>
        <w:t>Risk Register</w:t>
      </w:r>
      <w:r w:rsidRPr="00C779A2">
        <w:t>.</w:t>
      </w:r>
    </w:p>
    <w:p w14:paraId="7538756D" w14:textId="77777777" w:rsidR="00C779A2" w:rsidRPr="00C779A2" w:rsidRDefault="00C779A2" w:rsidP="00C779A2">
      <w:r w:rsidRPr="00C779A2">
        <w:pict w14:anchorId="0A41C18E">
          <v:rect id="_x0000_i1103" style="width:0;height:1.5pt" o:hralign="center" o:hrstd="t" o:hr="t" fillcolor="#a0a0a0" stroked="f"/>
        </w:pict>
      </w:r>
    </w:p>
    <w:p w14:paraId="11FDC0B3" w14:textId="77777777" w:rsidR="00C779A2" w:rsidRPr="00C779A2" w:rsidRDefault="00C779A2" w:rsidP="00C779A2">
      <w:pPr>
        <w:rPr>
          <w:b/>
          <w:bCs/>
        </w:rPr>
      </w:pPr>
      <w:r w:rsidRPr="00C779A2">
        <w:rPr>
          <w:b/>
          <w:bCs/>
        </w:rPr>
        <w:t>5. Risk Qualification and Prioritization</w:t>
      </w:r>
    </w:p>
    <w:p w14:paraId="4ED64E4C" w14:textId="77777777" w:rsidR="00C779A2" w:rsidRPr="00C779A2" w:rsidRDefault="00C779A2" w:rsidP="00C779A2">
      <w:r w:rsidRPr="00C779A2">
        <w:t xml:space="preserve">Risks were assessed based on </w:t>
      </w:r>
      <w:r w:rsidRPr="00C779A2">
        <w:rPr>
          <w:b/>
          <w:bCs/>
        </w:rPr>
        <w:t>probability and impact</w:t>
      </w:r>
      <w:r w:rsidRPr="00C779A2">
        <w:t>, using a probability-impact matrix. High-priority risks were included in the project schedule, ensuring mitigation measures are implemented at appropriate stages.</w:t>
      </w:r>
    </w:p>
    <w:p w14:paraId="0E868717" w14:textId="77777777" w:rsidR="00C779A2" w:rsidRPr="00C779A2" w:rsidRDefault="00C779A2" w:rsidP="00C779A2">
      <w:r w:rsidRPr="00C779A2">
        <w:pict w14:anchorId="17AB228E">
          <v:rect id="_x0000_i1104" style="width:0;height:1.5pt" o:hralign="center" o:hrstd="t" o:hr="t" fillcolor="#a0a0a0" stroked="f"/>
        </w:pict>
      </w:r>
    </w:p>
    <w:p w14:paraId="59F929C9" w14:textId="77777777" w:rsidR="00C779A2" w:rsidRPr="00C779A2" w:rsidRDefault="00C779A2" w:rsidP="00C779A2">
      <w:pPr>
        <w:rPr>
          <w:b/>
          <w:bCs/>
        </w:rPr>
      </w:pPr>
      <w:r w:rsidRPr="00C779A2">
        <w:rPr>
          <w:b/>
          <w:bCs/>
        </w:rPr>
        <w:t>6. Risk Monitoring</w:t>
      </w:r>
    </w:p>
    <w:p w14:paraId="46C4F935" w14:textId="77777777" w:rsidR="00C779A2" w:rsidRPr="00C779A2" w:rsidRDefault="00C779A2" w:rsidP="00C779A2">
      <w:pPr>
        <w:numPr>
          <w:ilvl w:val="0"/>
          <w:numId w:val="5"/>
        </w:numPr>
      </w:pPr>
      <w:r w:rsidRPr="00C779A2">
        <w:t xml:space="preserve">The </w:t>
      </w:r>
      <w:r w:rsidRPr="00C779A2">
        <w:rPr>
          <w:b/>
          <w:bCs/>
        </w:rPr>
        <w:t>Project Manager</w:t>
      </w:r>
      <w:r w:rsidRPr="00C779A2">
        <w:t xml:space="preserve"> will oversee risk monitoring throughout the project.</w:t>
      </w:r>
    </w:p>
    <w:p w14:paraId="0D994365" w14:textId="77777777" w:rsidR="00C779A2" w:rsidRPr="00C779A2" w:rsidRDefault="00C779A2" w:rsidP="00C779A2">
      <w:pPr>
        <w:numPr>
          <w:ilvl w:val="0"/>
          <w:numId w:val="5"/>
        </w:numPr>
      </w:pPr>
      <w:r w:rsidRPr="00C779A2">
        <w:t xml:space="preserve">High-priority risks will be assigned to </w:t>
      </w:r>
      <w:r w:rsidRPr="00C779A2">
        <w:rPr>
          <w:b/>
          <w:bCs/>
        </w:rPr>
        <w:t>Risk Managers</w:t>
      </w:r>
      <w:r w:rsidRPr="00C779A2">
        <w:t xml:space="preserve"> who will provide status updates during bi-weekly team meetings.</w:t>
      </w:r>
    </w:p>
    <w:p w14:paraId="4BBB24B3" w14:textId="77777777" w:rsidR="00C779A2" w:rsidRPr="00C779A2" w:rsidRDefault="00C779A2" w:rsidP="00C779A2">
      <w:pPr>
        <w:numPr>
          <w:ilvl w:val="0"/>
          <w:numId w:val="5"/>
        </w:numPr>
      </w:pPr>
      <w:r w:rsidRPr="00C779A2">
        <w:rPr>
          <w:b/>
          <w:bCs/>
        </w:rPr>
        <w:t>Trigger conditions</w:t>
      </w:r>
      <w:r w:rsidRPr="00C779A2">
        <w:t xml:space="preserve"> will be defined for each risk to ensure proactive response measures.</w:t>
      </w:r>
    </w:p>
    <w:p w14:paraId="657BCAE8" w14:textId="77777777" w:rsidR="00C779A2" w:rsidRPr="00C779A2" w:rsidRDefault="00C779A2" w:rsidP="00C779A2">
      <w:r w:rsidRPr="00C779A2">
        <w:pict w14:anchorId="1B595D62">
          <v:rect id="_x0000_i1105" style="width:0;height:1.5pt" o:hralign="center" o:hrstd="t" o:hr="t" fillcolor="#a0a0a0" stroked="f"/>
        </w:pict>
      </w:r>
    </w:p>
    <w:p w14:paraId="592404FD" w14:textId="77777777" w:rsidR="00C779A2" w:rsidRPr="00C779A2" w:rsidRDefault="00C779A2" w:rsidP="00C779A2">
      <w:pPr>
        <w:rPr>
          <w:b/>
          <w:bCs/>
        </w:rPr>
      </w:pPr>
      <w:r w:rsidRPr="00C779A2">
        <w:rPr>
          <w:b/>
          <w:bCs/>
        </w:rPr>
        <w:t>7. Risk Mitigation and Avoidance</w:t>
      </w:r>
    </w:p>
    <w:p w14:paraId="55E04E87" w14:textId="77777777" w:rsidR="00C779A2" w:rsidRPr="00C779A2" w:rsidRDefault="00C779A2" w:rsidP="00C779A2">
      <w:r w:rsidRPr="00C779A2">
        <w:t>For each high-priority risk, the following actions will be taken:</w:t>
      </w:r>
    </w:p>
    <w:p w14:paraId="19316B1C" w14:textId="77777777" w:rsidR="00C779A2" w:rsidRPr="00C779A2" w:rsidRDefault="00C779A2" w:rsidP="00C779A2">
      <w:pPr>
        <w:numPr>
          <w:ilvl w:val="0"/>
          <w:numId w:val="6"/>
        </w:numPr>
      </w:pPr>
      <w:r w:rsidRPr="00C779A2">
        <w:rPr>
          <w:b/>
          <w:bCs/>
        </w:rPr>
        <w:t>Regulatory Compliance Delays:</w:t>
      </w:r>
      <w:r w:rsidRPr="00C779A2">
        <w:t xml:space="preserve"> Continuous engagement with regulatory bodies and preemptive document submission.</w:t>
      </w:r>
    </w:p>
    <w:p w14:paraId="17E6D163" w14:textId="77777777" w:rsidR="00C779A2" w:rsidRPr="00C779A2" w:rsidRDefault="00C779A2" w:rsidP="00C779A2">
      <w:pPr>
        <w:numPr>
          <w:ilvl w:val="0"/>
          <w:numId w:val="6"/>
        </w:numPr>
      </w:pPr>
      <w:r w:rsidRPr="00C779A2">
        <w:rPr>
          <w:b/>
          <w:bCs/>
        </w:rPr>
        <w:t>Technical Challenges:</w:t>
      </w:r>
      <w:r w:rsidRPr="00C779A2">
        <w:t xml:space="preserve"> Conducting iterative testing and hiring experienced developers.</w:t>
      </w:r>
    </w:p>
    <w:p w14:paraId="0CFB8FFF" w14:textId="77777777" w:rsidR="00C779A2" w:rsidRPr="00C779A2" w:rsidRDefault="00C779A2" w:rsidP="00C779A2">
      <w:pPr>
        <w:numPr>
          <w:ilvl w:val="0"/>
          <w:numId w:val="6"/>
        </w:numPr>
      </w:pPr>
      <w:r w:rsidRPr="00C779A2">
        <w:rPr>
          <w:b/>
          <w:bCs/>
        </w:rPr>
        <w:lastRenderedPageBreak/>
        <w:t>Staffing Issues:</w:t>
      </w:r>
      <w:r w:rsidRPr="00C779A2">
        <w:t xml:space="preserve"> Early recruitment campaigns and offering retention incentives.</w:t>
      </w:r>
    </w:p>
    <w:p w14:paraId="29CFD2A0" w14:textId="77777777" w:rsidR="00C779A2" w:rsidRPr="00C779A2" w:rsidRDefault="00C779A2" w:rsidP="00C779A2">
      <w:r w:rsidRPr="00C779A2">
        <w:t>In extreme cases, additional funding may be allocated to resolve unforeseen issues, while schedule and scope flexibility will remain minimal.</w:t>
      </w:r>
    </w:p>
    <w:p w14:paraId="24D00551" w14:textId="77777777" w:rsidR="00C779A2" w:rsidRPr="00C779A2" w:rsidRDefault="00C779A2" w:rsidP="00C779A2">
      <w:r w:rsidRPr="00C779A2">
        <w:pict w14:anchorId="4E602A21">
          <v:rect id="_x0000_i1106" style="width:0;height:1.5pt" o:hralign="center" o:hrstd="t" o:hr="t" fillcolor="#a0a0a0" stroked="f"/>
        </w:pict>
      </w:r>
    </w:p>
    <w:p w14:paraId="5B68A8F3" w14:textId="77777777" w:rsidR="00C779A2" w:rsidRPr="00C779A2" w:rsidRDefault="00C779A2" w:rsidP="00C779A2">
      <w:pPr>
        <w:rPr>
          <w:b/>
          <w:bCs/>
        </w:rPr>
      </w:pPr>
      <w:r w:rsidRPr="00C779A2">
        <w:rPr>
          <w:b/>
          <w:bCs/>
        </w:rPr>
        <w:t>8. Risk Register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344"/>
        <w:gridCol w:w="1890"/>
        <w:gridCol w:w="1244"/>
        <w:gridCol w:w="907"/>
        <w:gridCol w:w="2560"/>
        <w:gridCol w:w="1099"/>
      </w:tblGrid>
      <w:tr w:rsidR="00C779A2" w:rsidRPr="00C779A2" w14:paraId="65EAD5DF" w14:textId="77777777" w:rsidTr="00C779A2">
        <w:trPr>
          <w:tblHeader/>
          <w:tblCellSpacing w:w="15" w:type="dxa"/>
        </w:trPr>
        <w:tc>
          <w:tcPr>
            <w:tcW w:w="0" w:type="auto"/>
            <w:vAlign w:val="center"/>
            <w:hideMark/>
          </w:tcPr>
          <w:p w14:paraId="592658C7" w14:textId="77777777" w:rsidR="00C779A2" w:rsidRPr="00C779A2" w:rsidRDefault="00C779A2" w:rsidP="00C779A2">
            <w:pPr>
              <w:rPr>
                <w:b/>
                <w:bCs/>
              </w:rPr>
            </w:pPr>
            <w:r w:rsidRPr="00C779A2">
              <w:rPr>
                <w:b/>
                <w:bCs/>
              </w:rPr>
              <w:t>ID</w:t>
            </w:r>
          </w:p>
        </w:tc>
        <w:tc>
          <w:tcPr>
            <w:tcW w:w="0" w:type="auto"/>
            <w:vAlign w:val="center"/>
            <w:hideMark/>
          </w:tcPr>
          <w:p w14:paraId="2F28B6B7" w14:textId="77777777" w:rsidR="00C779A2" w:rsidRPr="00C779A2" w:rsidRDefault="00C779A2" w:rsidP="00C779A2">
            <w:pPr>
              <w:rPr>
                <w:b/>
                <w:bCs/>
              </w:rPr>
            </w:pPr>
            <w:r w:rsidRPr="00C779A2">
              <w:rPr>
                <w:b/>
                <w:bCs/>
              </w:rPr>
              <w:t>Risk Category</w:t>
            </w:r>
          </w:p>
        </w:tc>
        <w:tc>
          <w:tcPr>
            <w:tcW w:w="0" w:type="auto"/>
            <w:vAlign w:val="center"/>
            <w:hideMark/>
          </w:tcPr>
          <w:p w14:paraId="47F65DF3" w14:textId="77777777" w:rsidR="00C779A2" w:rsidRPr="00C779A2" w:rsidRDefault="00C779A2" w:rsidP="00C779A2">
            <w:pPr>
              <w:rPr>
                <w:b/>
                <w:bCs/>
              </w:rPr>
            </w:pPr>
            <w:r w:rsidRPr="00C779A2">
              <w:rPr>
                <w:b/>
                <w:bCs/>
              </w:rPr>
              <w:t>Risk Description</w:t>
            </w:r>
          </w:p>
        </w:tc>
        <w:tc>
          <w:tcPr>
            <w:tcW w:w="0" w:type="auto"/>
            <w:vAlign w:val="center"/>
            <w:hideMark/>
          </w:tcPr>
          <w:p w14:paraId="517F1A74" w14:textId="77777777" w:rsidR="00C779A2" w:rsidRPr="00C779A2" w:rsidRDefault="00C779A2" w:rsidP="00C779A2">
            <w:pPr>
              <w:rPr>
                <w:b/>
                <w:bCs/>
              </w:rPr>
            </w:pPr>
            <w:r w:rsidRPr="00C779A2">
              <w:rPr>
                <w:b/>
                <w:bCs/>
              </w:rPr>
              <w:t>Probability</w:t>
            </w:r>
          </w:p>
        </w:tc>
        <w:tc>
          <w:tcPr>
            <w:tcW w:w="0" w:type="auto"/>
            <w:vAlign w:val="center"/>
            <w:hideMark/>
          </w:tcPr>
          <w:p w14:paraId="1426B28E" w14:textId="77777777" w:rsidR="00C779A2" w:rsidRPr="00C779A2" w:rsidRDefault="00C779A2" w:rsidP="00C779A2">
            <w:pPr>
              <w:rPr>
                <w:b/>
                <w:bCs/>
              </w:rPr>
            </w:pPr>
            <w:r w:rsidRPr="00C779A2">
              <w:rPr>
                <w:b/>
                <w:bCs/>
              </w:rPr>
              <w:t>Impact</w:t>
            </w:r>
          </w:p>
        </w:tc>
        <w:tc>
          <w:tcPr>
            <w:tcW w:w="0" w:type="auto"/>
            <w:vAlign w:val="center"/>
            <w:hideMark/>
          </w:tcPr>
          <w:p w14:paraId="2B9C9FF8" w14:textId="77777777" w:rsidR="00C779A2" w:rsidRPr="00C779A2" w:rsidRDefault="00C779A2" w:rsidP="00C779A2">
            <w:pPr>
              <w:rPr>
                <w:b/>
                <w:bCs/>
              </w:rPr>
            </w:pPr>
            <w:r w:rsidRPr="00C779A2">
              <w:rPr>
                <w:b/>
                <w:bCs/>
              </w:rPr>
              <w:t>Mitigation Strategy</w:t>
            </w:r>
          </w:p>
        </w:tc>
        <w:tc>
          <w:tcPr>
            <w:tcW w:w="0" w:type="auto"/>
            <w:vAlign w:val="center"/>
            <w:hideMark/>
          </w:tcPr>
          <w:p w14:paraId="32B1B148" w14:textId="77777777" w:rsidR="00C779A2" w:rsidRPr="00C779A2" w:rsidRDefault="00C779A2" w:rsidP="00C779A2">
            <w:pPr>
              <w:rPr>
                <w:b/>
                <w:bCs/>
              </w:rPr>
            </w:pPr>
            <w:r w:rsidRPr="00C779A2">
              <w:rPr>
                <w:b/>
                <w:bCs/>
              </w:rPr>
              <w:t>Owner</w:t>
            </w:r>
          </w:p>
        </w:tc>
      </w:tr>
      <w:tr w:rsidR="00C779A2" w:rsidRPr="00C779A2" w14:paraId="40D3CCE3" w14:textId="77777777" w:rsidTr="00C779A2">
        <w:trPr>
          <w:tblCellSpacing w:w="15" w:type="dxa"/>
        </w:trPr>
        <w:tc>
          <w:tcPr>
            <w:tcW w:w="0" w:type="auto"/>
            <w:vAlign w:val="center"/>
            <w:hideMark/>
          </w:tcPr>
          <w:p w14:paraId="7D1BA71F" w14:textId="77777777" w:rsidR="00C779A2" w:rsidRPr="00C779A2" w:rsidRDefault="00C779A2" w:rsidP="00C779A2">
            <w:r w:rsidRPr="00C779A2">
              <w:t>1</w:t>
            </w:r>
          </w:p>
        </w:tc>
        <w:tc>
          <w:tcPr>
            <w:tcW w:w="0" w:type="auto"/>
            <w:vAlign w:val="center"/>
            <w:hideMark/>
          </w:tcPr>
          <w:p w14:paraId="28E74BAC" w14:textId="77777777" w:rsidR="00C779A2" w:rsidRPr="00C779A2" w:rsidRDefault="00C779A2" w:rsidP="00C779A2">
            <w:r w:rsidRPr="00C779A2">
              <w:t>Regulatory</w:t>
            </w:r>
          </w:p>
        </w:tc>
        <w:tc>
          <w:tcPr>
            <w:tcW w:w="0" w:type="auto"/>
            <w:vAlign w:val="center"/>
            <w:hideMark/>
          </w:tcPr>
          <w:p w14:paraId="4C4EBF41" w14:textId="77777777" w:rsidR="00C779A2" w:rsidRPr="00C779A2" w:rsidRDefault="00C779A2" w:rsidP="00C779A2">
            <w:r w:rsidRPr="00C779A2">
              <w:t>Licensing and permit delays</w:t>
            </w:r>
          </w:p>
        </w:tc>
        <w:tc>
          <w:tcPr>
            <w:tcW w:w="0" w:type="auto"/>
            <w:vAlign w:val="center"/>
            <w:hideMark/>
          </w:tcPr>
          <w:p w14:paraId="040BFC2E" w14:textId="77777777" w:rsidR="00C779A2" w:rsidRPr="00C779A2" w:rsidRDefault="00C779A2" w:rsidP="00C779A2">
            <w:r w:rsidRPr="00C779A2">
              <w:t>High</w:t>
            </w:r>
          </w:p>
        </w:tc>
        <w:tc>
          <w:tcPr>
            <w:tcW w:w="0" w:type="auto"/>
            <w:vAlign w:val="center"/>
            <w:hideMark/>
          </w:tcPr>
          <w:p w14:paraId="5AD622D6" w14:textId="77777777" w:rsidR="00C779A2" w:rsidRPr="00C779A2" w:rsidRDefault="00C779A2" w:rsidP="00C779A2">
            <w:r w:rsidRPr="00C779A2">
              <w:t>High</w:t>
            </w:r>
          </w:p>
        </w:tc>
        <w:tc>
          <w:tcPr>
            <w:tcW w:w="0" w:type="auto"/>
            <w:vAlign w:val="center"/>
            <w:hideMark/>
          </w:tcPr>
          <w:p w14:paraId="6403596F" w14:textId="77777777" w:rsidR="00C779A2" w:rsidRPr="00C779A2" w:rsidRDefault="00C779A2" w:rsidP="00C779A2">
            <w:r w:rsidRPr="00C779A2">
              <w:t>Proactive legal engagement, early application</w:t>
            </w:r>
          </w:p>
        </w:tc>
        <w:tc>
          <w:tcPr>
            <w:tcW w:w="0" w:type="auto"/>
            <w:vAlign w:val="center"/>
            <w:hideMark/>
          </w:tcPr>
          <w:p w14:paraId="6F8AF487" w14:textId="77777777" w:rsidR="00C779A2" w:rsidRPr="00C779A2" w:rsidRDefault="00C779A2" w:rsidP="00C779A2">
            <w:r w:rsidRPr="00C779A2">
              <w:t>Legal Team</w:t>
            </w:r>
          </w:p>
        </w:tc>
      </w:tr>
      <w:tr w:rsidR="00C779A2" w:rsidRPr="00C779A2" w14:paraId="7ACB8029" w14:textId="77777777" w:rsidTr="00C779A2">
        <w:trPr>
          <w:tblCellSpacing w:w="15" w:type="dxa"/>
        </w:trPr>
        <w:tc>
          <w:tcPr>
            <w:tcW w:w="0" w:type="auto"/>
            <w:vAlign w:val="center"/>
            <w:hideMark/>
          </w:tcPr>
          <w:p w14:paraId="18680565" w14:textId="77777777" w:rsidR="00C779A2" w:rsidRPr="00C779A2" w:rsidRDefault="00C779A2" w:rsidP="00C779A2">
            <w:r w:rsidRPr="00C779A2">
              <w:t>2</w:t>
            </w:r>
          </w:p>
        </w:tc>
        <w:tc>
          <w:tcPr>
            <w:tcW w:w="0" w:type="auto"/>
            <w:vAlign w:val="center"/>
            <w:hideMark/>
          </w:tcPr>
          <w:p w14:paraId="69A3C0DE" w14:textId="77777777" w:rsidR="00C779A2" w:rsidRPr="00C779A2" w:rsidRDefault="00C779A2" w:rsidP="00C779A2">
            <w:r w:rsidRPr="00C779A2">
              <w:t>Technology</w:t>
            </w:r>
          </w:p>
        </w:tc>
        <w:tc>
          <w:tcPr>
            <w:tcW w:w="0" w:type="auto"/>
            <w:vAlign w:val="center"/>
            <w:hideMark/>
          </w:tcPr>
          <w:p w14:paraId="4A2AE1EF" w14:textId="77777777" w:rsidR="00C779A2" w:rsidRPr="00C779A2" w:rsidRDefault="00C779A2" w:rsidP="00C779A2">
            <w:r w:rsidRPr="00C779A2">
              <w:t>Ordering system failures</w:t>
            </w:r>
          </w:p>
        </w:tc>
        <w:tc>
          <w:tcPr>
            <w:tcW w:w="0" w:type="auto"/>
            <w:vAlign w:val="center"/>
            <w:hideMark/>
          </w:tcPr>
          <w:p w14:paraId="6A2A6D21" w14:textId="77777777" w:rsidR="00C779A2" w:rsidRPr="00C779A2" w:rsidRDefault="00C779A2" w:rsidP="00C779A2">
            <w:r w:rsidRPr="00C779A2">
              <w:t>Medium</w:t>
            </w:r>
          </w:p>
        </w:tc>
        <w:tc>
          <w:tcPr>
            <w:tcW w:w="0" w:type="auto"/>
            <w:vAlign w:val="center"/>
            <w:hideMark/>
          </w:tcPr>
          <w:p w14:paraId="78A98CFC" w14:textId="77777777" w:rsidR="00C779A2" w:rsidRPr="00C779A2" w:rsidRDefault="00C779A2" w:rsidP="00C779A2">
            <w:r w:rsidRPr="00C779A2">
              <w:t>High</w:t>
            </w:r>
          </w:p>
        </w:tc>
        <w:tc>
          <w:tcPr>
            <w:tcW w:w="0" w:type="auto"/>
            <w:vAlign w:val="center"/>
            <w:hideMark/>
          </w:tcPr>
          <w:p w14:paraId="1B92A55F" w14:textId="77777777" w:rsidR="00C779A2" w:rsidRPr="00C779A2" w:rsidRDefault="00C779A2" w:rsidP="00C779A2">
            <w:r w:rsidRPr="00C779A2">
              <w:t>Phased testing, experienced developers</w:t>
            </w:r>
          </w:p>
        </w:tc>
        <w:tc>
          <w:tcPr>
            <w:tcW w:w="0" w:type="auto"/>
            <w:vAlign w:val="center"/>
            <w:hideMark/>
          </w:tcPr>
          <w:p w14:paraId="63DEF0DF" w14:textId="77777777" w:rsidR="00C779A2" w:rsidRPr="00C779A2" w:rsidRDefault="00C779A2" w:rsidP="00C779A2">
            <w:r w:rsidRPr="00C779A2">
              <w:t>IT Manager</w:t>
            </w:r>
          </w:p>
        </w:tc>
      </w:tr>
      <w:tr w:rsidR="00C779A2" w:rsidRPr="00C779A2" w14:paraId="01489795" w14:textId="77777777" w:rsidTr="00C779A2">
        <w:trPr>
          <w:tblCellSpacing w:w="15" w:type="dxa"/>
        </w:trPr>
        <w:tc>
          <w:tcPr>
            <w:tcW w:w="0" w:type="auto"/>
            <w:vAlign w:val="center"/>
            <w:hideMark/>
          </w:tcPr>
          <w:p w14:paraId="6C00AD56" w14:textId="77777777" w:rsidR="00C779A2" w:rsidRPr="00C779A2" w:rsidRDefault="00C779A2" w:rsidP="00C779A2">
            <w:r w:rsidRPr="00C779A2">
              <w:t>3</w:t>
            </w:r>
          </w:p>
        </w:tc>
        <w:tc>
          <w:tcPr>
            <w:tcW w:w="0" w:type="auto"/>
            <w:vAlign w:val="center"/>
            <w:hideMark/>
          </w:tcPr>
          <w:p w14:paraId="7106B39A" w14:textId="77777777" w:rsidR="00C779A2" w:rsidRPr="00C779A2" w:rsidRDefault="00C779A2" w:rsidP="00C779A2">
            <w:r w:rsidRPr="00C779A2">
              <w:t>Operations</w:t>
            </w:r>
          </w:p>
        </w:tc>
        <w:tc>
          <w:tcPr>
            <w:tcW w:w="0" w:type="auto"/>
            <w:vAlign w:val="center"/>
            <w:hideMark/>
          </w:tcPr>
          <w:p w14:paraId="2925026C" w14:textId="77777777" w:rsidR="00C779A2" w:rsidRPr="00C779A2" w:rsidRDefault="00C779A2" w:rsidP="00C779A2">
            <w:r w:rsidRPr="00C779A2">
              <w:t>Insufficient delivery staff</w:t>
            </w:r>
          </w:p>
        </w:tc>
        <w:tc>
          <w:tcPr>
            <w:tcW w:w="0" w:type="auto"/>
            <w:vAlign w:val="center"/>
            <w:hideMark/>
          </w:tcPr>
          <w:p w14:paraId="0BDABD3C" w14:textId="77777777" w:rsidR="00C779A2" w:rsidRPr="00C779A2" w:rsidRDefault="00C779A2" w:rsidP="00C779A2">
            <w:r w:rsidRPr="00C779A2">
              <w:t>High</w:t>
            </w:r>
          </w:p>
        </w:tc>
        <w:tc>
          <w:tcPr>
            <w:tcW w:w="0" w:type="auto"/>
            <w:vAlign w:val="center"/>
            <w:hideMark/>
          </w:tcPr>
          <w:p w14:paraId="619A4BA9" w14:textId="77777777" w:rsidR="00C779A2" w:rsidRPr="00C779A2" w:rsidRDefault="00C779A2" w:rsidP="00C779A2">
            <w:r w:rsidRPr="00C779A2">
              <w:t>Medium</w:t>
            </w:r>
          </w:p>
        </w:tc>
        <w:tc>
          <w:tcPr>
            <w:tcW w:w="0" w:type="auto"/>
            <w:vAlign w:val="center"/>
            <w:hideMark/>
          </w:tcPr>
          <w:p w14:paraId="77557A51" w14:textId="77777777" w:rsidR="00C779A2" w:rsidRPr="00C779A2" w:rsidRDefault="00C779A2" w:rsidP="00C779A2">
            <w:r w:rsidRPr="00C779A2">
              <w:t>Early hiring, incentives</w:t>
            </w:r>
          </w:p>
        </w:tc>
        <w:tc>
          <w:tcPr>
            <w:tcW w:w="0" w:type="auto"/>
            <w:vAlign w:val="center"/>
            <w:hideMark/>
          </w:tcPr>
          <w:p w14:paraId="25427328" w14:textId="77777777" w:rsidR="00C779A2" w:rsidRPr="00C779A2" w:rsidRDefault="00C779A2" w:rsidP="00C779A2">
            <w:r w:rsidRPr="00C779A2">
              <w:t>HR Manager</w:t>
            </w:r>
          </w:p>
        </w:tc>
      </w:tr>
    </w:tbl>
    <w:p w14:paraId="58EBDEA2" w14:textId="77777777" w:rsidR="00C779A2" w:rsidRPr="00C779A2" w:rsidRDefault="00C779A2" w:rsidP="00C779A2">
      <w:r w:rsidRPr="00C779A2">
        <w:pict w14:anchorId="5A3D104C">
          <v:rect id="_x0000_i1107" style="width:0;height:1.5pt" o:hralign="center" o:hrstd="t" o:hr="t" fillcolor="#a0a0a0" stroked="f"/>
        </w:pict>
      </w:r>
    </w:p>
    <w:p w14:paraId="6BC8CCD5" w14:textId="77777777" w:rsidR="00C779A2" w:rsidRPr="00C779A2" w:rsidRDefault="00C779A2" w:rsidP="00C779A2">
      <w:pPr>
        <w:rPr>
          <w:b/>
          <w:bCs/>
        </w:rPr>
      </w:pPr>
      <w:r w:rsidRPr="00C779A2">
        <w:rPr>
          <w:b/>
          <w:bCs/>
        </w:rPr>
        <w:t>9. Sponsor Acceptance</w:t>
      </w:r>
    </w:p>
    <w:p w14:paraId="116706D6" w14:textId="77777777" w:rsidR="00C779A2" w:rsidRPr="00C779A2" w:rsidRDefault="00C779A2" w:rsidP="00C779A2">
      <w:r w:rsidRPr="00C779A2">
        <w:rPr>
          <w:b/>
          <w:bCs/>
        </w:rPr>
        <w:t>Approved by:</w:t>
      </w:r>
    </w:p>
    <w:p w14:paraId="53CEA69C" w14:textId="0D4553DB" w:rsidR="00CD41EF" w:rsidRDefault="00C779A2">
      <w:r w:rsidRPr="00C779A2">
        <w:rPr>
          <w:b/>
          <w:bCs/>
        </w:rPr>
        <w:t>[Project Sponsor Name]</w:t>
      </w:r>
      <w:r w:rsidRPr="00C779A2">
        <w:br/>
      </w:r>
      <w:r w:rsidRPr="00C779A2">
        <w:rPr>
          <w:b/>
          <w:bCs/>
        </w:rPr>
        <w:t>[Project Sponsor Title]</w:t>
      </w:r>
      <w:r w:rsidRPr="00C779A2">
        <w:br/>
      </w:r>
      <w:r w:rsidRPr="00C779A2">
        <w:rPr>
          <w:b/>
          <w:bCs/>
        </w:rPr>
        <w:t>Date: [Insert Date]</w:t>
      </w:r>
    </w:p>
    <w:sectPr w:rsidR="00CD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E6E3C"/>
    <w:multiLevelType w:val="multilevel"/>
    <w:tmpl w:val="60DAE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C4A89"/>
    <w:multiLevelType w:val="multilevel"/>
    <w:tmpl w:val="4840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7D2F59"/>
    <w:multiLevelType w:val="multilevel"/>
    <w:tmpl w:val="3AD8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769A3"/>
    <w:multiLevelType w:val="multilevel"/>
    <w:tmpl w:val="9C421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9F7C75"/>
    <w:multiLevelType w:val="multilevel"/>
    <w:tmpl w:val="CC4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938D0"/>
    <w:multiLevelType w:val="multilevel"/>
    <w:tmpl w:val="A202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3124885">
    <w:abstractNumId w:val="0"/>
  </w:num>
  <w:num w:numId="2" w16cid:durableId="1458111503">
    <w:abstractNumId w:val="3"/>
  </w:num>
  <w:num w:numId="3" w16cid:durableId="1858813273">
    <w:abstractNumId w:val="5"/>
  </w:num>
  <w:num w:numId="4" w16cid:durableId="592513659">
    <w:abstractNumId w:val="1"/>
  </w:num>
  <w:num w:numId="5" w16cid:durableId="2108184837">
    <w:abstractNumId w:val="2"/>
  </w:num>
  <w:num w:numId="6" w16cid:durableId="11107060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A2"/>
    <w:rsid w:val="00912BBB"/>
    <w:rsid w:val="00C779A2"/>
    <w:rsid w:val="00CD41EF"/>
    <w:rsid w:val="00D90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F9DB9"/>
  <w15:chartTrackingRefBased/>
  <w15:docId w15:val="{8C0C62B2-BEF7-49C2-9222-C03C9521B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9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9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9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9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9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9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9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9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9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9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9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9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9A2"/>
    <w:rPr>
      <w:rFonts w:eastAsiaTheme="majorEastAsia" w:cstheme="majorBidi"/>
      <w:color w:val="272727" w:themeColor="text1" w:themeTint="D8"/>
    </w:rPr>
  </w:style>
  <w:style w:type="paragraph" w:styleId="Title">
    <w:name w:val="Title"/>
    <w:basedOn w:val="Normal"/>
    <w:next w:val="Normal"/>
    <w:link w:val="TitleChar"/>
    <w:uiPriority w:val="10"/>
    <w:qFormat/>
    <w:rsid w:val="00C779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9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9A2"/>
    <w:pPr>
      <w:spacing w:before="160"/>
      <w:jc w:val="center"/>
    </w:pPr>
    <w:rPr>
      <w:i/>
      <w:iCs/>
      <w:color w:val="404040" w:themeColor="text1" w:themeTint="BF"/>
    </w:rPr>
  </w:style>
  <w:style w:type="character" w:customStyle="1" w:styleId="QuoteChar">
    <w:name w:val="Quote Char"/>
    <w:basedOn w:val="DefaultParagraphFont"/>
    <w:link w:val="Quote"/>
    <w:uiPriority w:val="29"/>
    <w:rsid w:val="00C779A2"/>
    <w:rPr>
      <w:i/>
      <w:iCs/>
      <w:color w:val="404040" w:themeColor="text1" w:themeTint="BF"/>
    </w:rPr>
  </w:style>
  <w:style w:type="paragraph" w:styleId="ListParagraph">
    <w:name w:val="List Paragraph"/>
    <w:basedOn w:val="Normal"/>
    <w:uiPriority w:val="34"/>
    <w:qFormat/>
    <w:rsid w:val="00C779A2"/>
    <w:pPr>
      <w:ind w:left="720"/>
      <w:contextualSpacing/>
    </w:pPr>
  </w:style>
  <w:style w:type="character" w:styleId="IntenseEmphasis">
    <w:name w:val="Intense Emphasis"/>
    <w:basedOn w:val="DefaultParagraphFont"/>
    <w:uiPriority w:val="21"/>
    <w:qFormat/>
    <w:rsid w:val="00C779A2"/>
    <w:rPr>
      <w:i/>
      <w:iCs/>
      <w:color w:val="0F4761" w:themeColor="accent1" w:themeShade="BF"/>
    </w:rPr>
  </w:style>
  <w:style w:type="paragraph" w:styleId="IntenseQuote">
    <w:name w:val="Intense Quote"/>
    <w:basedOn w:val="Normal"/>
    <w:next w:val="Normal"/>
    <w:link w:val="IntenseQuoteChar"/>
    <w:uiPriority w:val="30"/>
    <w:qFormat/>
    <w:rsid w:val="00C77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9A2"/>
    <w:rPr>
      <w:i/>
      <w:iCs/>
      <w:color w:val="0F4761" w:themeColor="accent1" w:themeShade="BF"/>
    </w:rPr>
  </w:style>
  <w:style w:type="character" w:styleId="IntenseReference">
    <w:name w:val="Intense Reference"/>
    <w:basedOn w:val="DefaultParagraphFont"/>
    <w:uiPriority w:val="32"/>
    <w:qFormat/>
    <w:rsid w:val="00C779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8264173">
      <w:bodyDiv w:val="1"/>
      <w:marLeft w:val="0"/>
      <w:marRight w:val="0"/>
      <w:marTop w:val="0"/>
      <w:marBottom w:val="0"/>
      <w:divBdr>
        <w:top w:val="none" w:sz="0" w:space="0" w:color="auto"/>
        <w:left w:val="none" w:sz="0" w:space="0" w:color="auto"/>
        <w:bottom w:val="none" w:sz="0" w:space="0" w:color="auto"/>
        <w:right w:val="none" w:sz="0" w:space="0" w:color="auto"/>
      </w:divBdr>
    </w:div>
    <w:div w:id="2127654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Rutul Ashokbhai</dc:creator>
  <cp:keywords/>
  <dc:description/>
  <cp:lastModifiedBy>Patel, Rutul Ashokbhai</cp:lastModifiedBy>
  <cp:revision>1</cp:revision>
  <dcterms:created xsi:type="dcterms:W3CDTF">2025-03-11T21:55:00Z</dcterms:created>
  <dcterms:modified xsi:type="dcterms:W3CDTF">2025-03-11T21:56:00Z</dcterms:modified>
</cp:coreProperties>
</file>