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sz w:val="44"/>
          <w:color w:val="1E40AF"/>
          <w:rFonts w:ascii="Arial"/>
        </w:rPr>
        <w:t>Enterprise Architecture &amp; System Telemetry</w:t>
      </w:r>
    </w:p>
    <w:p>
      <w:r>
        <w:rPr>
          <w:sz w:val="24"/>
          <w:rFonts w:ascii="Times New Roman"/>
        </w:rPr>
        <w:t>The following diagram and performance grid represent the end-to-end distributed transaction throughput:</w:t>
      </w:r>
    </w:p>
    <w:p>
      <w:r>
        <w:drawing>
          <wp:inline distT="0" distB="0" distL="0" distR="0">
            <wp:extent cx="3000000" cy="1800000"/>
            <wp:docPr id="1" name="Telemetry Chart Graphic"/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single" w:sz="4" w:space="0" w:color="CCCCCC"/>
          <w:bottom w:val="single" w:sz="4" w:space="0" w:color="CCCCCC"/>
        </w:tblBorders>
      </w:tblPr>
      <w:tr>
        <w:tc>
          <w:p>
            <w:r>
              <w:rPr>
                <w:b/>
                <w:color w:val="FFFFFF"/>
              </w:rPr>
              <w:t>Cluster Node</w:t>
            </w:r>
          </w:p>
        </w:tc>
        <w:tc>
          <w:p>
            <w:r>
              <w:rPr>
                <w:b/>
                <w:color w:val="FFFFFF"/>
              </w:rPr>
              <w:t>Throughput</w:t>
            </w:r>
          </w:p>
        </w:tc>
        <w:tc>
          <w:p>
            <w:r>
              <w:rPr>
                <w:b/>
                <w:color w:val="FFFFFF"/>
              </w:rPr>
              <w:t>P99 Latency</w:t>
            </w:r>
          </w:p>
        </w:tc>
        <w:tc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p>
            <w:r>
              <w:t>node-primary-us-east-1</w:t>
            </w:r>
          </w:p>
        </w:tc>
        <w:tc>
          <w:p>
            <w:r>
              <w:t>185,000 req/s</w:t>
            </w:r>
          </w:p>
        </w:tc>
        <w:tc>
          <w:p>
            <w:r>
              <w:t>1.4 ms</w:t>
            </w:r>
          </w:p>
        </w:tc>
        <w:tc>
          <w:p>
            <w:r>
              <w:rPr>
                <w:color w:val="16A34A"/>
                <w:b/>
              </w:rPr>
              <w:t>HEALTHY</w:t>
            </w:r>
          </w:p>
        </w:tc>
      </w:tr>
      <w:tr>
        <w:tc>
          <w:p>
            <w:r>
              <w:t>node-secondary-eu-central-1</w:t>
            </w:r>
          </w:p>
        </w:tc>
        <w:tc>
          <w:p>
            <w:r>
              <w:t>142,000 req/s</w:t>
            </w:r>
          </w:p>
        </w:tc>
        <w:tc>
          <w:p>
            <w:r>
              <w:t>2.1 ms</w:t>
            </w:r>
          </w:p>
        </w:tc>
        <w:tc>
          <w:p>
            <w:r>
              <w:rPr>
                <w:color w:val="16A34A"/>
                <w:b/>
              </w:rPr>
              <w:t>HEALTHY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  <Relationship Id="rIdImage1" Type="http://schemas.openxmlformats.org/officeDocument/2006/relationships/image" Target="media/image1.png"/>
</Relationships>
</file>