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6"/>
          <w:color w:val="0F172A"/>
        </w:rPr>
        <w:t>Chapter 1: Distributed Consensus and Log Replication</w:t>
      </w:r>
    </w:p>
    <w:p>
      <w:r>
        <w:rPr>
          <w:sz w:val="22"/>
          <w:rFonts w:ascii="Calibri"/>
        </w:rPr>
        <w:t>Section 1.1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2: Distributed Consensus and Log Replication</w:t>
      </w:r>
    </w:p>
    <w:p>
      <w:r>
        <w:rPr>
          <w:sz w:val="22"/>
          <w:rFonts w:ascii="Calibri"/>
        </w:rPr>
        <w:t>Section 2.1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3: Distributed Consensus and Log Replication</w:t>
      </w:r>
    </w:p>
    <w:p>
      <w:r>
        <w:rPr>
          <w:sz w:val="22"/>
          <w:rFonts w:ascii="Calibri"/>
        </w:rPr>
        <w:t>Section 3.1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4: Distributed Consensus and Log Replication</w:t>
      </w:r>
    </w:p>
    <w:p>
      <w:r>
        <w:rPr>
          <w:sz w:val="22"/>
          <w:rFonts w:ascii="Calibri"/>
        </w:rPr>
        <w:t>Section 4.1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5: Distributed Consensus and Log Replication</w:t>
      </w:r>
    </w:p>
    <w:p>
      <w:r>
        <w:rPr>
          <w:sz w:val="22"/>
          <w:rFonts w:ascii="Calibri"/>
        </w:rPr>
        <w:t>Section 5.1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6: Distributed Consensus and Log Replication</w:t>
      </w:r>
    </w:p>
    <w:p>
      <w:r>
        <w:rPr>
          <w:sz w:val="22"/>
          <w:rFonts w:ascii="Calibri"/>
        </w:rPr>
        <w:t>Section 6.1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7: Distributed Consensus and Log Replication</w:t>
      </w:r>
    </w:p>
    <w:p>
      <w:r>
        <w:rPr>
          <w:sz w:val="22"/>
          <w:rFonts w:ascii="Calibri"/>
        </w:rPr>
        <w:t>Section 7.1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8: Distributed Consensus and Log Replication</w:t>
      </w:r>
    </w:p>
    <w:p>
      <w:r>
        <w:rPr>
          <w:sz w:val="22"/>
          <w:rFonts w:ascii="Calibri"/>
        </w:rPr>
        <w:t>Section 8.1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9: Distributed Consensus and Log Replication</w:t>
      </w:r>
    </w:p>
    <w:p>
      <w:r>
        <w:rPr>
          <w:sz w:val="22"/>
          <w:rFonts w:ascii="Calibri"/>
        </w:rPr>
        <w:t>Section 9.1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  <w:p>
      <w:r>
        <w:rPr>
          <w:b/>
          <w:sz w:val="36"/>
          <w:color w:val="0F172A"/>
        </w:rPr>
        <w:t>Chapter 10: Distributed Consensus and Log Replication</w:t>
      </w:r>
    </w:p>
    <w:p>
      <w:r>
        <w:rPr>
          <w:sz w:val="22"/>
          <w:rFonts w:ascii="Calibri"/>
        </w:rPr>
        <w:t>Section 10.1 details the monotonic state transitions of leader election under Raft protocol. When a follower senses a leader heartbeat timeout, it transitions to candidate state, increments its term counter, and broadcasts RequestVote RPC packets to all peers in the cluster configuration.</w:t>
      </w:r>
    </w:p>
    <w:p>
      <w:r>
        <w:rPr>
          <w:sz w:val="22"/>
          <w:rFonts w:ascii="Calibri"/>
        </w:rPr>
        <w:t>This ensures no two leaders can emerge simultaneously within the same term epoch, upholding the fundamental quorum safety invariant.</w:t>
      </w:r>
    </w:p>
    <w:p>
      <w:r>
        <w:br w:type="page"/>
      </w:r>
    </w:p>
  </w:body>
</w:document>
</file>

<file path=word/_rels/document.xml.rels><?xml version="1.0" encoding="UTF-8" standalone="yes"?>
<Relationships xmlns="http://schemas.openxmlformats.org/package/2006/relationships">
  
</Relationships>
</file>