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57C0" w:rsidRDefault="00970A1C">
      <w:pPr>
        <w:rPr>
          <w:rFonts w:ascii="Times New Roman" w:hAnsi="Times New Roman" w:cs="Times New Roman"/>
          <w:sz w:val="40"/>
          <w:szCs w:val="40"/>
        </w:rPr>
      </w:pPr>
      <w:r>
        <w:t xml:space="preserve">     </w:t>
      </w:r>
      <w:r>
        <w:rPr>
          <w:rFonts w:ascii="Times New Roman" w:hAnsi="Times New Roman" w:cs="Times New Roman"/>
          <w:sz w:val="40"/>
          <w:szCs w:val="40"/>
        </w:rPr>
        <w:t>PRACTICAL 2</w:t>
      </w:r>
    </w:p>
    <w:p w:rsidR="00970A1C" w:rsidRDefault="00970A1C">
      <w:pPr>
        <w:rPr>
          <w:rFonts w:ascii="Times New Roman" w:hAnsi="Times New Roman" w:cs="Times New Roman"/>
          <w:sz w:val="36"/>
          <w:szCs w:val="36"/>
        </w:rPr>
      </w:pPr>
    </w:p>
    <w:p w:rsidR="00970A1C" w:rsidRDefault="00970A1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Introduction:-</w:t>
      </w:r>
    </w:p>
    <w:p w:rsidR="00970A1C" w:rsidRPr="00970A1C" w:rsidRDefault="00970A1C" w:rsidP="00970A1C">
      <w:pPr>
        <w:pStyle w:val="NormalWeb"/>
        <w:shd w:val="clear" w:color="auto" w:fill="FFFFFF"/>
        <w:spacing w:before="120" w:beforeAutospacing="0" w:after="120" w:afterAutospacing="0"/>
        <w:rPr>
          <w:color w:val="222222"/>
          <w:sz w:val="32"/>
          <w:szCs w:val="32"/>
        </w:rPr>
      </w:pPr>
      <w:r>
        <w:rPr>
          <w:sz w:val="36"/>
          <w:szCs w:val="36"/>
        </w:rPr>
        <w:t xml:space="preserve"> </w:t>
      </w:r>
      <w:r>
        <w:rPr>
          <w:sz w:val="28"/>
          <w:szCs w:val="28"/>
        </w:rPr>
        <w:t xml:space="preserve">   </w:t>
      </w:r>
      <w:r>
        <w:rPr>
          <w:sz w:val="32"/>
          <w:szCs w:val="32"/>
        </w:rPr>
        <w:t xml:space="preserve">Green computing is the environmentally responsible and </w:t>
      </w:r>
      <w:proofErr w:type="spellStart"/>
      <w:r>
        <w:rPr>
          <w:sz w:val="32"/>
          <w:szCs w:val="32"/>
        </w:rPr>
        <w:t>eco friendly</w:t>
      </w:r>
      <w:proofErr w:type="spellEnd"/>
      <w:r>
        <w:rPr>
          <w:sz w:val="32"/>
          <w:szCs w:val="32"/>
        </w:rPr>
        <w:t xml:space="preserve"> use of computer and their resources </w:t>
      </w:r>
      <w:r w:rsidRPr="00970A1C">
        <w:rPr>
          <w:rFonts w:ascii="Arial" w:hAnsi="Arial" w:cs="Arial"/>
          <w:b/>
          <w:bCs/>
          <w:color w:val="222222"/>
          <w:sz w:val="32"/>
          <w:szCs w:val="32"/>
        </w:rPr>
        <w:t>Green computing</w:t>
      </w:r>
      <w:r w:rsidRPr="00970A1C">
        <w:rPr>
          <w:rFonts w:ascii="Arial" w:hAnsi="Arial" w:cs="Arial"/>
          <w:color w:val="222222"/>
          <w:sz w:val="32"/>
          <w:szCs w:val="32"/>
        </w:rPr>
        <w:t>, </w:t>
      </w:r>
      <w:r w:rsidRPr="00970A1C">
        <w:rPr>
          <w:rFonts w:ascii="Arial" w:hAnsi="Arial" w:cs="Arial"/>
          <w:b/>
          <w:bCs/>
          <w:color w:val="222222"/>
          <w:sz w:val="32"/>
          <w:szCs w:val="32"/>
        </w:rPr>
        <w:t>green ICT</w:t>
      </w:r>
      <w:r w:rsidRPr="00970A1C">
        <w:rPr>
          <w:rFonts w:ascii="Arial" w:hAnsi="Arial" w:cs="Arial"/>
          <w:color w:val="222222"/>
          <w:sz w:val="32"/>
          <w:szCs w:val="32"/>
        </w:rPr>
        <w:t xml:space="preserve"> as </w:t>
      </w:r>
      <w:r w:rsidRPr="00970A1C">
        <w:rPr>
          <w:color w:val="222222"/>
          <w:sz w:val="32"/>
          <w:szCs w:val="32"/>
        </w:rPr>
        <w:t>per International Federation of Global &amp; Green ICT "IFGICT", </w:t>
      </w:r>
      <w:r w:rsidRPr="00970A1C">
        <w:rPr>
          <w:b/>
          <w:bCs/>
          <w:color w:val="222222"/>
          <w:sz w:val="32"/>
          <w:szCs w:val="32"/>
        </w:rPr>
        <w:t>green IT</w:t>
      </w:r>
      <w:r w:rsidRPr="00970A1C">
        <w:rPr>
          <w:color w:val="222222"/>
          <w:sz w:val="32"/>
          <w:szCs w:val="32"/>
        </w:rPr>
        <w:t>, or </w:t>
      </w:r>
      <w:r w:rsidRPr="00970A1C">
        <w:rPr>
          <w:b/>
          <w:bCs/>
          <w:color w:val="222222"/>
          <w:sz w:val="32"/>
          <w:szCs w:val="32"/>
        </w:rPr>
        <w:t>ICT sustainability</w:t>
      </w:r>
      <w:r w:rsidRPr="00970A1C">
        <w:rPr>
          <w:color w:val="222222"/>
          <w:sz w:val="32"/>
          <w:szCs w:val="32"/>
        </w:rPr>
        <w:t>, is the study and practice of </w:t>
      </w:r>
      <w:hyperlink r:id="rId5" w:tooltip="Environmentally sustainable" w:history="1">
        <w:r w:rsidRPr="00970A1C">
          <w:rPr>
            <w:rStyle w:val="Hyperlink"/>
            <w:color w:val="0B0080"/>
            <w:sz w:val="32"/>
            <w:szCs w:val="32"/>
            <w:u w:val="none"/>
          </w:rPr>
          <w:t>environmentally sustainable</w:t>
        </w:r>
      </w:hyperlink>
      <w:r w:rsidRPr="00970A1C">
        <w:rPr>
          <w:color w:val="222222"/>
          <w:sz w:val="32"/>
          <w:szCs w:val="32"/>
        </w:rPr>
        <w:t> computing or IT.</w:t>
      </w:r>
    </w:p>
    <w:p w:rsidR="00970A1C" w:rsidRPr="00970A1C" w:rsidRDefault="00970A1C" w:rsidP="00970A1C">
      <w:pPr>
        <w:pStyle w:val="NormalWeb"/>
        <w:shd w:val="clear" w:color="auto" w:fill="FFFFFF"/>
        <w:spacing w:before="120" w:beforeAutospacing="0" w:after="120" w:afterAutospacing="0"/>
        <w:rPr>
          <w:color w:val="222222"/>
          <w:sz w:val="32"/>
          <w:szCs w:val="32"/>
        </w:rPr>
      </w:pPr>
      <w:r w:rsidRPr="00970A1C">
        <w:rPr>
          <w:color w:val="222222"/>
          <w:sz w:val="32"/>
          <w:szCs w:val="32"/>
        </w:rPr>
        <w:t>The goals of green computing are similar to </w:t>
      </w:r>
      <w:hyperlink r:id="rId6" w:tooltip="Green chemistry" w:history="1">
        <w:r w:rsidRPr="00970A1C">
          <w:rPr>
            <w:rStyle w:val="Hyperlink"/>
            <w:color w:val="0B0080"/>
            <w:sz w:val="32"/>
            <w:szCs w:val="32"/>
            <w:u w:val="none"/>
          </w:rPr>
          <w:t>green chemistry</w:t>
        </w:r>
      </w:hyperlink>
      <w:r w:rsidRPr="00970A1C">
        <w:rPr>
          <w:color w:val="222222"/>
          <w:sz w:val="32"/>
          <w:szCs w:val="32"/>
        </w:rPr>
        <w:t>: reduce the use of hazardous materials, maximize </w:t>
      </w:r>
      <w:hyperlink r:id="rId7" w:tooltip="Efficient energy use" w:history="1">
        <w:r w:rsidRPr="00970A1C">
          <w:rPr>
            <w:rStyle w:val="Hyperlink"/>
            <w:color w:val="0B0080"/>
            <w:sz w:val="32"/>
            <w:szCs w:val="32"/>
            <w:u w:val="none"/>
          </w:rPr>
          <w:t>energy efficiency</w:t>
        </w:r>
      </w:hyperlink>
      <w:r w:rsidRPr="00970A1C">
        <w:rPr>
          <w:color w:val="222222"/>
          <w:sz w:val="32"/>
          <w:szCs w:val="32"/>
        </w:rPr>
        <w:t> during the product's lifetime, the </w:t>
      </w:r>
      <w:hyperlink r:id="rId8" w:tooltip="Recycling" w:history="1">
        <w:r w:rsidRPr="00970A1C">
          <w:rPr>
            <w:rStyle w:val="Hyperlink"/>
            <w:color w:val="0B0080"/>
            <w:sz w:val="32"/>
            <w:szCs w:val="32"/>
            <w:u w:val="none"/>
          </w:rPr>
          <w:t>recyclability</w:t>
        </w:r>
      </w:hyperlink>
      <w:r w:rsidRPr="00970A1C">
        <w:rPr>
          <w:color w:val="222222"/>
          <w:sz w:val="32"/>
          <w:szCs w:val="32"/>
        </w:rPr>
        <w:t> or </w:t>
      </w:r>
      <w:hyperlink r:id="rId9" w:tooltip="Biodegradation" w:history="1">
        <w:r w:rsidRPr="00970A1C">
          <w:rPr>
            <w:rStyle w:val="Hyperlink"/>
            <w:color w:val="0B0080"/>
            <w:sz w:val="32"/>
            <w:szCs w:val="32"/>
            <w:u w:val="none"/>
          </w:rPr>
          <w:t>biodegradability</w:t>
        </w:r>
      </w:hyperlink>
      <w:r w:rsidRPr="00970A1C">
        <w:rPr>
          <w:color w:val="222222"/>
          <w:sz w:val="32"/>
          <w:szCs w:val="32"/>
        </w:rPr>
        <w:t xml:space="preserve"> of defunct products and factory waste. Green computing is important for all classes of systems, ranging from handheld </w:t>
      </w:r>
      <w:proofErr w:type="gramStart"/>
      <w:r w:rsidRPr="00970A1C">
        <w:rPr>
          <w:color w:val="222222"/>
          <w:sz w:val="32"/>
          <w:szCs w:val="32"/>
        </w:rPr>
        <w:t>systems</w:t>
      </w:r>
      <w:proofErr w:type="gramEnd"/>
      <w:r w:rsidRPr="00970A1C">
        <w:rPr>
          <w:color w:val="222222"/>
          <w:sz w:val="32"/>
          <w:szCs w:val="32"/>
          <w:vertAlign w:val="superscript"/>
        </w:rPr>
        <w:fldChar w:fldCharType="begin"/>
      </w:r>
      <w:r w:rsidRPr="00970A1C">
        <w:rPr>
          <w:color w:val="222222"/>
          <w:sz w:val="32"/>
          <w:szCs w:val="32"/>
          <w:vertAlign w:val="superscript"/>
        </w:rPr>
        <w:instrText xml:space="preserve"> HYPERLINK "https://en.wikipedia.org/wiki/Green_computing" \l "cite_note-1" </w:instrText>
      </w:r>
      <w:r w:rsidRPr="00970A1C">
        <w:rPr>
          <w:color w:val="222222"/>
          <w:sz w:val="32"/>
          <w:szCs w:val="32"/>
          <w:vertAlign w:val="superscript"/>
        </w:rPr>
        <w:fldChar w:fldCharType="separate"/>
      </w:r>
      <w:r w:rsidRPr="00970A1C">
        <w:rPr>
          <w:rStyle w:val="Hyperlink"/>
          <w:color w:val="0B0080"/>
          <w:sz w:val="32"/>
          <w:szCs w:val="32"/>
          <w:u w:val="none"/>
          <w:vertAlign w:val="superscript"/>
        </w:rPr>
        <w:t>[1]</w:t>
      </w:r>
      <w:r w:rsidRPr="00970A1C">
        <w:rPr>
          <w:color w:val="222222"/>
          <w:sz w:val="32"/>
          <w:szCs w:val="32"/>
          <w:vertAlign w:val="superscript"/>
        </w:rPr>
        <w:fldChar w:fldCharType="end"/>
      </w:r>
      <w:r w:rsidRPr="00970A1C">
        <w:rPr>
          <w:color w:val="222222"/>
          <w:sz w:val="32"/>
          <w:szCs w:val="32"/>
        </w:rPr>
        <w:t xml:space="preserve"> to large-scale data </w:t>
      </w:r>
      <w:proofErr w:type="spellStart"/>
      <w:r w:rsidRPr="00970A1C">
        <w:rPr>
          <w:color w:val="222222"/>
          <w:sz w:val="32"/>
          <w:szCs w:val="32"/>
        </w:rPr>
        <w:t>centers</w:t>
      </w:r>
      <w:proofErr w:type="spellEnd"/>
      <w:r w:rsidRPr="00970A1C">
        <w:rPr>
          <w:color w:val="222222"/>
          <w:sz w:val="32"/>
          <w:szCs w:val="32"/>
        </w:rPr>
        <w:t>.</w:t>
      </w:r>
      <w:hyperlink r:id="rId10" w:anchor="cite_note-ReferenceGCS9-2" w:history="1">
        <w:r w:rsidRPr="00970A1C">
          <w:rPr>
            <w:rStyle w:val="Hyperlink"/>
            <w:color w:val="0B0080"/>
            <w:sz w:val="32"/>
            <w:szCs w:val="32"/>
            <w:u w:val="none"/>
            <w:vertAlign w:val="superscript"/>
          </w:rPr>
          <w:t>[2]</w:t>
        </w:r>
      </w:hyperlink>
    </w:p>
    <w:p w:rsidR="00970A1C" w:rsidRPr="00970A1C" w:rsidRDefault="00970A1C" w:rsidP="00970A1C">
      <w:pPr>
        <w:pStyle w:val="NormalWeb"/>
        <w:shd w:val="clear" w:color="auto" w:fill="FFFFFF"/>
        <w:spacing w:before="120" w:beforeAutospacing="0" w:after="120" w:afterAutospacing="0"/>
        <w:rPr>
          <w:color w:val="222222"/>
          <w:sz w:val="32"/>
          <w:szCs w:val="32"/>
        </w:rPr>
      </w:pPr>
      <w:r w:rsidRPr="00970A1C">
        <w:rPr>
          <w:color w:val="222222"/>
          <w:sz w:val="32"/>
          <w:szCs w:val="32"/>
        </w:rPr>
        <w:t>Many corporate IT departments have green computing initiatives to reduce the environmental effect of their IT operations.</w:t>
      </w:r>
      <w:hyperlink r:id="rId11" w:anchor="cite_note-3" w:history="1">
        <w:r w:rsidRPr="00970A1C">
          <w:rPr>
            <w:rStyle w:val="Hyperlink"/>
            <w:color w:val="0B0080"/>
            <w:sz w:val="32"/>
            <w:szCs w:val="32"/>
            <w:u w:val="none"/>
            <w:vertAlign w:val="superscript"/>
          </w:rPr>
          <w:t>[3]</w:t>
        </w:r>
      </w:hyperlink>
    </w:p>
    <w:p w:rsidR="00970A1C" w:rsidRDefault="00970A1C" w:rsidP="00970A1C">
      <w:pPr>
        <w:pStyle w:val="NormalWeb"/>
        <w:shd w:val="clear" w:color="auto" w:fill="FFFFFF"/>
        <w:spacing w:before="120" w:beforeAutospacing="0" w:after="120" w:afterAutospacing="0"/>
        <w:rPr>
          <w:color w:val="222222"/>
          <w:sz w:val="32"/>
          <w:szCs w:val="32"/>
          <w:vertAlign w:val="superscript"/>
        </w:rPr>
      </w:pPr>
      <w:r w:rsidRPr="00970A1C">
        <w:rPr>
          <w:color w:val="222222"/>
          <w:sz w:val="32"/>
          <w:szCs w:val="32"/>
        </w:rPr>
        <w:t>In 1992, the </w:t>
      </w:r>
      <w:hyperlink r:id="rId12" w:tooltip="United States Environmental Protection Agency" w:history="1">
        <w:r w:rsidRPr="00970A1C">
          <w:rPr>
            <w:rStyle w:val="Hyperlink"/>
            <w:color w:val="0B0080"/>
            <w:sz w:val="32"/>
            <w:szCs w:val="32"/>
            <w:u w:val="none"/>
          </w:rPr>
          <w:t>U.S. Environmental Protection Agency</w:t>
        </w:r>
      </w:hyperlink>
      <w:r w:rsidRPr="00970A1C">
        <w:rPr>
          <w:color w:val="222222"/>
          <w:sz w:val="32"/>
          <w:szCs w:val="32"/>
        </w:rPr>
        <w:t> launched </w:t>
      </w:r>
      <w:hyperlink r:id="rId13" w:tooltip="Energy Star" w:history="1">
        <w:r w:rsidRPr="00970A1C">
          <w:rPr>
            <w:rStyle w:val="Hyperlink"/>
            <w:color w:val="0B0080"/>
            <w:sz w:val="32"/>
            <w:szCs w:val="32"/>
            <w:u w:val="none"/>
          </w:rPr>
          <w:t>Energy Star</w:t>
        </w:r>
      </w:hyperlink>
      <w:r w:rsidRPr="00970A1C">
        <w:rPr>
          <w:color w:val="222222"/>
          <w:sz w:val="32"/>
          <w:szCs w:val="32"/>
        </w:rPr>
        <w:t xml:space="preserve">, a voluntary </w:t>
      </w:r>
      <w:proofErr w:type="spellStart"/>
      <w:r w:rsidRPr="00970A1C">
        <w:rPr>
          <w:color w:val="222222"/>
          <w:sz w:val="32"/>
          <w:szCs w:val="32"/>
        </w:rPr>
        <w:t>labeling</w:t>
      </w:r>
      <w:proofErr w:type="spellEnd"/>
      <w:r w:rsidRPr="00970A1C">
        <w:rPr>
          <w:color w:val="222222"/>
          <w:sz w:val="32"/>
          <w:szCs w:val="32"/>
        </w:rPr>
        <w:t xml:space="preserve"> program that is designed to promote and recognize the </w:t>
      </w:r>
      <w:hyperlink r:id="rId14" w:tooltip="Efficient energy use" w:history="1">
        <w:r w:rsidRPr="00970A1C">
          <w:rPr>
            <w:rStyle w:val="Hyperlink"/>
            <w:color w:val="0B0080"/>
            <w:sz w:val="32"/>
            <w:szCs w:val="32"/>
            <w:u w:val="none"/>
          </w:rPr>
          <w:t>energy efficiency</w:t>
        </w:r>
      </w:hyperlink>
      <w:r w:rsidRPr="00970A1C">
        <w:rPr>
          <w:color w:val="222222"/>
          <w:sz w:val="32"/>
          <w:szCs w:val="32"/>
        </w:rPr>
        <w:t> in monitors, climate control equipment, and other technologies. This resulted in the widespread adoption of </w:t>
      </w:r>
      <w:hyperlink r:id="rId15" w:tooltip="Sleep mode" w:history="1">
        <w:r w:rsidRPr="00970A1C">
          <w:rPr>
            <w:rStyle w:val="Hyperlink"/>
            <w:color w:val="0B0080"/>
            <w:sz w:val="32"/>
            <w:szCs w:val="32"/>
            <w:u w:val="none"/>
          </w:rPr>
          <w:t>sleep mode</w:t>
        </w:r>
      </w:hyperlink>
      <w:r w:rsidRPr="00970A1C">
        <w:rPr>
          <w:color w:val="222222"/>
          <w:sz w:val="32"/>
          <w:szCs w:val="32"/>
        </w:rPr>
        <w:t> among consumer electronics. Concurrently, the Swedish organization TCO Development launched the </w:t>
      </w:r>
      <w:hyperlink r:id="rId16" w:tooltip="TCO Certification (page does not exist)" w:history="1">
        <w:r w:rsidRPr="00970A1C">
          <w:rPr>
            <w:rStyle w:val="Hyperlink"/>
            <w:color w:val="A55858"/>
            <w:sz w:val="32"/>
            <w:szCs w:val="32"/>
            <w:u w:val="none"/>
          </w:rPr>
          <w:t>TCO Certification</w:t>
        </w:r>
      </w:hyperlink>
      <w:r w:rsidRPr="00970A1C">
        <w:rPr>
          <w:color w:val="222222"/>
          <w:sz w:val="32"/>
          <w:szCs w:val="32"/>
        </w:rPr>
        <w:t> program to promote low magnetic and electrical emissions from </w:t>
      </w:r>
      <w:hyperlink r:id="rId17" w:tooltip="Cathode ray tube" w:history="1">
        <w:r w:rsidRPr="00970A1C">
          <w:rPr>
            <w:rStyle w:val="Hyperlink"/>
            <w:color w:val="0B0080"/>
            <w:sz w:val="32"/>
            <w:szCs w:val="32"/>
            <w:u w:val="none"/>
          </w:rPr>
          <w:t>CRT</w:t>
        </w:r>
      </w:hyperlink>
      <w:r w:rsidRPr="00970A1C">
        <w:rPr>
          <w:color w:val="222222"/>
          <w:sz w:val="32"/>
          <w:szCs w:val="32"/>
        </w:rPr>
        <w:t>-based </w:t>
      </w:r>
      <w:hyperlink r:id="rId18" w:tooltip="Computer display" w:history="1">
        <w:r w:rsidRPr="00970A1C">
          <w:rPr>
            <w:rStyle w:val="Hyperlink"/>
            <w:color w:val="0B0080"/>
            <w:sz w:val="32"/>
            <w:szCs w:val="32"/>
            <w:u w:val="none"/>
          </w:rPr>
          <w:t>computer displays</w:t>
        </w:r>
      </w:hyperlink>
      <w:r w:rsidRPr="00970A1C">
        <w:rPr>
          <w:color w:val="222222"/>
          <w:sz w:val="32"/>
          <w:szCs w:val="32"/>
        </w:rPr>
        <w:t>; this program was later expanded to include criteria on energy consumption, </w:t>
      </w:r>
      <w:hyperlink r:id="rId19" w:tooltip="Ergonomics" w:history="1">
        <w:r w:rsidRPr="00970A1C">
          <w:rPr>
            <w:rStyle w:val="Hyperlink"/>
            <w:color w:val="0B0080"/>
            <w:sz w:val="32"/>
            <w:szCs w:val="32"/>
            <w:u w:val="none"/>
          </w:rPr>
          <w:t>ergonomics</w:t>
        </w:r>
      </w:hyperlink>
      <w:r w:rsidRPr="00970A1C">
        <w:rPr>
          <w:color w:val="222222"/>
          <w:sz w:val="32"/>
          <w:szCs w:val="32"/>
        </w:rPr>
        <w:t>, and the use of hazardous materials in construction.</w:t>
      </w:r>
      <w:hyperlink r:id="rId20" w:anchor="cite_note-4" w:history="1">
        <w:r w:rsidRPr="00970A1C">
          <w:rPr>
            <w:rStyle w:val="Hyperlink"/>
            <w:color w:val="0B0080"/>
            <w:sz w:val="32"/>
            <w:szCs w:val="32"/>
            <w:u w:val="none"/>
            <w:vertAlign w:val="superscript"/>
          </w:rPr>
          <w:t>[4]</w:t>
        </w:r>
      </w:hyperlink>
    </w:p>
    <w:p w:rsidR="00970A1C" w:rsidRDefault="00970A1C" w:rsidP="00970A1C">
      <w:pPr>
        <w:pStyle w:val="NormalWeb"/>
        <w:shd w:val="clear" w:color="auto" w:fill="FFFFFF"/>
        <w:spacing w:before="120" w:beforeAutospacing="0" w:after="120" w:afterAutospacing="0"/>
        <w:rPr>
          <w:color w:val="222222"/>
          <w:sz w:val="32"/>
          <w:szCs w:val="32"/>
          <w:vertAlign w:val="superscript"/>
        </w:rPr>
      </w:pPr>
    </w:p>
    <w:p w:rsidR="00CB7D74" w:rsidRDefault="00CB7D74" w:rsidP="00970A1C">
      <w:pPr>
        <w:pStyle w:val="NormalWeb"/>
        <w:shd w:val="clear" w:color="auto" w:fill="FFFFFF"/>
        <w:spacing w:before="120" w:beforeAutospacing="0" w:after="120" w:afterAutospacing="0"/>
        <w:rPr>
          <w:color w:val="222222"/>
          <w:sz w:val="32"/>
          <w:szCs w:val="32"/>
          <w:vertAlign w:val="superscript"/>
        </w:rPr>
      </w:pPr>
    </w:p>
    <w:p w:rsidR="00CB7D74" w:rsidRDefault="00CB7D74" w:rsidP="00970A1C">
      <w:pPr>
        <w:pStyle w:val="NormalWeb"/>
        <w:shd w:val="clear" w:color="auto" w:fill="FFFFFF"/>
        <w:spacing w:before="120" w:beforeAutospacing="0" w:after="120" w:afterAutospacing="0"/>
        <w:rPr>
          <w:color w:val="222222"/>
          <w:sz w:val="32"/>
          <w:szCs w:val="32"/>
          <w:vertAlign w:val="superscript"/>
        </w:rPr>
      </w:pPr>
    </w:p>
    <w:p w:rsidR="00CB7D74" w:rsidRDefault="00CB7D74" w:rsidP="00970A1C">
      <w:pPr>
        <w:pStyle w:val="NormalWeb"/>
        <w:shd w:val="clear" w:color="auto" w:fill="FFFFFF"/>
        <w:spacing w:before="120" w:beforeAutospacing="0" w:after="120" w:afterAutospacing="0"/>
        <w:rPr>
          <w:color w:val="222222"/>
          <w:sz w:val="32"/>
          <w:szCs w:val="32"/>
          <w:vertAlign w:val="superscript"/>
        </w:rPr>
      </w:pPr>
    </w:p>
    <w:p w:rsidR="00CB7D74" w:rsidRPr="00970A1C" w:rsidRDefault="00CB7D74" w:rsidP="00970A1C">
      <w:pPr>
        <w:pStyle w:val="NormalWeb"/>
        <w:shd w:val="clear" w:color="auto" w:fill="FFFFFF"/>
        <w:spacing w:before="120" w:beforeAutospacing="0" w:after="120" w:afterAutospacing="0"/>
        <w:rPr>
          <w:color w:val="222222"/>
          <w:sz w:val="32"/>
          <w:szCs w:val="32"/>
        </w:rPr>
      </w:pPr>
    </w:p>
    <w:p w:rsidR="00970A1C" w:rsidRPr="00970A1C" w:rsidRDefault="00CB7D74" w:rsidP="00970A1C">
      <w:pPr>
        <w:pStyle w:val="NormalWeb"/>
        <w:shd w:val="clear" w:color="auto" w:fill="FFFFFF"/>
        <w:spacing w:before="120" w:beforeAutospacing="0" w:after="120" w:afterAutospacing="0"/>
        <w:rPr>
          <w:color w:val="222222"/>
          <w:sz w:val="32"/>
          <w:szCs w:val="32"/>
        </w:rPr>
      </w:pPr>
      <w:r>
        <w:rPr>
          <w:color w:val="222222"/>
          <w:sz w:val="32"/>
          <w:szCs w:val="32"/>
        </w:rPr>
        <w:lastRenderedPageBreak/>
        <w:t xml:space="preserve">                                                                                                                    </w:t>
      </w:r>
      <w:r w:rsidR="00970A1C" w:rsidRPr="00970A1C">
        <w:rPr>
          <w:color w:val="222222"/>
          <w:sz w:val="32"/>
          <w:szCs w:val="32"/>
        </w:rPr>
        <w:t>Many </w:t>
      </w:r>
      <w:hyperlink r:id="rId21" w:tooltip="Governmental" w:history="1">
        <w:r w:rsidR="00970A1C" w:rsidRPr="00970A1C">
          <w:rPr>
            <w:rStyle w:val="Hyperlink"/>
            <w:color w:val="0B0080"/>
            <w:sz w:val="32"/>
            <w:szCs w:val="32"/>
            <w:u w:val="none"/>
          </w:rPr>
          <w:t>governmental</w:t>
        </w:r>
      </w:hyperlink>
      <w:r>
        <w:rPr>
          <w:color w:val="222222"/>
          <w:sz w:val="32"/>
          <w:szCs w:val="32"/>
        </w:rPr>
        <w:t xml:space="preserve"> age </w:t>
      </w:r>
      <w:bookmarkStart w:id="0" w:name="_GoBack"/>
      <w:bookmarkEnd w:id="0"/>
      <w:proofErr w:type="spellStart"/>
      <w:r w:rsidR="00970A1C" w:rsidRPr="00970A1C">
        <w:rPr>
          <w:color w:val="222222"/>
          <w:sz w:val="32"/>
          <w:szCs w:val="32"/>
        </w:rPr>
        <w:t>cies</w:t>
      </w:r>
      <w:proofErr w:type="spellEnd"/>
      <w:r w:rsidR="00970A1C" w:rsidRPr="00970A1C">
        <w:rPr>
          <w:color w:val="222222"/>
          <w:sz w:val="32"/>
          <w:szCs w:val="32"/>
        </w:rPr>
        <w:t xml:space="preserve"> have continued to implement standards and regulations that encourage green computing. The </w:t>
      </w:r>
      <w:hyperlink r:id="rId22" w:tooltip="Energy Star" w:history="1">
        <w:r w:rsidR="00970A1C" w:rsidRPr="00970A1C">
          <w:rPr>
            <w:rStyle w:val="Hyperlink"/>
            <w:color w:val="0B0080"/>
            <w:sz w:val="32"/>
            <w:szCs w:val="32"/>
            <w:u w:val="none"/>
          </w:rPr>
          <w:t>Energy Star</w:t>
        </w:r>
      </w:hyperlink>
      <w:r w:rsidR="00970A1C" w:rsidRPr="00970A1C">
        <w:rPr>
          <w:color w:val="222222"/>
          <w:sz w:val="32"/>
          <w:szCs w:val="32"/>
        </w:rPr>
        <w:t> program was revised in October 2006 to include stricter efficiency requirements for computer equipment, along with a tiered ranking system for approved products.</w:t>
      </w:r>
      <w:hyperlink r:id="rId23" w:anchor="cite_note-6" w:history="1">
        <w:r w:rsidR="00970A1C" w:rsidRPr="00970A1C">
          <w:rPr>
            <w:rStyle w:val="Hyperlink"/>
            <w:color w:val="0B0080"/>
            <w:sz w:val="32"/>
            <w:szCs w:val="32"/>
            <w:u w:val="none"/>
            <w:vertAlign w:val="superscript"/>
          </w:rPr>
          <w:t>[6</w:t>
        </w:r>
        <w:proofErr w:type="gramStart"/>
        <w:r w:rsidR="00970A1C" w:rsidRPr="00970A1C">
          <w:rPr>
            <w:rStyle w:val="Hyperlink"/>
            <w:color w:val="0B0080"/>
            <w:sz w:val="32"/>
            <w:szCs w:val="32"/>
            <w:u w:val="none"/>
            <w:vertAlign w:val="superscript"/>
          </w:rPr>
          <w:t>]</w:t>
        </w:r>
        <w:proofErr w:type="gramEnd"/>
      </w:hyperlink>
      <w:hyperlink r:id="rId24" w:anchor="cite_note-7" w:history="1">
        <w:r w:rsidR="00970A1C" w:rsidRPr="00970A1C">
          <w:rPr>
            <w:rStyle w:val="Hyperlink"/>
            <w:color w:val="0B0080"/>
            <w:sz w:val="32"/>
            <w:szCs w:val="32"/>
            <w:u w:val="none"/>
            <w:vertAlign w:val="superscript"/>
          </w:rPr>
          <w:t>[7]</w:t>
        </w:r>
      </w:hyperlink>
    </w:p>
    <w:p w:rsidR="00970A1C" w:rsidRPr="00970A1C" w:rsidRDefault="00970A1C" w:rsidP="00970A1C">
      <w:pPr>
        <w:pStyle w:val="NormalWeb"/>
        <w:shd w:val="clear" w:color="auto" w:fill="FFFFFF"/>
        <w:spacing w:before="120" w:beforeAutospacing="0" w:after="120" w:afterAutospacing="0"/>
        <w:rPr>
          <w:color w:val="222222"/>
          <w:sz w:val="32"/>
          <w:szCs w:val="32"/>
        </w:rPr>
      </w:pPr>
      <w:r w:rsidRPr="00970A1C">
        <w:rPr>
          <w:color w:val="222222"/>
          <w:sz w:val="32"/>
          <w:szCs w:val="32"/>
        </w:rPr>
        <w:t xml:space="preserve">By 2008, 26 US states established </w:t>
      </w:r>
      <w:proofErr w:type="spellStart"/>
      <w:r w:rsidRPr="00970A1C">
        <w:rPr>
          <w:color w:val="222222"/>
          <w:sz w:val="32"/>
          <w:szCs w:val="32"/>
        </w:rPr>
        <w:t>statewide</w:t>
      </w:r>
      <w:proofErr w:type="spellEnd"/>
      <w:r w:rsidRPr="00970A1C">
        <w:rPr>
          <w:color w:val="222222"/>
          <w:sz w:val="32"/>
          <w:szCs w:val="32"/>
        </w:rPr>
        <w:t xml:space="preserve"> recycling programs for obsolete computers and consumer electronics equipment.</w:t>
      </w:r>
      <w:hyperlink r:id="rId25" w:anchor="cite_note-8" w:history="1">
        <w:r w:rsidRPr="00970A1C">
          <w:rPr>
            <w:rStyle w:val="Hyperlink"/>
            <w:color w:val="0B0080"/>
            <w:sz w:val="32"/>
            <w:szCs w:val="32"/>
            <w:u w:val="none"/>
            <w:vertAlign w:val="superscript"/>
          </w:rPr>
          <w:t>[8]</w:t>
        </w:r>
      </w:hyperlink>
      <w:r w:rsidRPr="00970A1C">
        <w:rPr>
          <w:color w:val="222222"/>
          <w:sz w:val="32"/>
          <w:szCs w:val="32"/>
        </w:rPr>
        <w:t> The statutes either impose an "advance recovery fee" for each unit sold at retail or require the manufacturers to reclaim the equipment at disposal.</w:t>
      </w:r>
    </w:p>
    <w:p w:rsidR="00970A1C" w:rsidRPr="00970A1C" w:rsidRDefault="00970A1C" w:rsidP="00970A1C">
      <w:pPr>
        <w:pStyle w:val="NormalWeb"/>
        <w:shd w:val="clear" w:color="auto" w:fill="FFFFFF"/>
        <w:spacing w:before="120" w:beforeAutospacing="0" w:after="120" w:afterAutospacing="0"/>
        <w:rPr>
          <w:color w:val="222222"/>
          <w:sz w:val="32"/>
          <w:szCs w:val="32"/>
        </w:rPr>
      </w:pPr>
      <w:r w:rsidRPr="00970A1C">
        <w:rPr>
          <w:color w:val="222222"/>
          <w:sz w:val="32"/>
          <w:szCs w:val="32"/>
        </w:rPr>
        <w:t>In 2010, the </w:t>
      </w:r>
      <w:hyperlink r:id="rId26" w:tooltip="American Recovery and Reinvestment Act" w:history="1">
        <w:r w:rsidRPr="00970A1C">
          <w:rPr>
            <w:rStyle w:val="Hyperlink"/>
            <w:color w:val="0B0080"/>
            <w:sz w:val="32"/>
            <w:szCs w:val="32"/>
            <w:u w:val="none"/>
          </w:rPr>
          <w:t>American Recovery and Reinvestment Act</w:t>
        </w:r>
      </w:hyperlink>
      <w:r w:rsidRPr="00970A1C">
        <w:rPr>
          <w:color w:val="222222"/>
          <w:sz w:val="32"/>
          <w:szCs w:val="32"/>
        </w:rPr>
        <w:t xml:space="preserve"> (ARRA) was signed into legislation by President Obama. The bill allocated over $90 billion to be invested in green initiatives (renewable energy, smart grids, energy efficiency, etc.) In January 2010, the U.S. Energy Department granted $47 million of the ARRA money towards projects that aim to improve the energy efficiency of data </w:t>
      </w:r>
      <w:proofErr w:type="spellStart"/>
      <w:r w:rsidRPr="00970A1C">
        <w:rPr>
          <w:color w:val="222222"/>
          <w:sz w:val="32"/>
          <w:szCs w:val="32"/>
        </w:rPr>
        <w:t>centers</w:t>
      </w:r>
      <w:proofErr w:type="spellEnd"/>
      <w:r w:rsidRPr="00970A1C">
        <w:rPr>
          <w:color w:val="222222"/>
          <w:sz w:val="32"/>
          <w:szCs w:val="32"/>
        </w:rPr>
        <w:t xml:space="preserve">. The projects provided research to optimize data </w:t>
      </w:r>
      <w:proofErr w:type="spellStart"/>
      <w:r w:rsidRPr="00970A1C">
        <w:rPr>
          <w:color w:val="222222"/>
          <w:sz w:val="32"/>
          <w:szCs w:val="32"/>
        </w:rPr>
        <w:t>center</w:t>
      </w:r>
      <w:proofErr w:type="spellEnd"/>
      <w:r w:rsidRPr="00970A1C">
        <w:rPr>
          <w:color w:val="222222"/>
          <w:sz w:val="32"/>
          <w:szCs w:val="32"/>
        </w:rPr>
        <w:t xml:space="preserve"> hardware and software, improve power supply chain, and </w:t>
      </w:r>
      <w:hyperlink r:id="rId27" w:tooltip="Computer cooling" w:history="1">
        <w:r w:rsidRPr="00970A1C">
          <w:rPr>
            <w:rStyle w:val="Hyperlink"/>
            <w:color w:val="0B0080"/>
            <w:sz w:val="32"/>
            <w:szCs w:val="32"/>
            <w:u w:val="none"/>
          </w:rPr>
          <w:t xml:space="preserve">data </w:t>
        </w:r>
        <w:proofErr w:type="spellStart"/>
        <w:r w:rsidRPr="00970A1C">
          <w:rPr>
            <w:rStyle w:val="Hyperlink"/>
            <w:color w:val="0B0080"/>
            <w:sz w:val="32"/>
            <w:szCs w:val="32"/>
            <w:u w:val="none"/>
          </w:rPr>
          <w:t>center</w:t>
        </w:r>
        <w:proofErr w:type="spellEnd"/>
        <w:r w:rsidRPr="00970A1C">
          <w:rPr>
            <w:rStyle w:val="Hyperlink"/>
            <w:color w:val="0B0080"/>
            <w:sz w:val="32"/>
            <w:szCs w:val="32"/>
            <w:u w:val="none"/>
          </w:rPr>
          <w:t xml:space="preserve"> cooling technologies</w:t>
        </w:r>
      </w:hyperlink>
      <w:r w:rsidRPr="00970A1C">
        <w:rPr>
          <w:color w:val="222222"/>
          <w:sz w:val="32"/>
          <w:szCs w:val="32"/>
        </w:rPr>
        <w:t>.</w:t>
      </w:r>
      <w:hyperlink r:id="rId28" w:anchor="cite_note-9" w:history="1">
        <w:r w:rsidRPr="00970A1C">
          <w:rPr>
            <w:rStyle w:val="Hyperlink"/>
            <w:color w:val="0B0080"/>
            <w:sz w:val="32"/>
            <w:szCs w:val="32"/>
            <w:u w:val="none"/>
            <w:vertAlign w:val="superscript"/>
          </w:rPr>
          <w:t>[9]</w:t>
        </w:r>
      </w:hyperlink>
    </w:p>
    <w:p w:rsidR="00970A1C" w:rsidRPr="00970A1C" w:rsidRDefault="00970A1C" w:rsidP="00970A1C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</w:pPr>
      <w:hyperlink r:id="rId29" w:tooltip="Climate Savers Computing Initiative" w:history="1">
        <w:r w:rsidRPr="00970A1C">
          <w:rPr>
            <w:rFonts w:ascii="Times New Roman" w:eastAsia="Times New Roman" w:hAnsi="Times New Roman" w:cs="Times New Roman"/>
            <w:color w:val="0B0080"/>
            <w:sz w:val="32"/>
            <w:szCs w:val="32"/>
            <w:lang w:eastAsia="en-IN"/>
          </w:rPr>
          <w:t>Climate Savers Computing Initiative</w:t>
        </w:r>
      </w:hyperlink>
      <w:r w:rsidRPr="00970A1C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> (CSCI) is an effort to reduce the electric power consumption of PCs in active and inactive states.</w:t>
      </w:r>
      <w:hyperlink r:id="rId30" w:anchor="cite_note-CSCI_pressrel_launch-10" w:history="1">
        <w:r w:rsidRPr="00970A1C">
          <w:rPr>
            <w:rFonts w:ascii="Times New Roman" w:eastAsia="Times New Roman" w:hAnsi="Times New Roman" w:cs="Times New Roman"/>
            <w:color w:val="0B0080"/>
            <w:sz w:val="32"/>
            <w:szCs w:val="32"/>
            <w:vertAlign w:val="superscript"/>
            <w:lang w:eastAsia="en-IN"/>
          </w:rPr>
          <w:t>[10]</w:t>
        </w:r>
      </w:hyperlink>
      <w:r w:rsidRPr="00970A1C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 xml:space="preserve"> The CSCI provides a </w:t>
      </w:r>
      <w:proofErr w:type="spellStart"/>
      <w:r w:rsidRPr="00970A1C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>catalog</w:t>
      </w:r>
      <w:proofErr w:type="spellEnd"/>
      <w:r w:rsidRPr="00970A1C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 xml:space="preserve"> of green products from its member organizations, and information for reducing PC power consumption. It was started on 2007-06-12. The name stems from the </w:t>
      </w:r>
      <w:hyperlink r:id="rId31" w:tooltip="World Wildlife Fund" w:history="1">
        <w:r w:rsidRPr="00970A1C">
          <w:rPr>
            <w:rFonts w:ascii="Times New Roman" w:eastAsia="Times New Roman" w:hAnsi="Times New Roman" w:cs="Times New Roman"/>
            <w:color w:val="0B0080"/>
            <w:sz w:val="32"/>
            <w:szCs w:val="32"/>
            <w:lang w:eastAsia="en-IN"/>
          </w:rPr>
          <w:t>World Wildlife Fund</w:t>
        </w:r>
      </w:hyperlink>
      <w:r w:rsidRPr="00970A1C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>'s Climate Savers program, which was launched in 1999.</w:t>
      </w:r>
      <w:hyperlink r:id="rId32" w:anchor="cite_note-11" w:history="1">
        <w:r w:rsidRPr="00970A1C">
          <w:rPr>
            <w:rFonts w:ascii="Times New Roman" w:eastAsia="Times New Roman" w:hAnsi="Times New Roman" w:cs="Times New Roman"/>
            <w:color w:val="0B0080"/>
            <w:sz w:val="32"/>
            <w:szCs w:val="32"/>
            <w:vertAlign w:val="superscript"/>
            <w:lang w:eastAsia="en-IN"/>
          </w:rPr>
          <w:t>[11]</w:t>
        </w:r>
      </w:hyperlink>
      <w:r w:rsidRPr="00970A1C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> The WWF is also a member of the Computing Initiative.</w:t>
      </w:r>
      <w:hyperlink r:id="rId33" w:anchor="cite_note-CSCI_pressrel_launch-10" w:history="1">
        <w:r w:rsidRPr="00970A1C">
          <w:rPr>
            <w:rFonts w:ascii="Times New Roman" w:eastAsia="Times New Roman" w:hAnsi="Times New Roman" w:cs="Times New Roman"/>
            <w:color w:val="0B0080"/>
            <w:sz w:val="32"/>
            <w:szCs w:val="32"/>
            <w:vertAlign w:val="superscript"/>
            <w:lang w:eastAsia="en-IN"/>
          </w:rPr>
          <w:t>[10]</w:t>
        </w:r>
      </w:hyperlink>
    </w:p>
    <w:p w:rsidR="00970A1C" w:rsidRPr="00970A1C" w:rsidRDefault="00970A1C" w:rsidP="00970A1C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</w:pPr>
      <w:r w:rsidRPr="00970A1C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>The </w:t>
      </w:r>
      <w:hyperlink r:id="rId34" w:tooltip="Green Electronics Council" w:history="1">
        <w:r w:rsidRPr="00970A1C">
          <w:rPr>
            <w:rFonts w:ascii="Times New Roman" w:eastAsia="Times New Roman" w:hAnsi="Times New Roman" w:cs="Times New Roman"/>
            <w:color w:val="0B0080"/>
            <w:sz w:val="32"/>
            <w:szCs w:val="32"/>
            <w:lang w:eastAsia="en-IN"/>
          </w:rPr>
          <w:t>Green Electronics Council</w:t>
        </w:r>
      </w:hyperlink>
      <w:r w:rsidRPr="00970A1C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> offers the </w:t>
      </w:r>
      <w:hyperlink r:id="rId35" w:tooltip="Electronic Product Environmental Assessment Tool" w:history="1">
        <w:r w:rsidRPr="00970A1C">
          <w:rPr>
            <w:rFonts w:ascii="Times New Roman" w:eastAsia="Times New Roman" w:hAnsi="Times New Roman" w:cs="Times New Roman"/>
            <w:color w:val="0B0080"/>
            <w:sz w:val="32"/>
            <w:szCs w:val="32"/>
            <w:lang w:eastAsia="en-IN"/>
          </w:rPr>
          <w:t>Electronic Product Environmental Assessment Tool</w:t>
        </w:r>
      </w:hyperlink>
      <w:r w:rsidRPr="00970A1C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> (EPEAT) to assist in the purchase of "greener" computing systems. The Council evaluates computing equipment on 51 criteria - 23 required and 28 optional - that measure a product's efficiency and sustainability attributes. Products are rated Gold, Silver, or Bronze, depending on how many optional criteria they meet. On 2007-01-24, President </w:t>
      </w:r>
      <w:hyperlink r:id="rId36" w:tooltip="George W. Bush" w:history="1">
        <w:r w:rsidRPr="00970A1C">
          <w:rPr>
            <w:rFonts w:ascii="Times New Roman" w:eastAsia="Times New Roman" w:hAnsi="Times New Roman" w:cs="Times New Roman"/>
            <w:color w:val="0B0080"/>
            <w:sz w:val="32"/>
            <w:szCs w:val="32"/>
            <w:lang w:eastAsia="en-IN"/>
          </w:rPr>
          <w:t>George W. Bush</w:t>
        </w:r>
      </w:hyperlink>
      <w:r w:rsidRPr="00970A1C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 xml:space="preserve"> issued Executive Order 13423, which </w:t>
      </w:r>
      <w:r w:rsidRPr="00970A1C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lastRenderedPageBreak/>
        <w:t>requires all United States Federal agencies to use EPEAT when purchasing computer systems.</w:t>
      </w:r>
      <w:hyperlink r:id="rId37" w:anchor="cite_note-12" w:history="1">
        <w:r w:rsidRPr="00970A1C">
          <w:rPr>
            <w:rFonts w:ascii="Times New Roman" w:eastAsia="Times New Roman" w:hAnsi="Times New Roman" w:cs="Times New Roman"/>
            <w:color w:val="0B0080"/>
            <w:sz w:val="32"/>
            <w:szCs w:val="32"/>
            <w:vertAlign w:val="superscript"/>
            <w:lang w:eastAsia="en-IN"/>
          </w:rPr>
          <w:t>[12]</w:t>
        </w:r>
      </w:hyperlink>
      <w:hyperlink r:id="rId38" w:anchor="cite_note-13" w:history="1">
        <w:r w:rsidRPr="00970A1C">
          <w:rPr>
            <w:rFonts w:ascii="Times New Roman" w:eastAsia="Times New Roman" w:hAnsi="Times New Roman" w:cs="Times New Roman"/>
            <w:color w:val="0B0080"/>
            <w:sz w:val="32"/>
            <w:szCs w:val="32"/>
            <w:vertAlign w:val="superscript"/>
            <w:lang w:eastAsia="en-IN"/>
          </w:rPr>
          <w:t>[13]</w:t>
        </w:r>
      </w:hyperlink>
    </w:p>
    <w:p w:rsidR="00970A1C" w:rsidRPr="00970A1C" w:rsidRDefault="00970A1C" w:rsidP="00970A1C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</w:pPr>
      <w:hyperlink r:id="rId39" w:tooltip="The Green Grid" w:history="1">
        <w:r w:rsidRPr="00970A1C">
          <w:rPr>
            <w:rFonts w:ascii="Times New Roman" w:eastAsia="Times New Roman" w:hAnsi="Times New Roman" w:cs="Times New Roman"/>
            <w:color w:val="0B0080"/>
            <w:sz w:val="32"/>
            <w:szCs w:val="32"/>
            <w:lang w:eastAsia="en-IN"/>
          </w:rPr>
          <w:t>The Green Grid</w:t>
        </w:r>
      </w:hyperlink>
      <w:r w:rsidRPr="00970A1C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 xml:space="preserve"> is a global consortium dedicated to advancing energy efficiency in data </w:t>
      </w:r>
      <w:proofErr w:type="spellStart"/>
      <w:r w:rsidRPr="00970A1C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>centers</w:t>
      </w:r>
      <w:proofErr w:type="spellEnd"/>
      <w:r w:rsidRPr="00970A1C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 xml:space="preserve"> and business computing ecosystems. It was founded in February 2007 by several key companies in the industry – </w:t>
      </w:r>
      <w:hyperlink r:id="rId40" w:tooltip="AMD" w:history="1">
        <w:r w:rsidRPr="00970A1C">
          <w:rPr>
            <w:rFonts w:ascii="Times New Roman" w:eastAsia="Times New Roman" w:hAnsi="Times New Roman" w:cs="Times New Roman"/>
            <w:color w:val="0B0080"/>
            <w:sz w:val="32"/>
            <w:szCs w:val="32"/>
            <w:lang w:eastAsia="en-IN"/>
          </w:rPr>
          <w:t>AMD</w:t>
        </w:r>
      </w:hyperlink>
      <w:r w:rsidRPr="00970A1C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>, </w:t>
      </w:r>
      <w:hyperlink r:id="rId41" w:tooltip="American Power Conversion" w:history="1">
        <w:r w:rsidRPr="00970A1C">
          <w:rPr>
            <w:rFonts w:ascii="Times New Roman" w:eastAsia="Times New Roman" w:hAnsi="Times New Roman" w:cs="Times New Roman"/>
            <w:color w:val="0B0080"/>
            <w:sz w:val="32"/>
            <w:szCs w:val="32"/>
            <w:lang w:eastAsia="en-IN"/>
          </w:rPr>
          <w:t>APC</w:t>
        </w:r>
      </w:hyperlink>
      <w:r w:rsidRPr="00970A1C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>, </w:t>
      </w:r>
      <w:hyperlink r:id="rId42" w:tooltip="Dell" w:history="1">
        <w:r w:rsidRPr="00970A1C">
          <w:rPr>
            <w:rFonts w:ascii="Times New Roman" w:eastAsia="Times New Roman" w:hAnsi="Times New Roman" w:cs="Times New Roman"/>
            <w:color w:val="0B0080"/>
            <w:sz w:val="32"/>
            <w:szCs w:val="32"/>
            <w:lang w:eastAsia="en-IN"/>
          </w:rPr>
          <w:t>Dell</w:t>
        </w:r>
      </w:hyperlink>
      <w:r w:rsidRPr="00970A1C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>, </w:t>
      </w:r>
      <w:hyperlink r:id="rId43" w:tooltip="Hewlett-Packard" w:history="1">
        <w:r w:rsidRPr="00970A1C">
          <w:rPr>
            <w:rFonts w:ascii="Times New Roman" w:eastAsia="Times New Roman" w:hAnsi="Times New Roman" w:cs="Times New Roman"/>
            <w:color w:val="0B0080"/>
            <w:sz w:val="32"/>
            <w:szCs w:val="32"/>
            <w:lang w:eastAsia="en-IN"/>
          </w:rPr>
          <w:t>HP</w:t>
        </w:r>
      </w:hyperlink>
      <w:r w:rsidRPr="00970A1C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>, </w:t>
      </w:r>
      <w:hyperlink r:id="rId44" w:tooltip="IBM" w:history="1">
        <w:r w:rsidRPr="00970A1C">
          <w:rPr>
            <w:rFonts w:ascii="Times New Roman" w:eastAsia="Times New Roman" w:hAnsi="Times New Roman" w:cs="Times New Roman"/>
            <w:color w:val="0B0080"/>
            <w:sz w:val="32"/>
            <w:szCs w:val="32"/>
            <w:lang w:eastAsia="en-IN"/>
          </w:rPr>
          <w:t>IBM</w:t>
        </w:r>
      </w:hyperlink>
      <w:r w:rsidRPr="00970A1C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>, </w:t>
      </w:r>
      <w:hyperlink r:id="rId45" w:tooltip="Intel" w:history="1">
        <w:r w:rsidRPr="00970A1C">
          <w:rPr>
            <w:rFonts w:ascii="Times New Roman" w:eastAsia="Times New Roman" w:hAnsi="Times New Roman" w:cs="Times New Roman"/>
            <w:color w:val="0B0080"/>
            <w:sz w:val="32"/>
            <w:szCs w:val="32"/>
            <w:lang w:eastAsia="en-IN"/>
          </w:rPr>
          <w:t>Intel</w:t>
        </w:r>
      </w:hyperlink>
      <w:r w:rsidRPr="00970A1C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>, </w:t>
      </w:r>
      <w:hyperlink r:id="rId46" w:tooltip="Microsoft" w:history="1">
        <w:r w:rsidRPr="00970A1C">
          <w:rPr>
            <w:rFonts w:ascii="Times New Roman" w:eastAsia="Times New Roman" w:hAnsi="Times New Roman" w:cs="Times New Roman"/>
            <w:color w:val="0B0080"/>
            <w:sz w:val="32"/>
            <w:szCs w:val="32"/>
            <w:lang w:eastAsia="en-IN"/>
          </w:rPr>
          <w:t>Microsoft</w:t>
        </w:r>
      </w:hyperlink>
      <w:r w:rsidRPr="00970A1C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>, </w:t>
      </w:r>
      <w:proofErr w:type="spellStart"/>
      <w:r w:rsidRPr="00970A1C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fldChar w:fldCharType="begin"/>
      </w:r>
      <w:r w:rsidRPr="00970A1C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instrText xml:space="preserve"> HYPERLINK "https://en.wikipedia.org/wiki/Rackable_Systems" \o "Rackable Systems" </w:instrText>
      </w:r>
      <w:r w:rsidRPr="00970A1C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fldChar w:fldCharType="separate"/>
      </w:r>
      <w:r w:rsidRPr="00970A1C">
        <w:rPr>
          <w:rFonts w:ascii="Times New Roman" w:eastAsia="Times New Roman" w:hAnsi="Times New Roman" w:cs="Times New Roman"/>
          <w:color w:val="0B0080"/>
          <w:sz w:val="32"/>
          <w:szCs w:val="32"/>
          <w:lang w:eastAsia="en-IN"/>
        </w:rPr>
        <w:t>Rackable</w:t>
      </w:r>
      <w:proofErr w:type="spellEnd"/>
      <w:r w:rsidRPr="00970A1C">
        <w:rPr>
          <w:rFonts w:ascii="Times New Roman" w:eastAsia="Times New Roman" w:hAnsi="Times New Roman" w:cs="Times New Roman"/>
          <w:color w:val="0B0080"/>
          <w:sz w:val="32"/>
          <w:szCs w:val="32"/>
          <w:lang w:eastAsia="en-IN"/>
        </w:rPr>
        <w:t xml:space="preserve"> Systems</w:t>
      </w:r>
      <w:r w:rsidRPr="00970A1C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fldChar w:fldCharType="end"/>
      </w:r>
      <w:r w:rsidRPr="00970A1C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>, </w:t>
      </w:r>
      <w:proofErr w:type="spellStart"/>
      <w:r w:rsidRPr="00970A1C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fldChar w:fldCharType="begin"/>
      </w:r>
      <w:r w:rsidRPr="00970A1C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instrText xml:space="preserve"> HYPERLINK "https://en.wikipedia.org/w/index.php?title=SprayCool&amp;action=edit&amp;redlink=1" \o "SprayCool (page does not exist)" </w:instrText>
      </w:r>
      <w:r w:rsidRPr="00970A1C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fldChar w:fldCharType="separate"/>
      </w:r>
      <w:r w:rsidRPr="00970A1C">
        <w:rPr>
          <w:rFonts w:ascii="Times New Roman" w:eastAsia="Times New Roman" w:hAnsi="Times New Roman" w:cs="Times New Roman"/>
          <w:color w:val="A55858"/>
          <w:sz w:val="32"/>
          <w:szCs w:val="32"/>
          <w:lang w:eastAsia="en-IN"/>
        </w:rPr>
        <w:t>SprayCool</w:t>
      </w:r>
      <w:proofErr w:type="spellEnd"/>
      <w:r w:rsidRPr="00970A1C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fldChar w:fldCharType="end"/>
      </w:r>
      <w:r w:rsidRPr="00970A1C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> (purchased in 2010 by </w:t>
      </w:r>
      <w:hyperlink r:id="rId47" w:history="1">
        <w:r w:rsidRPr="00970A1C">
          <w:rPr>
            <w:rFonts w:ascii="Times New Roman" w:eastAsia="Times New Roman" w:hAnsi="Times New Roman" w:cs="Times New Roman"/>
            <w:color w:val="663366"/>
            <w:sz w:val="32"/>
            <w:szCs w:val="32"/>
            <w:lang w:eastAsia="en-IN"/>
          </w:rPr>
          <w:t>Parker</w:t>
        </w:r>
      </w:hyperlink>
      <w:r w:rsidRPr="00970A1C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>), </w:t>
      </w:r>
      <w:hyperlink r:id="rId48" w:tooltip="Sun Microsystems" w:history="1">
        <w:r w:rsidRPr="00970A1C">
          <w:rPr>
            <w:rFonts w:ascii="Times New Roman" w:eastAsia="Times New Roman" w:hAnsi="Times New Roman" w:cs="Times New Roman"/>
            <w:color w:val="0B0080"/>
            <w:sz w:val="32"/>
            <w:szCs w:val="32"/>
            <w:lang w:eastAsia="en-IN"/>
          </w:rPr>
          <w:t>Sun Microsystems</w:t>
        </w:r>
      </w:hyperlink>
      <w:r w:rsidRPr="00970A1C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> and </w:t>
      </w:r>
      <w:hyperlink r:id="rId49" w:tooltip="VMware" w:history="1">
        <w:r w:rsidRPr="00970A1C">
          <w:rPr>
            <w:rFonts w:ascii="Times New Roman" w:eastAsia="Times New Roman" w:hAnsi="Times New Roman" w:cs="Times New Roman"/>
            <w:color w:val="0B0080"/>
            <w:sz w:val="32"/>
            <w:szCs w:val="32"/>
            <w:lang w:eastAsia="en-IN"/>
          </w:rPr>
          <w:t>VMware</w:t>
        </w:r>
      </w:hyperlink>
      <w:r w:rsidRPr="00970A1C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>. The Green Grid has since grown to hundreds of members, including end-users and government organizations, all focused on improving </w:t>
      </w:r>
      <w:hyperlink r:id="rId50" w:tooltip="Data center infrastructure efficiency" w:history="1">
        <w:r w:rsidRPr="00970A1C">
          <w:rPr>
            <w:rFonts w:ascii="Times New Roman" w:eastAsia="Times New Roman" w:hAnsi="Times New Roman" w:cs="Times New Roman"/>
            <w:color w:val="0B0080"/>
            <w:sz w:val="32"/>
            <w:szCs w:val="32"/>
            <w:lang w:eastAsia="en-IN"/>
          </w:rPr>
          <w:t xml:space="preserve">data </w:t>
        </w:r>
        <w:proofErr w:type="spellStart"/>
        <w:r w:rsidRPr="00970A1C">
          <w:rPr>
            <w:rFonts w:ascii="Times New Roman" w:eastAsia="Times New Roman" w:hAnsi="Times New Roman" w:cs="Times New Roman"/>
            <w:color w:val="0B0080"/>
            <w:sz w:val="32"/>
            <w:szCs w:val="32"/>
            <w:lang w:eastAsia="en-IN"/>
          </w:rPr>
          <w:t>center</w:t>
        </w:r>
        <w:proofErr w:type="spellEnd"/>
        <w:r w:rsidRPr="00970A1C">
          <w:rPr>
            <w:rFonts w:ascii="Times New Roman" w:eastAsia="Times New Roman" w:hAnsi="Times New Roman" w:cs="Times New Roman"/>
            <w:color w:val="0B0080"/>
            <w:sz w:val="32"/>
            <w:szCs w:val="32"/>
            <w:lang w:eastAsia="en-IN"/>
          </w:rPr>
          <w:t xml:space="preserve"> infrastructure efficiency</w:t>
        </w:r>
      </w:hyperlink>
      <w:r w:rsidRPr="00970A1C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> (DCIE).</w:t>
      </w:r>
    </w:p>
    <w:p w:rsidR="00970A1C" w:rsidRPr="00970A1C" w:rsidRDefault="00970A1C" w:rsidP="00970A1C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</w:pPr>
      <w:r w:rsidRPr="00970A1C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>The </w:t>
      </w:r>
      <w:hyperlink r:id="rId51" w:tooltip="Green500" w:history="1">
        <w:r w:rsidRPr="00970A1C">
          <w:rPr>
            <w:rFonts w:ascii="Times New Roman" w:eastAsia="Times New Roman" w:hAnsi="Times New Roman" w:cs="Times New Roman"/>
            <w:color w:val="0B0080"/>
            <w:sz w:val="32"/>
            <w:szCs w:val="32"/>
            <w:lang w:eastAsia="en-IN"/>
          </w:rPr>
          <w:t>Green500</w:t>
        </w:r>
      </w:hyperlink>
      <w:r w:rsidRPr="00970A1C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> list rates supercomputers by energy efficiency (</w:t>
      </w:r>
      <w:hyperlink r:id="rId52" w:tooltip="Megaflops" w:history="1">
        <w:r w:rsidRPr="00970A1C">
          <w:rPr>
            <w:rFonts w:ascii="Times New Roman" w:eastAsia="Times New Roman" w:hAnsi="Times New Roman" w:cs="Times New Roman"/>
            <w:color w:val="0B0080"/>
            <w:sz w:val="32"/>
            <w:szCs w:val="32"/>
            <w:lang w:eastAsia="en-IN"/>
          </w:rPr>
          <w:t>megaflops</w:t>
        </w:r>
      </w:hyperlink>
      <w:r w:rsidRPr="00970A1C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>/</w:t>
      </w:r>
      <w:hyperlink r:id="rId53" w:tooltip="Watt" w:history="1">
        <w:r w:rsidRPr="00970A1C">
          <w:rPr>
            <w:rFonts w:ascii="Times New Roman" w:eastAsia="Times New Roman" w:hAnsi="Times New Roman" w:cs="Times New Roman"/>
            <w:color w:val="0B0080"/>
            <w:sz w:val="32"/>
            <w:szCs w:val="32"/>
            <w:lang w:eastAsia="en-IN"/>
          </w:rPr>
          <w:t>watt</w:t>
        </w:r>
      </w:hyperlink>
      <w:r w:rsidRPr="00970A1C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>), encouraging a focus on efficiency rather than absolute performance.</w:t>
      </w:r>
    </w:p>
    <w:p w:rsidR="00970A1C" w:rsidRPr="00970A1C" w:rsidRDefault="00970A1C" w:rsidP="00970A1C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</w:pPr>
      <w:hyperlink r:id="rId54" w:tooltip="Green Comm Challenge" w:history="1">
        <w:r w:rsidRPr="00970A1C">
          <w:rPr>
            <w:rFonts w:ascii="Times New Roman" w:eastAsia="Times New Roman" w:hAnsi="Times New Roman" w:cs="Times New Roman"/>
            <w:color w:val="0B0080"/>
            <w:sz w:val="32"/>
            <w:szCs w:val="32"/>
            <w:lang w:eastAsia="en-IN"/>
          </w:rPr>
          <w:t xml:space="preserve">Green </w:t>
        </w:r>
        <w:proofErr w:type="spellStart"/>
        <w:r w:rsidRPr="00970A1C">
          <w:rPr>
            <w:rFonts w:ascii="Times New Roman" w:eastAsia="Times New Roman" w:hAnsi="Times New Roman" w:cs="Times New Roman"/>
            <w:color w:val="0B0080"/>
            <w:sz w:val="32"/>
            <w:szCs w:val="32"/>
            <w:lang w:eastAsia="en-IN"/>
          </w:rPr>
          <w:t>Comm</w:t>
        </w:r>
        <w:proofErr w:type="spellEnd"/>
        <w:r w:rsidRPr="00970A1C">
          <w:rPr>
            <w:rFonts w:ascii="Times New Roman" w:eastAsia="Times New Roman" w:hAnsi="Times New Roman" w:cs="Times New Roman"/>
            <w:color w:val="0B0080"/>
            <w:sz w:val="32"/>
            <w:szCs w:val="32"/>
            <w:lang w:eastAsia="en-IN"/>
          </w:rPr>
          <w:t xml:space="preserve"> Challenge</w:t>
        </w:r>
      </w:hyperlink>
      <w:r w:rsidRPr="00970A1C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> is an organization that promotes the development of energy conservation technology and practices in the field of Information and Communications Technology (ICT).</w:t>
      </w:r>
    </w:p>
    <w:p w:rsidR="00970A1C" w:rsidRPr="00970A1C" w:rsidRDefault="00970A1C" w:rsidP="00970A1C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</w:pPr>
      <w:r w:rsidRPr="00970A1C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>The </w:t>
      </w:r>
      <w:hyperlink r:id="rId55" w:tooltip="Transaction Processing Performance Council" w:history="1">
        <w:r w:rsidRPr="00970A1C">
          <w:rPr>
            <w:rFonts w:ascii="Times New Roman" w:eastAsia="Times New Roman" w:hAnsi="Times New Roman" w:cs="Times New Roman"/>
            <w:color w:val="0B0080"/>
            <w:sz w:val="32"/>
            <w:szCs w:val="32"/>
            <w:lang w:eastAsia="en-IN"/>
          </w:rPr>
          <w:t>Transaction Processing Performance Council</w:t>
        </w:r>
      </w:hyperlink>
      <w:r w:rsidRPr="00970A1C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> (TPC) Energy specification augments existing TPC benchmarks by allowing optional publications of energy metrics alongside performance results.</w:t>
      </w:r>
      <w:hyperlink r:id="rId56" w:anchor="cite_note-14" w:history="1">
        <w:r w:rsidRPr="00970A1C">
          <w:rPr>
            <w:rFonts w:ascii="Times New Roman" w:eastAsia="Times New Roman" w:hAnsi="Times New Roman" w:cs="Times New Roman"/>
            <w:color w:val="0B0080"/>
            <w:sz w:val="32"/>
            <w:szCs w:val="32"/>
            <w:vertAlign w:val="superscript"/>
            <w:lang w:eastAsia="en-IN"/>
          </w:rPr>
          <w:t>[14]</w:t>
        </w:r>
      </w:hyperlink>
    </w:p>
    <w:p w:rsidR="00970A1C" w:rsidRPr="00970A1C" w:rsidRDefault="00970A1C" w:rsidP="00970A1C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32"/>
          <w:szCs w:val="32"/>
          <w:lang w:eastAsia="en-IN"/>
        </w:rPr>
      </w:pPr>
      <w:hyperlink r:id="rId57" w:tooltip="SPECpower" w:history="1">
        <w:proofErr w:type="spellStart"/>
        <w:r w:rsidRPr="00970A1C">
          <w:rPr>
            <w:rFonts w:ascii="Arial" w:eastAsia="Times New Roman" w:hAnsi="Arial" w:cs="Arial"/>
            <w:color w:val="0B0080"/>
            <w:sz w:val="32"/>
            <w:szCs w:val="32"/>
            <w:lang w:eastAsia="en-IN"/>
          </w:rPr>
          <w:t>SPECpower</w:t>
        </w:r>
        <w:proofErr w:type="spellEnd"/>
      </w:hyperlink>
      <w:r w:rsidRPr="00970A1C">
        <w:rPr>
          <w:rFonts w:ascii="Arial" w:eastAsia="Times New Roman" w:hAnsi="Arial" w:cs="Arial"/>
          <w:color w:val="222222"/>
          <w:sz w:val="32"/>
          <w:szCs w:val="32"/>
          <w:lang w:eastAsia="en-IN"/>
        </w:rPr>
        <w:t> is the first industry standard benchmark that measures power consumption in relation to performance for server-class computers. Other benchmarks which measure energy efficiency include </w:t>
      </w:r>
      <w:proofErr w:type="spellStart"/>
      <w:r w:rsidRPr="00970A1C">
        <w:rPr>
          <w:rFonts w:ascii="Arial" w:eastAsia="Times New Roman" w:hAnsi="Arial" w:cs="Arial"/>
          <w:color w:val="222222"/>
          <w:sz w:val="32"/>
          <w:szCs w:val="32"/>
          <w:lang w:eastAsia="en-IN"/>
        </w:rPr>
        <w:fldChar w:fldCharType="begin"/>
      </w:r>
      <w:r w:rsidRPr="00970A1C">
        <w:rPr>
          <w:rFonts w:ascii="Arial" w:eastAsia="Times New Roman" w:hAnsi="Arial" w:cs="Arial"/>
          <w:color w:val="222222"/>
          <w:sz w:val="32"/>
          <w:szCs w:val="32"/>
          <w:lang w:eastAsia="en-IN"/>
        </w:rPr>
        <w:instrText xml:space="preserve"> HYPERLINK "https://en.wikipedia.org/w/index.php?title=SPECweb&amp;action=edit&amp;redlink=1" \o "SPECweb (page does not exist)" </w:instrText>
      </w:r>
      <w:r w:rsidRPr="00970A1C">
        <w:rPr>
          <w:rFonts w:ascii="Arial" w:eastAsia="Times New Roman" w:hAnsi="Arial" w:cs="Arial"/>
          <w:color w:val="222222"/>
          <w:sz w:val="32"/>
          <w:szCs w:val="32"/>
          <w:lang w:eastAsia="en-IN"/>
        </w:rPr>
        <w:fldChar w:fldCharType="separate"/>
      </w:r>
      <w:r w:rsidRPr="00970A1C">
        <w:rPr>
          <w:rFonts w:ascii="Arial" w:eastAsia="Times New Roman" w:hAnsi="Arial" w:cs="Arial"/>
          <w:color w:val="A55858"/>
          <w:sz w:val="32"/>
          <w:szCs w:val="32"/>
          <w:lang w:eastAsia="en-IN"/>
        </w:rPr>
        <w:t>SPECweb</w:t>
      </w:r>
      <w:proofErr w:type="spellEnd"/>
      <w:r w:rsidRPr="00970A1C">
        <w:rPr>
          <w:rFonts w:ascii="Arial" w:eastAsia="Times New Roman" w:hAnsi="Arial" w:cs="Arial"/>
          <w:color w:val="222222"/>
          <w:sz w:val="32"/>
          <w:szCs w:val="32"/>
          <w:lang w:eastAsia="en-IN"/>
        </w:rPr>
        <w:fldChar w:fldCharType="end"/>
      </w:r>
      <w:r w:rsidRPr="00970A1C">
        <w:rPr>
          <w:rFonts w:ascii="Arial" w:eastAsia="Times New Roman" w:hAnsi="Arial" w:cs="Arial"/>
          <w:color w:val="222222"/>
          <w:sz w:val="32"/>
          <w:szCs w:val="32"/>
          <w:lang w:eastAsia="en-IN"/>
        </w:rPr>
        <w:t>, </w:t>
      </w:r>
      <w:proofErr w:type="spellStart"/>
      <w:r w:rsidRPr="00970A1C">
        <w:rPr>
          <w:rFonts w:ascii="Arial" w:eastAsia="Times New Roman" w:hAnsi="Arial" w:cs="Arial"/>
          <w:color w:val="222222"/>
          <w:sz w:val="32"/>
          <w:szCs w:val="32"/>
          <w:lang w:eastAsia="en-IN"/>
        </w:rPr>
        <w:fldChar w:fldCharType="begin"/>
      </w:r>
      <w:r w:rsidRPr="00970A1C">
        <w:rPr>
          <w:rFonts w:ascii="Arial" w:eastAsia="Times New Roman" w:hAnsi="Arial" w:cs="Arial"/>
          <w:color w:val="222222"/>
          <w:sz w:val="32"/>
          <w:szCs w:val="32"/>
          <w:lang w:eastAsia="en-IN"/>
        </w:rPr>
        <w:instrText xml:space="preserve"> HYPERLINK "https://en.wikipedia.org/wiki/SPECvirt" \o "SPECvirt" </w:instrText>
      </w:r>
      <w:r w:rsidRPr="00970A1C">
        <w:rPr>
          <w:rFonts w:ascii="Arial" w:eastAsia="Times New Roman" w:hAnsi="Arial" w:cs="Arial"/>
          <w:color w:val="222222"/>
          <w:sz w:val="32"/>
          <w:szCs w:val="32"/>
          <w:lang w:eastAsia="en-IN"/>
        </w:rPr>
        <w:fldChar w:fldCharType="separate"/>
      </w:r>
      <w:r w:rsidRPr="00970A1C">
        <w:rPr>
          <w:rFonts w:ascii="Arial" w:eastAsia="Times New Roman" w:hAnsi="Arial" w:cs="Arial"/>
          <w:color w:val="0B0080"/>
          <w:sz w:val="32"/>
          <w:szCs w:val="32"/>
          <w:lang w:eastAsia="en-IN"/>
        </w:rPr>
        <w:t>SPECvirt</w:t>
      </w:r>
      <w:proofErr w:type="spellEnd"/>
      <w:r w:rsidRPr="00970A1C">
        <w:rPr>
          <w:rFonts w:ascii="Arial" w:eastAsia="Times New Roman" w:hAnsi="Arial" w:cs="Arial"/>
          <w:color w:val="222222"/>
          <w:sz w:val="32"/>
          <w:szCs w:val="32"/>
          <w:lang w:eastAsia="en-IN"/>
        </w:rPr>
        <w:fldChar w:fldCharType="end"/>
      </w:r>
      <w:r w:rsidRPr="00970A1C">
        <w:rPr>
          <w:rFonts w:ascii="Arial" w:eastAsia="Times New Roman" w:hAnsi="Arial" w:cs="Arial"/>
          <w:color w:val="222222"/>
          <w:sz w:val="32"/>
          <w:szCs w:val="32"/>
          <w:lang w:eastAsia="en-IN"/>
        </w:rPr>
        <w:t>,</w:t>
      </w:r>
      <w:hyperlink r:id="rId58" w:anchor="cite_note-15" w:history="1">
        <w:r w:rsidRPr="00970A1C">
          <w:rPr>
            <w:rFonts w:ascii="Arial" w:eastAsia="Times New Roman" w:hAnsi="Arial" w:cs="Arial"/>
            <w:color w:val="0B0080"/>
            <w:sz w:val="32"/>
            <w:szCs w:val="32"/>
            <w:vertAlign w:val="superscript"/>
            <w:lang w:eastAsia="en-IN"/>
          </w:rPr>
          <w:t>[15]</w:t>
        </w:r>
      </w:hyperlink>
      <w:r w:rsidRPr="00970A1C">
        <w:rPr>
          <w:rFonts w:ascii="Arial" w:eastAsia="Times New Roman" w:hAnsi="Arial" w:cs="Arial"/>
          <w:color w:val="222222"/>
          <w:sz w:val="32"/>
          <w:szCs w:val="32"/>
          <w:lang w:eastAsia="en-IN"/>
        </w:rPr>
        <w:t> and </w:t>
      </w:r>
      <w:proofErr w:type="spellStart"/>
      <w:r w:rsidRPr="00970A1C">
        <w:rPr>
          <w:rFonts w:ascii="Arial" w:eastAsia="Times New Roman" w:hAnsi="Arial" w:cs="Arial"/>
          <w:color w:val="222222"/>
          <w:sz w:val="32"/>
          <w:szCs w:val="32"/>
          <w:lang w:eastAsia="en-IN"/>
        </w:rPr>
        <w:fldChar w:fldCharType="begin"/>
      </w:r>
      <w:r w:rsidRPr="00970A1C">
        <w:rPr>
          <w:rFonts w:ascii="Arial" w:eastAsia="Times New Roman" w:hAnsi="Arial" w:cs="Arial"/>
          <w:color w:val="222222"/>
          <w:sz w:val="32"/>
          <w:szCs w:val="32"/>
          <w:lang w:eastAsia="en-IN"/>
        </w:rPr>
        <w:instrText xml:space="preserve"> HYPERLINK "https://en.wikipedia.org/wiki/VMmark" \o "VMmark" </w:instrText>
      </w:r>
      <w:r w:rsidRPr="00970A1C">
        <w:rPr>
          <w:rFonts w:ascii="Arial" w:eastAsia="Times New Roman" w:hAnsi="Arial" w:cs="Arial"/>
          <w:color w:val="222222"/>
          <w:sz w:val="32"/>
          <w:szCs w:val="32"/>
          <w:lang w:eastAsia="en-IN"/>
        </w:rPr>
        <w:fldChar w:fldCharType="separate"/>
      </w:r>
      <w:r w:rsidRPr="00970A1C">
        <w:rPr>
          <w:rFonts w:ascii="Arial" w:eastAsia="Times New Roman" w:hAnsi="Arial" w:cs="Arial"/>
          <w:color w:val="0B0080"/>
          <w:sz w:val="32"/>
          <w:szCs w:val="32"/>
          <w:lang w:eastAsia="en-IN"/>
        </w:rPr>
        <w:t>VMmark</w:t>
      </w:r>
      <w:proofErr w:type="spellEnd"/>
      <w:r w:rsidRPr="00970A1C">
        <w:rPr>
          <w:rFonts w:ascii="Arial" w:eastAsia="Times New Roman" w:hAnsi="Arial" w:cs="Arial"/>
          <w:color w:val="222222"/>
          <w:sz w:val="32"/>
          <w:szCs w:val="32"/>
          <w:lang w:eastAsia="en-IN"/>
        </w:rPr>
        <w:fldChar w:fldCharType="end"/>
      </w:r>
      <w:r w:rsidRPr="00970A1C">
        <w:rPr>
          <w:rFonts w:ascii="Arial" w:eastAsia="Times New Roman" w:hAnsi="Arial" w:cs="Arial"/>
          <w:color w:val="222222"/>
          <w:sz w:val="32"/>
          <w:szCs w:val="32"/>
          <w:lang w:eastAsia="en-IN"/>
        </w:rPr>
        <w:t>.</w:t>
      </w:r>
      <w:hyperlink r:id="rId59" w:anchor="cite_note-16" w:history="1">
        <w:r w:rsidRPr="00970A1C">
          <w:rPr>
            <w:rFonts w:ascii="Arial" w:eastAsia="Times New Roman" w:hAnsi="Arial" w:cs="Arial"/>
            <w:color w:val="0B0080"/>
            <w:sz w:val="32"/>
            <w:szCs w:val="32"/>
            <w:vertAlign w:val="superscript"/>
            <w:lang w:eastAsia="en-IN"/>
          </w:rPr>
          <w:t>[16]</w:t>
        </w:r>
      </w:hyperlink>
    </w:p>
    <w:p w:rsidR="00970A1C" w:rsidRPr="00970A1C" w:rsidRDefault="00970A1C">
      <w:pPr>
        <w:rPr>
          <w:rFonts w:ascii="Times New Roman" w:hAnsi="Times New Roman" w:cs="Times New Roman"/>
          <w:sz w:val="32"/>
          <w:szCs w:val="32"/>
        </w:rPr>
      </w:pPr>
    </w:p>
    <w:sectPr w:rsidR="00970A1C" w:rsidRPr="00970A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F86C66"/>
    <w:multiLevelType w:val="multilevel"/>
    <w:tmpl w:val="9244C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A1C"/>
    <w:rsid w:val="002457C0"/>
    <w:rsid w:val="00970A1C"/>
    <w:rsid w:val="00CB7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F6D0E8-D063-4EF2-98D7-9AF93A829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70A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970A1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0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6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n.wikipedia.org/wiki/Energy_Star" TargetMode="External"/><Relationship Id="rId18" Type="http://schemas.openxmlformats.org/officeDocument/2006/relationships/hyperlink" Target="https://en.wikipedia.org/wiki/Computer_display" TargetMode="External"/><Relationship Id="rId26" Type="http://schemas.openxmlformats.org/officeDocument/2006/relationships/hyperlink" Target="https://en.wikipedia.org/wiki/American_Recovery_and_Reinvestment_Act" TargetMode="External"/><Relationship Id="rId39" Type="http://schemas.openxmlformats.org/officeDocument/2006/relationships/hyperlink" Target="https://en.wikipedia.org/wiki/The_Green_Grid" TargetMode="External"/><Relationship Id="rId21" Type="http://schemas.openxmlformats.org/officeDocument/2006/relationships/hyperlink" Target="https://en.wikipedia.org/wiki/Governmental" TargetMode="External"/><Relationship Id="rId34" Type="http://schemas.openxmlformats.org/officeDocument/2006/relationships/hyperlink" Target="https://en.wikipedia.org/wiki/Green_Electronics_Council" TargetMode="External"/><Relationship Id="rId42" Type="http://schemas.openxmlformats.org/officeDocument/2006/relationships/hyperlink" Target="https://en.wikipedia.org/wiki/Dell" TargetMode="External"/><Relationship Id="rId47" Type="http://schemas.openxmlformats.org/officeDocument/2006/relationships/hyperlink" Target="http://www.parker.com/portal/site/Market-Tech/menuitem.e9f921bc8ae21676de92b210237ad1ca/?vgnextoid=e7bfa7bee4a70310VgnVCM10000048021dacRCRD&amp;vgnextfmt=default" TargetMode="External"/><Relationship Id="rId50" Type="http://schemas.openxmlformats.org/officeDocument/2006/relationships/hyperlink" Target="https://en.wikipedia.org/wiki/Data_center_infrastructure_efficiency" TargetMode="External"/><Relationship Id="rId55" Type="http://schemas.openxmlformats.org/officeDocument/2006/relationships/hyperlink" Target="https://en.wikipedia.org/wiki/Transaction_Processing_Performance_Council" TargetMode="External"/><Relationship Id="rId7" Type="http://schemas.openxmlformats.org/officeDocument/2006/relationships/hyperlink" Target="https://en.wikipedia.org/wiki/Efficient_energy_use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/index.php?title=TCO_Certification&amp;action=edit&amp;redlink=1" TargetMode="External"/><Relationship Id="rId20" Type="http://schemas.openxmlformats.org/officeDocument/2006/relationships/hyperlink" Target="https://en.wikipedia.org/wiki/Green_computing" TargetMode="External"/><Relationship Id="rId29" Type="http://schemas.openxmlformats.org/officeDocument/2006/relationships/hyperlink" Target="https://en.wikipedia.org/wiki/Climate_Savers_Computing_Initiative" TargetMode="External"/><Relationship Id="rId41" Type="http://schemas.openxmlformats.org/officeDocument/2006/relationships/hyperlink" Target="https://en.wikipedia.org/wiki/American_Power_Conversion" TargetMode="External"/><Relationship Id="rId54" Type="http://schemas.openxmlformats.org/officeDocument/2006/relationships/hyperlink" Target="https://en.wikipedia.org/wiki/Green_Comm_Challeng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Green_chemistry" TargetMode="External"/><Relationship Id="rId11" Type="http://schemas.openxmlformats.org/officeDocument/2006/relationships/hyperlink" Target="https://en.wikipedia.org/wiki/Green_computing" TargetMode="External"/><Relationship Id="rId24" Type="http://schemas.openxmlformats.org/officeDocument/2006/relationships/hyperlink" Target="https://en.wikipedia.org/wiki/Green_computing" TargetMode="External"/><Relationship Id="rId32" Type="http://schemas.openxmlformats.org/officeDocument/2006/relationships/hyperlink" Target="https://en.wikipedia.org/wiki/Green_computing" TargetMode="External"/><Relationship Id="rId37" Type="http://schemas.openxmlformats.org/officeDocument/2006/relationships/hyperlink" Target="https://en.wikipedia.org/wiki/Green_computing" TargetMode="External"/><Relationship Id="rId40" Type="http://schemas.openxmlformats.org/officeDocument/2006/relationships/hyperlink" Target="https://en.wikipedia.org/wiki/AMD" TargetMode="External"/><Relationship Id="rId45" Type="http://schemas.openxmlformats.org/officeDocument/2006/relationships/hyperlink" Target="https://en.wikipedia.org/wiki/Intel" TargetMode="External"/><Relationship Id="rId53" Type="http://schemas.openxmlformats.org/officeDocument/2006/relationships/hyperlink" Target="https://en.wikipedia.org/wiki/Watt" TargetMode="External"/><Relationship Id="rId58" Type="http://schemas.openxmlformats.org/officeDocument/2006/relationships/hyperlink" Target="https://en.wikipedia.org/wiki/Green_computing" TargetMode="External"/><Relationship Id="rId5" Type="http://schemas.openxmlformats.org/officeDocument/2006/relationships/hyperlink" Target="https://en.wikipedia.org/wiki/Environmentally_sustainable" TargetMode="External"/><Relationship Id="rId15" Type="http://schemas.openxmlformats.org/officeDocument/2006/relationships/hyperlink" Target="https://en.wikipedia.org/wiki/Sleep_mode" TargetMode="External"/><Relationship Id="rId23" Type="http://schemas.openxmlformats.org/officeDocument/2006/relationships/hyperlink" Target="https://en.wikipedia.org/wiki/Green_computing" TargetMode="External"/><Relationship Id="rId28" Type="http://schemas.openxmlformats.org/officeDocument/2006/relationships/hyperlink" Target="https://en.wikipedia.org/wiki/Green_computing" TargetMode="External"/><Relationship Id="rId36" Type="http://schemas.openxmlformats.org/officeDocument/2006/relationships/hyperlink" Target="https://en.wikipedia.org/wiki/George_W._Bush" TargetMode="External"/><Relationship Id="rId49" Type="http://schemas.openxmlformats.org/officeDocument/2006/relationships/hyperlink" Target="https://en.wikipedia.org/wiki/VMware" TargetMode="External"/><Relationship Id="rId57" Type="http://schemas.openxmlformats.org/officeDocument/2006/relationships/hyperlink" Target="https://en.wikipedia.org/wiki/SPECpower" TargetMode="External"/><Relationship Id="rId61" Type="http://schemas.openxmlformats.org/officeDocument/2006/relationships/theme" Target="theme/theme1.xml"/><Relationship Id="rId10" Type="http://schemas.openxmlformats.org/officeDocument/2006/relationships/hyperlink" Target="https://en.wikipedia.org/wiki/Green_computing" TargetMode="External"/><Relationship Id="rId19" Type="http://schemas.openxmlformats.org/officeDocument/2006/relationships/hyperlink" Target="https://en.wikipedia.org/wiki/Ergonomics" TargetMode="External"/><Relationship Id="rId31" Type="http://schemas.openxmlformats.org/officeDocument/2006/relationships/hyperlink" Target="https://en.wikipedia.org/wiki/World_Wildlife_Fund" TargetMode="External"/><Relationship Id="rId44" Type="http://schemas.openxmlformats.org/officeDocument/2006/relationships/hyperlink" Target="https://en.wikipedia.org/wiki/IBM" TargetMode="External"/><Relationship Id="rId52" Type="http://schemas.openxmlformats.org/officeDocument/2006/relationships/hyperlink" Target="https://en.wikipedia.org/wiki/Megaflops" TargetMode="External"/><Relationship Id="rId6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Biodegradation" TargetMode="External"/><Relationship Id="rId14" Type="http://schemas.openxmlformats.org/officeDocument/2006/relationships/hyperlink" Target="https://en.wikipedia.org/wiki/Efficient_energy_use" TargetMode="External"/><Relationship Id="rId22" Type="http://schemas.openxmlformats.org/officeDocument/2006/relationships/hyperlink" Target="https://en.wikipedia.org/wiki/Energy_Star" TargetMode="External"/><Relationship Id="rId27" Type="http://schemas.openxmlformats.org/officeDocument/2006/relationships/hyperlink" Target="https://en.wikipedia.org/wiki/Computer_cooling" TargetMode="External"/><Relationship Id="rId30" Type="http://schemas.openxmlformats.org/officeDocument/2006/relationships/hyperlink" Target="https://en.wikipedia.org/wiki/Green_computing" TargetMode="External"/><Relationship Id="rId35" Type="http://schemas.openxmlformats.org/officeDocument/2006/relationships/hyperlink" Target="https://en.wikipedia.org/wiki/Electronic_Product_Environmental_Assessment_Tool" TargetMode="External"/><Relationship Id="rId43" Type="http://schemas.openxmlformats.org/officeDocument/2006/relationships/hyperlink" Target="https://en.wikipedia.org/wiki/Hewlett-Packard" TargetMode="External"/><Relationship Id="rId48" Type="http://schemas.openxmlformats.org/officeDocument/2006/relationships/hyperlink" Target="https://en.wikipedia.org/wiki/Sun_Microsystems" TargetMode="External"/><Relationship Id="rId56" Type="http://schemas.openxmlformats.org/officeDocument/2006/relationships/hyperlink" Target="https://en.wikipedia.org/wiki/Green_computing" TargetMode="External"/><Relationship Id="rId8" Type="http://schemas.openxmlformats.org/officeDocument/2006/relationships/hyperlink" Target="https://en.wikipedia.org/wiki/Recycling" TargetMode="External"/><Relationship Id="rId51" Type="http://schemas.openxmlformats.org/officeDocument/2006/relationships/hyperlink" Target="https://en.wikipedia.org/wiki/Green500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en.wikipedia.org/wiki/United_States_Environmental_Protection_Agency" TargetMode="External"/><Relationship Id="rId17" Type="http://schemas.openxmlformats.org/officeDocument/2006/relationships/hyperlink" Target="https://en.wikipedia.org/wiki/Cathode_ray_tube" TargetMode="External"/><Relationship Id="rId25" Type="http://schemas.openxmlformats.org/officeDocument/2006/relationships/hyperlink" Target="https://en.wikipedia.org/wiki/Green_computing" TargetMode="External"/><Relationship Id="rId33" Type="http://schemas.openxmlformats.org/officeDocument/2006/relationships/hyperlink" Target="https://en.wikipedia.org/wiki/Green_computing" TargetMode="External"/><Relationship Id="rId38" Type="http://schemas.openxmlformats.org/officeDocument/2006/relationships/hyperlink" Target="https://en.wikipedia.org/wiki/Green_computing" TargetMode="External"/><Relationship Id="rId46" Type="http://schemas.openxmlformats.org/officeDocument/2006/relationships/hyperlink" Target="https://en.wikipedia.org/wiki/Microsoft" TargetMode="External"/><Relationship Id="rId59" Type="http://schemas.openxmlformats.org/officeDocument/2006/relationships/hyperlink" Target="https://en.wikipedia.org/wiki/Green_comput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1558</Words>
  <Characters>8887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2019-12-18T08:47:00Z</dcterms:created>
  <dcterms:modified xsi:type="dcterms:W3CDTF">2019-12-18T09:11:00Z</dcterms:modified>
</cp:coreProperties>
</file>