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Calibri" w:hAnsi="Calibri"/>
          <w:b/>
          <w:color w:val="0B2545"/>
          <w:sz w:val="60"/>
        </w:rPr>
        <w:t>CoilManager</w:t>
      </w:r>
    </w:p>
    <w:p>
      <w:pPr>
        <w:spacing w:after="360"/>
        <w:jc w:val="center"/>
      </w:pPr>
      <w:r>
        <w:rPr>
          <w:rFonts w:ascii="Calibri" w:hAnsi="Calibri"/>
          <w:b/>
          <w:color w:val="2E74B5"/>
          <w:sz w:val="34"/>
        </w:rPr>
        <w:t>Build, Run, and Database Migration Guide</w:t>
      </w:r>
    </w:p>
    <w:p>
      <w:pPr>
        <w:spacing w:after="840"/>
        <w:jc w:val="center"/>
      </w:pPr>
      <w:r>
        <w:rPr>
          <w:rFonts w:ascii="Calibri" w:hAnsi="Calibri"/>
          <w:color w:val="667085"/>
          <w:sz w:val="22"/>
        </w:rPr>
        <w:t>Angular 22 | ASP.NET Core 8 | SQL Server / LocalDB</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Purpose: </w:t>
            </w:r>
            <w:r>
              <w:rPr>
                <w:rFonts w:ascii="Calibri" w:hAnsi="Calibri"/>
                <w:color w:val="0B2545"/>
                <w:sz w:val="22"/>
              </w:rPr>
              <w:t>A practical operator guide for building and running the CoilManager UI and API, locating the current development database, and moving it safely from SQL Server LocalDB to a full Microsoft SQL Server instance.</w:t>
            </w:r>
          </w:p>
        </w:tc>
      </w:tr>
    </w:tbl>
    <w:p>
      <w:pPr>
        <w:spacing w:after="20"/>
      </w:pP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r>
              <w:rPr>
                <w:rFonts w:ascii="Calibri" w:hAnsi="Calibri"/>
                <w:b/>
                <w:color w:val="0B2545"/>
                <w:sz w:val="22"/>
              </w:rPr>
              <w:t>Item</w:t>
            </w:r>
          </w:p>
        </w:tc>
        <w:tc>
          <w:tcPr>
            <w:tcW w:type="dxa" w:w="6660"/>
            <w:vAlign w:val="center"/>
            <w:tcMar>
              <w:top w:w="80" w:type="dxa"/>
              <w:start w:w="120" w:type="dxa"/>
              <w:bottom w:w="80" w:type="dxa"/>
              <w:end w:w="120" w:type="dxa"/>
            </w:tcMar>
            <w:shd w:fill="E8EEF5"/>
          </w:tcPr>
          <w:p>
            <w:r>
              <w:rPr>
                <w:rFonts w:ascii="Calibri" w:hAnsi="Calibri"/>
                <w:b/>
                <w:color w:val="0B2545"/>
                <w:sz w:val="22"/>
              </w:rPr>
              <w:t>Repository-specific value</w:t>
            </w:r>
          </w:p>
        </w:tc>
      </w:tr>
      <w:tr>
        <w:tc>
          <w:tcPr>
            <w:tcW w:type="dxa" w:w="2700"/>
            <w:vAlign w:val="center"/>
            <w:tcMar>
              <w:top w:w="80" w:type="dxa"/>
              <w:start w:w="120" w:type="dxa"/>
              <w:bottom w:w="80" w:type="dxa"/>
              <w:end w:w="120" w:type="dxa"/>
            </w:tcMar>
          </w:tcPr>
          <w:p>
            <w:r>
              <w:rPr>
                <w:rFonts w:ascii="Calibri" w:hAnsi="Calibri"/>
                <w:b/>
                <w:color w:val="1F4D78"/>
                <w:sz w:val="22"/>
              </w:rPr>
              <w:t>Repository root</w:t>
            </w:r>
          </w:p>
        </w:tc>
        <w:tc>
          <w:tcPr>
            <w:tcW w:type="dxa" w:w="6660"/>
            <w:vAlign w:val="center"/>
            <w:tcMar>
              <w:top w:w="80" w:type="dxa"/>
              <w:start w:w="120" w:type="dxa"/>
              <w:bottom w:w="80" w:type="dxa"/>
              <w:end w:w="120" w:type="dxa"/>
            </w:tcMar>
          </w:tcPr>
          <w:p>
            <w:r>
              <w:rPr>
                <w:rFonts w:ascii="Calibri" w:hAnsi="Calibri"/>
                <w:sz w:val="22"/>
              </w:rPr>
              <w:t>C:\VISHAL\Codes\CoilManager</w:t>
            </w:r>
          </w:p>
        </w:tc>
      </w:tr>
      <w:tr>
        <w:tc>
          <w:tcPr>
            <w:tcW w:type="dxa" w:w="2700"/>
            <w:vAlign w:val="center"/>
            <w:tcMar>
              <w:top w:w="80" w:type="dxa"/>
              <w:start w:w="120" w:type="dxa"/>
              <w:bottom w:w="80" w:type="dxa"/>
              <w:end w:w="120" w:type="dxa"/>
            </w:tcMar>
          </w:tcPr>
          <w:p>
            <w:r>
              <w:rPr>
                <w:rFonts w:ascii="Calibri" w:hAnsi="Calibri"/>
                <w:b/>
                <w:color w:val="1F4D78"/>
                <w:sz w:val="22"/>
              </w:rPr>
              <w:t>UI project</w:t>
            </w:r>
          </w:p>
        </w:tc>
        <w:tc>
          <w:tcPr>
            <w:tcW w:type="dxa" w:w="6660"/>
            <w:vAlign w:val="center"/>
            <w:tcMar>
              <w:top w:w="80" w:type="dxa"/>
              <w:start w:w="120" w:type="dxa"/>
              <w:bottom w:w="80" w:type="dxa"/>
              <w:end w:w="120" w:type="dxa"/>
            </w:tcMar>
          </w:tcPr>
          <w:p>
            <w:r>
              <w:rPr>
                <w:rFonts w:ascii="Calibri" w:hAnsi="Calibri"/>
                <w:sz w:val="22"/>
              </w:rPr>
              <w:t>src\CoilManager.UI</w:t>
            </w:r>
          </w:p>
        </w:tc>
      </w:tr>
      <w:tr>
        <w:tc>
          <w:tcPr>
            <w:tcW w:type="dxa" w:w="2700"/>
            <w:vAlign w:val="center"/>
            <w:tcMar>
              <w:top w:w="80" w:type="dxa"/>
              <w:start w:w="120" w:type="dxa"/>
              <w:bottom w:w="80" w:type="dxa"/>
              <w:end w:w="120" w:type="dxa"/>
            </w:tcMar>
          </w:tcPr>
          <w:p>
            <w:r>
              <w:rPr>
                <w:rFonts w:ascii="Calibri" w:hAnsi="Calibri"/>
                <w:b/>
                <w:color w:val="1F4D78"/>
                <w:sz w:val="22"/>
              </w:rPr>
              <w:t>API project</w:t>
            </w:r>
          </w:p>
        </w:tc>
        <w:tc>
          <w:tcPr>
            <w:tcW w:type="dxa" w:w="6660"/>
            <w:vAlign w:val="center"/>
            <w:tcMar>
              <w:top w:w="80" w:type="dxa"/>
              <w:start w:w="120" w:type="dxa"/>
              <w:bottom w:w="80" w:type="dxa"/>
              <w:end w:w="120" w:type="dxa"/>
            </w:tcMar>
          </w:tcPr>
          <w:p>
            <w:r>
              <w:rPr>
                <w:rFonts w:ascii="Calibri" w:hAnsi="Calibri"/>
                <w:sz w:val="22"/>
              </w:rPr>
              <w:t>src\CoilManager.API\CoilManager.API.csproj</w:t>
            </w:r>
          </w:p>
        </w:tc>
      </w:tr>
      <w:tr>
        <w:tc>
          <w:tcPr>
            <w:tcW w:type="dxa" w:w="2700"/>
            <w:vAlign w:val="center"/>
            <w:tcMar>
              <w:top w:w="80" w:type="dxa"/>
              <w:start w:w="120" w:type="dxa"/>
              <w:bottom w:w="80" w:type="dxa"/>
              <w:end w:w="120" w:type="dxa"/>
            </w:tcMar>
          </w:tcPr>
          <w:p>
            <w:r>
              <w:rPr>
                <w:rFonts w:ascii="Calibri" w:hAnsi="Calibri"/>
                <w:b/>
                <w:color w:val="1F4D78"/>
                <w:sz w:val="22"/>
              </w:rPr>
              <w:t>Development UI URL</w:t>
            </w:r>
          </w:p>
        </w:tc>
        <w:tc>
          <w:tcPr>
            <w:tcW w:type="dxa" w:w="6660"/>
            <w:vAlign w:val="center"/>
            <w:tcMar>
              <w:top w:w="80" w:type="dxa"/>
              <w:start w:w="120" w:type="dxa"/>
              <w:bottom w:w="80" w:type="dxa"/>
              <w:end w:w="120" w:type="dxa"/>
            </w:tcMar>
          </w:tcPr>
          <w:p>
            <w:r>
              <w:rPr>
                <w:rFonts w:ascii="Calibri" w:hAnsi="Calibri"/>
                <w:sz w:val="22"/>
              </w:rPr>
              <w:t>http://localhost:4200</w:t>
            </w:r>
          </w:p>
        </w:tc>
      </w:tr>
      <w:tr>
        <w:tc>
          <w:tcPr>
            <w:tcW w:type="dxa" w:w="2700"/>
            <w:vAlign w:val="center"/>
            <w:tcMar>
              <w:top w:w="80" w:type="dxa"/>
              <w:start w:w="120" w:type="dxa"/>
              <w:bottom w:w="80" w:type="dxa"/>
              <w:end w:w="120" w:type="dxa"/>
            </w:tcMar>
          </w:tcPr>
          <w:p>
            <w:r>
              <w:rPr>
                <w:rFonts w:ascii="Calibri" w:hAnsi="Calibri"/>
                <w:b/>
                <w:color w:val="1F4D78"/>
                <w:sz w:val="22"/>
              </w:rPr>
              <w:t>Development API URL</w:t>
            </w:r>
          </w:p>
        </w:tc>
        <w:tc>
          <w:tcPr>
            <w:tcW w:type="dxa" w:w="6660"/>
            <w:vAlign w:val="center"/>
            <w:tcMar>
              <w:top w:w="80" w:type="dxa"/>
              <w:start w:w="120" w:type="dxa"/>
              <w:bottom w:w="80" w:type="dxa"/>
              <w:end w:w="120" w:type="dxa"/>
            </w:tcMar>
          </w:tcPr>
          <w:p>
            <w:r>
              <w:rPr>
                <w:rFonts w:ascii="Calibri" w:hAnsi="Calibri"/>
                <w:sz w:val="22"/>
              </w:rPr>
              <w:t>http://localhost:5170</w:t>
            </w:r>
          </w:p>
        </w:tc>
      </w:tr>
      <w:tr>
        <w:tc>
          <w:tcPr>
            <w:tcW w:type="dxa" w:w="2700"/>
            <w:vAlign w:val="center"/>
            <w:tcMar>
              <w:top w:w="80" w:type="dxa"/>
              <w:start w:w="120" w:type="dxa"/>
              <w:bottom w:w="80" w:type="dxa"/>
              <w:end w:w="120" w:type="dxa"/>
            </w:tcMar>
          </w:tcPr>
          <w:p>
            <w:r>
              <w:rPr>
                <w:rFonts w:ascii="Calibri" w:hAnsi="Calibri"/>
                <w:b/>
                <w:color w:val="1F4D78"/>
                <w:sz w:val="22"/>
              </w:rPr>
              <w:t>Swagger URL</w:t>
            </w:r>
          </w:p>
        </w:tc>
        <w:tc>
          <w:tcPr>
            <w:tcW w:type="dxa" w:w="6660"/>
            <w:vAlign w:val="center"/>
            <w:tcMar>
              <w:top w:w="80" w:type="dxa"/>
              <w:start w:w="120" w:type="dxa"/>
              <w:bottom w:w="80" w:type="dxa"/>
              <w:end w:w="120" w:type="dxa"/>
            </w:tcMar>
          </w:tcPr>
          <w:p>
            <w:r>
              <w:rPr>
                <w:rFonts w:ascii="Calibri" w:hAnsi="Calibri"/>
                <w:sz w:val="22"/>
              </w:rPr>
              <w:t>http://localhost:5170/swagger</w:t>
            </w:r>
          </w:p>
        </w:tc>
      </w:tr>
      <w:tr>
        <w:tc>
          <w:tcPr>
            <w:tcW w:type="dxa" w:w="2700"/>
            <w:vAlign w:val="center"/>
            <w:tcMar>
              <w:top w:w="80" w:type="dxa"/>
              <w:start w:w="120" w:type="dxa"/>
              <w:bottom w:w="80" w:type="dxa"/>
              <w:end w:w="120" w:type="dxa"/>
            </w:tcMar>
          </w:tcPr>
          <w:p>
            <w:r>
              <w:rPr>
                <w:rFonts w:ascii="Calibri" w:hAnsi="Calibri"/>
                <w:b/>
                <w:color w:val="1F4D78"/>
                <w:sz w:val="22"/>
              </w:rPr>
              <w:t>Document date</w:t>
            </w:r>
          </w:p>
        </w:tc>
        <w:tc>
          <w:tcPr>
            <w:tcW w:type="dxa" w:w="6660"/>
            <w:vAlign w:val="center"/>
            <w:tcMar>
              <w:top w:w="80" w:type="dxa"/>
              <w:start w:w="120" w:type="dxa"/>
              <w:bottom w:w="80" w:type="dxa"/>
              <w:end w:w="120" w:type="dxa"/>
            </w:tcMar>
          </w:tcPr>
          <w:p>
            <w:r>
              <w:rPr>
                <w:rFonts w:ascii="Calibri" w:hAnsi="Calibri"/>
                <w:sz w:val="22"/>
              </w:rPr>
              <w:t>2026-08-25</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F2"/>
          </w:tcPr>
          <w:p>
            <w:pPr>
              <w:spacing w:after="0"/>
            </w:pPr>
            <w:r>
              <w:rPr>
                <w:rFonts w:ascii="Calibri" w:hAnsi="Calibri"/>
                <w:b/>
                <w:color w:val="9B1C1C"/>
                <w:sz w:val="22"/>
              </w:rPr>
              <w:t xml:space="preserve">Important: </w:t>
            </w:r>
            <w:r>
              <w:rPr>
                <w:rFonts w:ascii="Calibri" w:hAnsi="Calibri"/>
                <w:color w:val="0B2545"/>
                <w:sz w:val="22"/>
              </w:rPr>
              <w:t>Commands in this guide assume Windows PowerShell and that the current directory is the repository root unless a step says otherwise.</w:t>
            </w:r>
          </w:p>
        </w:tc>
      </w:tr>
    </w:tbl>
    <w:p>
      <w:pPr>
        <w:spacing w:after="20"/>
      </w:pPr>
    </w:p>
    <w:p>
      <w:r>
        <w:br w:type="page"/>
      </w:r>
    </w:p>
    <w:p>
      <w:pPr>
        <w:pStyle w:val="Heading1"/>
        <w:keepNext/>
      </w:pPr>
      <w:r>
        <w:t>1. Prerequisites</w:t>
      </w:r>
    </w:p>
    <w:p>
      <w:pPr>
        <w:pStyle w:val="ListBullet"/>
        <w:spacing w:after="80" w:line="300" w:lineRule="auto"/>
      </w:pPr>
      <w:r>
        <w:rPr>
          <w:rFonts w:ascii="Calibri" w:hAnsi="Calibri"/>
          <w:sz w:val="22"/>
        </w:rPr>
        <w:t>Node.js and npm. The Angular project uses Angular 22 and TypeScript 6 through local npm dependencies.</w:t>
      </w:r>
    </w:p>
    <w:p>
      <w:pPr>
        <w:pStyle w:val="ListBullet"/>
        <w:spacing w:after="80" w:line="300" w:lineRule="auto"/>
      </w:pPr>
      <w:r>
        <w:rPr>
          <w:rFonts w:ascii="Calibri" w:hAnsi="Calibri"/>
          <w:sz w:val="22"/>
        </w:rPr>
        <w:t>.NET SDK 8.0. The repository pins SDK 8.0.400 in global.json and permits later .NET 8 feature bands.</w:t>
      </w:r>
    </w:p>
    <w:p>
      <w:pPr>
        <w:pStyle w:val="ListBullet"/>
        <w:spacing w:after="80" w:line="300" w:lineRule="auto"/>
      </w:pPr>
      <w:r>
        <w:rPr>
          <w:rFonts w:ascii="Calibri" w:hAnsi="Calibri"/>
          <w:sz w:val="22"/>
        </w:rPr>
        <w:t>SQL Server LocalDB for local development, or a reachable Microsoft SQL Server instance for shared/production use.</w:t>
      </w:r>
    </w:p>
    <w:p>
      <w:pPr>
        <w:pStyle w:val="ListBullet"/>
        <w:spacing w:after="80" w:line="300" w:lineRule="auto"/>
      </w:pPr>
      <w:r>
        <w:rPr>
          <w:rFonts w:ascii="Calibri" w:hAnsi="Calibri"/>
          <w:sz w:val="22"/>
        </w:rPr>
        <w:t>Optional but recommended: SQL Server Management Studio (SSMS) for backup, restore, login, and permission administration.</w:t>
      </w:r>
    </w:p>
    <w:p>
      <w:pPr>
        <w:pStyle w:val="ListBullet"/>
        <w:spacing w:after="80" w:line="300" w:lineRule="auto"/>
      </w:pPr>
      <w:r>
        <w:rPr>
          <w:rFonts w:ascii="Calibri" w:hAnsi="Calibri"/>
          <w:sz w:val="22"/>
        </w:rPr>
        <w:t>The repository-local dotnet-ef tool. Restore it with dotnet tool restore before running EF Core commands.</w:t>
      </w:r>
    </w:p>
    <w:p>
      <w:pPr>
        <w:pStyle w:val="Heading2"/>
        <w:keepNext/>
      </w:pPr>
      <w:r>
        <w:t>Quick environment check</w:t>
      </w:r>
    </w:p>
    <w:p>
      <w:pPr>
        <w:spacing w:before="60" w:after="160" w:line="252" w:lineRule="auto"/>
        <w:ind w:left="259" w:right="259"/>
        <w:shd w:fill="F2F4F7"/>
      </w:pPr>
      <w:r>
        <w:rPr>
          <w:rFonts w:ascii="Consolas" w:hAnsi="Consolas"/>
          <w:color w:val="0B2545"/>
          <w:sz w:val="18"/>
        </w:rPr>
        <w:t>node --version</w:t>
      </w:r>
      <w:r>
        <w:br/>
      </w:r>
      <w:r>
        <w:rPr>
          <w:rFonts w:ascii="Consolas" w:hAnsi="Consolas"/>
          <w:color w:val="0B2545"/>
          <w:sz w:val="18"/>
        </w:rPr>
        <w:t>npm --version</w:t>
      </w:r>
      <w:r>
        <w:br/>
      </w:r>
      <w:r>
        <w:rPr>
          <w:rFonts w:ascii="Consolas" w:hAnsi="Consolas"/>
          <w:color w:val="0B2545"/>
          <w:sz w:val="18"/>
        </w:rPr>
        <w:t>dotnet --version</w:t>
      </w:r>
      <w:r>
        <w:br/>
      </w:r>
      <w:r>
        <w:rPr>
          <w:rFonts w:ascii="Consolas" w:hAnsi="Consolas"/>
          <w:color w:val="0B2545"/>
          <w:sz w:val="18"/>
        </w:rPr>
        <w:t>dotnet tool restore</w:t>
      </w:r>
    </w:p>
    <w:p>
      <w:pPr>
        <w:pStyle w:val="Heading1"/>
        <w:keepNext/>
      </w:pPr>
      <w:r>
        <w:t>2. Build and run the Angular application</w:t>
      </w:r>
    </w:p>
    <w:p>
      <w:pPr>
        <w:pStyle w:val="Heading2"/>
        <w:keepNext/>
      </w:pPr>
      <w:r>
        <w:t>2.1 Install dependencies</w:t>
      </w:r>
    </w:p>
    <w:p>
      <w:pPr>
        <w:pStyle w:val="ListNumber"/>
        <w:spacing w:after="100" w:line="300" w:lineRule="auto"/>
      </w:pPr>
      <w:r>
        <w:rPr>
          <w:rFonts w:ascii="Calibri" w:hAnsi="Calibri"/>
          <w:sz w:val="22"/>
        </w:rPr>
        <w:t>Open PowerShell and change to C:\VISHAL\Codes\CoilManager\src\CoilManager.UI.</w:t>
      </w:r>
    </w:p>
    <w:p>
      <w:pPr>
        <w:spacing w:before="60" w:after="160" w:line="252" w:lineRule="auto"/>
        <w:ind w:left="259" w:right="259"/>
        <w:shd w:fill="F2F4F7"/>
      </w:pPr>
      <w:r>
        <w:rPr>
          <w:rFonts w:ascii="Consolas" w:hAnsi="Consolas"/>
          <w:color w:val="0B2545"/>
          <w:sz w:val="18"/>
        </w:rPr>
        <w:t>cd C:\VISHAL\Codes\CoilManager\src\CoilManager.UI\nnpm ci</w:t>
      </w:r>
    </w:p>
    <w:p>
      <w:pPr>
        <w:spacing w:after="120" w:line="300" w:lineRule="auto"/>
      </w:pPr>
      <w:r>
        <w:rPr>
          <w:rFonts w:ascii="Calibri" w:hAnsi="Calibri"/>
          <w:sz w:val="22"/>
        </w:rPr>
        <w:t>Use npm ci when package-lock.json is present. It installs the exact locked dependency versions and is preferred for repeatable developer and CI builds.</w:t>
      </w:r>
    </w:p>
    <w:p>
      <w:pPr>
        <w:pStyle w:val="Heading2"/>
        <w:keepNext/>
      </w:pPr>
      <w:r>
        <w:t>2.2 Run the development server</w:t>
      </w:r>
    </w:p>
    <w:p>
      <w:pPr>
        <w:spacing w:before="60" w:after="160" w:line="252" w:lineRule="auto"/>
        <w:ind w:left="259" w:right="259"/>
        <w:shd w:fill="F2F4F7"/>
      </w:pPr>
      <w:r>
        <w:rPr>
          <w:rFonts w:ascii="Consolas" w:hAnsi="Consolas"/>
          <w:color w:val="0B2545"/>
          <w:sz w:val="18"/>
        </w:rPr>
        <w:t>npm start</w:t>
      </w:r>
    </w:p>
    <w:p>
      <w:pPr>
        <w:pStyle w:val="ListBullet"/>
        <w:spacing w:after="80" w:line="300" w:lineRule="auto"/>
      </w:pPr>
      <w:r>
        <w:rPr>
          <w:rFonts w:ascii="Calibri" w:hAnsi="Calibri"/>
          <w:sz w:val="22"/>
        </w:rPr>
        <w:t>The development server listens at http://localhost:4200.</w:t>
      </w:r>
    </w:p>
    <w:p>
      <w:pPr>
        <w:pStyle w:val="ListBullet"/>
        <w:spacing w:after="80" w:line="300" w:lineRule="auto"/>
      </w:pPr>
      <w:r>
        <w:rPr>
          <w:rFonts w:ascii="Calibri" w:hAnsi="Calibri"/>
          <w:sz w:val="22"/>
        </w:rPr>
        <w:t>The development environment sends API requests to http://localhost:5170/api.</w:t>
      </w:r>
    </w:p>
    <w:p>
      <w:pPr>
        <w:pStyle w:val="ListBullet"/>
        <w:spacing w:after="80" w:line="300" w:lineRule="auto"/>
      </w:pPr>
      <w:r>
        <w:rPr>
          <w:rFonts w:ascii="Calibri" w:hAnsi="Calibri"/>
          <w:sz w:val="22"/>
        </w:rPr>
        <w:t>Angular watches source files and rebuilds automatically after changes.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If PowerShell blocks npm.ps1: </w:t>
            </w:r>
            <w:r>
              <w:rPr>
                <w:rFonts w:ascii="Calibri" w:hAnsi="Calibri"/>
                <w:color w:val="0B2545"/>
                <w:sz w:val="22"/>
              </w:rPr>
              <w:t>Run npm.cmd start and npm.cmd run build instead of npm start and npm run build.</w:t>
            </w:r>
          </w:p>
        </w:tc>
      </w:tr>
    </w:tbl>
    <w:p>
      <w:pPr>
        <w:spacing w:after="20"/>
      </w:pPr>
    </w:p>
    <w:p>
      <w:pPr>
        <w:pStyle w:val="Heading2"/>
        <w:keepNext/>
      </w:pPr>
      <w:r>
        <w:t>2.3 Create a production build</w:t>
      </w:r>
    </w:p>
    <w:p>
      <w:pPr>
        <w:spacing w:before="60" w:after="160" w:line="252" w:lineRule="auto"/>
        <w:ind w:left="259" w:right="259"/>
        <w:shd w:fill="F2F4F7"/>
      </w:pPr>
      <w:r>
        <w:rPr>
          <w:rFonts w:ascii="Consolas" w:hAnsi="Consolas"/>
          <w:color w:val="0B2545"/>
          <w:sz w:val="18"/>
        </w:rPr>
        <w:t>npm run build</w:t>
      </w:r>
    </w:p>
    <w:p>
      <w:pPr>
        <w:spacing w:after="120" w:line="300" w:lineRule="auto"/>
      </w:pPr>
      <w:r>
        <w:rPr>
          <w:rFonts w:ascii="Calibri" w:hAnsi="Calibri"/>
          <w:sz w:val="22"/>
        </w:rPr>
        <w:t>The generated static files are written under src\CoilManager.UI\dist\coil-manager-ui. The default Angular build configuration is production.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Production API URL: </w:t>
            </w:r>
            <w:r>
              <w:rPr>
                <w:rFonts w:ascii="Calibri" w:hAnsi="Calibri"/>
                <w:color w:val="0B2545"/>
                <w:sz w:val="22"/>
              </w:rPr>
              <w:t>src\CoilManager.UI\src\environments\environment.ts currently points to https://localhost:7147/api. Change this to the deployed API URL before the production build, or introduce deployment-time configuration so the URL is not hard-coded.</w:t>
            </w:r>
          </w:p>
        </w:tc>
      </w:tr>
    </w:tbl>
    <w:p>
      <w:pPr>
        <w:spacing w:after="20"/>
      </w:pPr>
    </w:p>
    <w:p>
      <w:pPr>
        <w:pStyle w:val="Heading2"/>
        <w:keepNext/>
      </w:pPr>
      <w:r>
        <w:t>2.4 Optional validation</w:t>
      </w:r>
    </w:p>
    <w:p>
      <w:pPr>
        <w:spacing w:before="60" w:after="160" w:line="252" w:lineRule="auto"/>
        <w:ind w:left="259" w:right="259"/>
        <w:shd w:fill="F2F4F7"/>
      </w:pPr>
      <w:r>
        <w:rPr>
          <w:rFonts w:ascii="Consolas" w:hAnsi="Consolas"/>
          <w:color w:val="0B2545"/>
          <w:sz w:val="18"/>
        </w:rPr>
        <w:t>npm test</w:t>
      </w:r>
    </w:p>
    <w:p>
      <w:pPr>
        <w:pStyle w:val="ListBullet"/>
        <w:spacing w:after="80" w:line="300" w:lineRule="auto"/>
      </w:pPr>
      <w:r>
        <w:rPr>
          <w:rFonts w:ascii="Calibri" w:hAnsi="Calibri"/>
          <w:sz w:val="22"/>
        </w:rPr>
        <w:t>If port 4200 is already in use, stop the existing process or select another port with npx ng serve --port 4201.</w:t>
      </w:r>
    </w:p>
    <w:p>
      <w:pPr>
        <w:pStyle w:val="ListBullet"/>
        <w:spacing w:after="80" w:line="300" w:lineRule="auto"/>
      </w:pPr>
      <w:r>
        <w:rPr>
          <w:rFonts w:ascii="Calibri" w:hAnsi="Calibri"/>
          <w:sz w:val="22"/>
        </w:rPr>
        <w:t>If the page opens but login/data operations fail, verify that the API is running and that CORS allows the UI origin.</w:t>
      </w:r>
    </w:p>
    <w:p>
      <w:pPr>
        <w:pStyle w:val="Heading1"/>
        <w:keepNext/>
      </w:pPr>
      <w:r>
        <w:t>3. Build and run the .NET API</w:t>
      </w:r>
    </w:p>
    <w:p>
      <w:pPr>
        <w:pStyle w:val="Heading2"/>
        <w:keepNext/>
      </w:pPr>
      <w:r>
        <w:t>3.1 Restore and build</w:t>
      </w:r>
    </w:p>
    <w:p>
      <w:pPr>
        <w:spacing w:before="60" w:after="160" w:line="252" w:lineRule="auto"/>
        <w:ind w:left="259" w:right="259"/>
        <w:shd w:fill="F2F4F7"/>
      </w:pPr>
      <w:r>
        <w:rPr>
          <w:rFonts w:ascii="Consolas" w:hAnsi="Consolas"/>
          <w:color w:val="0B2545"/>
          <w:sz w:val="18"/>
        </w:rPr>
        <w:t>cd C:\VISHAL\Codes\CoilManager\ndotnet restore CoilManager.sln\ndotnet build CoilManager.sln --configuration Release</w:t>
      </w:r>
    </w:p>
    <w:p>
      <w:pPr>
        <w:spacing w:after="120" w:line="300" w:lineRule="auto"/>
      </w:pPr>
      <w:r>
        <w:rPr>
          <w:rFonts w:ascii="Calibri" w:hAnsi="Calibri"/>
          <w:sz w:val="22"/>
        </w:rPr>
        <w:t>A successful solution build validates the API and its Application, Domain, Infrastructure, Persistence, and Shared project dependencies.</w:t>
      </w:r>
    </w:p>
    <w:p>
      <w:pPr>
        <w:pStyle w:val="Heading2"/>
        <w:keepNext/>
      </w:pPr>
      <w:r>
        <w:t>3.2 Run in Development</w:t>
      </w:r>
    </w:p>
    <w:p>
      <w:pPr>
        <w:spacing w:before="60" w:after="160" w:line="252" w:lineRule="auto"/>
        <w:ind w:left="259" w:right="259"/>
        <w:shd w:fill="F2F4F7"/>
      </w:pPr>
      <w:r>
        <w:rPr>
          <w:rFonts w:ascii="Consolas" w:hAnsi="Consolas"/>
          <w:color w:val="0B2545"/>
          <w:sz w:val="18"/>
        </w:rPr>
        <w:t>dotnet run --project src\CoilManager.API\CoilManager.API.csproj --launch-profile http</w:t>
      </w:r>
    </w:p>
    <w:p>
      <w:pPr>
        <w:pStyle w:val="ListBullet"/>
        <w:spacing w:after="80" w:line="300" w:lineRule="auto"/>
      </w:pPr>
      <w:r>
        <w:rPr>
          <w:rFonts w:ascii="Calibri" w:hAnsi="Calibri"/>
          <w:sz w:val="22"/>
        </w:rPr>
        <w:t>API base URL: http://localhost:5170</w:t>
      </w:r>
    </w:p>
    <w:p>
      <w:pPr>
        <w:pStyle w:val="ListBullet"/>
        <w:spacing w:after="80" w:line="300" w:lineRule="auto"/>
      </w:pPr>
      <w:r>
        <w:rPr>
          <w:rFonts w:ascii="Calibri" w:hAnsi="Calibri"/>
          <w:sz w:val="22"/>
        </w:rPr>
        <w:t>Swagger UI: http://localhost:5170/swagger</w:t>
      </w:r>
    </w:p>
    <w:p>
      <w:pPr>
        <w:pStyle w:val="ListBullet"/>
        <w:spacing w:after="80" w:line="300" w:lineRule="auto"/>
      </w:pPr>
      <w:r>
        <w:rPr>
          <w:rFonts w:ascii="Calibri" w:hAnsi="Calibri"/>
          <w:sz w:val="22"/>
        </w:rPr>
        <w:t>Health endpoint: http://localhost:5170/health</w:t>
      </w:r>
    </w:p>
    <w:p>
      <w:pPr>
        <w:pStyle w:val="Heading2"/>
        <w:keepNext/>
      </w:pPr>
      <w:r>
        <w:t>3.3 Database migrations</w:t>
      </w:r>
    </w:p>
    <w:p>
      <w:pPr>
        <w:spacing w:after="120" w:line="300" w:lineRule="auto"/>
      </w:pPr>
      <w:r>
        <w:rPr>
          <w:rFonts w:ascii="Calibri" w:hAnsi="Calibri"/>
          <w:sz w:val="22"/>
        </w:rPr>
        <w:t>Database:ApplyMigrationsOnStartup is false in both checked-in settings files. Therefore the API does not automatically apply EF Core migrations or seed data at startup.</w:t>
      </w:r>
    </w:p>
    <w:p>
      <w:pPr>
        <w:spacing w:before="60" w:after="160" w:line="252" w:lineRule="auto"/>
        <w:ind w:left="259" w:right="259"/>
        <w:shd w:fill="F2F4F7"/>
      </w:pPr>
      <w:r>
        <w:rPr>
          <w:rFonts w:ascii="Consolas" w:hAnsi="Consolas"/>
          <w:color w:val="0B2545"/>
          <w:sz w:val="18"/>
        </w:rPr>
        <w:t>dotnet tool restore</w:t>
      </w:r>
      <w:r>
        <w:br/>
      </w:r>
      <w:r>
        <w:rPr>
          <w:rFonts w:ascii="Consolas" w:hAnsi="Consolas"/>
          <w:color w:val="0B2545"/>
          <w:sz w:val="18"/>
        </w:rPr>
        <w:t>dotnet ef database update --project src\CoilManager.Persistence --startup-project src\CoilManager.API</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Operational rule: </w:t>
            </w:r>
            <w:r>
              <w:rPr>
                <w:rFonts w:ascii="Calibri" w:hAnsi="Calibri"/>
                <w:color w:val="0B2545"/>
                <w:sz w:val="22"/>
              </w:rPr>
              <w:t>Apply migrations explicitly during deployment, back up the target database first, and run the migration using an account with schema-change permissions. The normal application login should use only the permissions needed at runtime.</w:t>
            </w:r>
          </w:p>
        </w:tc>
      </w:tr>
    </w:tbl>
    <w:p>
      <w:pPr>
        <w:spacing w:after="20"/>
      </w:pPr>
    </w:p>
    <w:p>
      <w:pPr>
        <w:pStyle w:val="Heading2"/>
        <w:keepNext/>
      </w:pPr>
      <w:r>
        <w:t>3.4 Publish the API</w:t>
      </w:r>
    </w:p>
    <w:p>
      <w:pPr>
        <w:spacing w:before="60" w:after="160" w:line="252" w:lineRule="auto"/>
        <w:ind w:left="259" w:right="259"/>
        <w:shd w:fill="F2F4F7"/>
      </w:pPr>
      <w:r>
        <w:rPr>
          <w:rFonts w:ascii="Consolas" w:hAnsi="Consolas"/>
          <w:color w:val="0B2545"/>
          <w:sz w:val="18"/>
        </w:rPr>
        <w:t>dotnet publish src\CoilManager.API\CoilManager.API.csproj --configuration Release --output artifacts\api</w:t>
      </w:r>
    </w:p>
    <w:p>
      <w:pPr>
        <w:spacing w:after="120" w:line="300" w:lineRule="auto"/>
      </w:pPr>
      <w:r>
        <w:rPr>
          <w:rFonts w:ascii="Calibri" w:hAnsi="Calibri"/>
          <w:sz w:val="22"/>
        </w:rPr>
        <w:t>Deploy the artifacts/api folder behind IIS, a Windows Service, a container, or another ASP.NET Core-compatible host. Configure secrets and the connection string outside appsettings.json.</w:t>
      </w:r>
    </w:p>
    <w:p>
      <w:pPr>
        <w:pStyle w:val="Heading1"/>
        <w:keepNext/>
      </w:pPr>
      <w:r>
        <w:t>4. Current database filename and credentials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Key fact: </w:t>
            </w:r>
            <w:r>
              <w:rPr>
                <w:rFonts w:ascii="Calibri" w:hAnsi="Calibri"/>
                <w:color w:val="0B2545"/>
                <w:sz w:val="22"/>
              </w:rPr>
              <w:t>The application already uses the Microsoft.EntityFrameworkCore.SqlServer provider. Development uses SQL Server LocalDB, which is a developer-oriented SQL Server instance—not SQLite or a custom file database.</w:t>
            </w:r>
          </w:p>
        </w:tc>
      </w:tr>
    </w:tbl>
    <w:p>
      <w:pPr>
        <w:spacing w:after="20"/>
      </w:pP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r>
              <w:rPr>
                <w:rFonts w:ascii="Calibri" w:hAnsi="Calibri"/>
                <w:b/>
                <w:color w:val="0B2545"/>
                <w:sz w:val="22"/>
              </w:rPr>
              <w:t>Item</w:t>
            </w:r>
          </w:p>
        </w:tc>
        <w:tc>
          <w:tcPr>
            <w:tcW w:type="dxa" w:w="6660"/>
            <w:vAlign w:val="center"/>
            <w:tcMar>
              <w:top w:w="80" w:type="dxa"/>
              <w:start w:w="120" w:type="dxa"/>
              <w:bottom w:w="80" w:type="dxa"/>
              <w:end w:w="120" w:type="dxa"/>
            </w:tcMar>
            <w:shd w:fill="E8EEF5"/>
          </w:tcPr>
          <w:p>
            <w:r>
              <w:rPr>
                <w:rFonts w:ascii="Calibri" w:hAnsi="Calibri"/>
                <w:b/>
                <w:color w:val="0B2545"/>
                <w:sz w:val="22"/>
              </w:rPr>
              <w:t>Repository-specific value</w:t>
            </w:r>
          </w:p>
        </w:tc>
      </w:tr>
      <w:tr>
        <w:tc>
          <w:tcPr>
            <w:tcW w:type="dxa" w:w="2700"/>
            <w:vAlign w:val="center"/>
            <w:tcMar>
              <w:top w:w="80" w:type="dxa"/>
              <w:start w:w="120" w:type="dxa"/>
              <w:bottom w:w="80" w:type="dxa"/>
              <w:end w:w="120" w:type="dxa"/>
            </w:tcMar>
          </w:tcPr>
          <w:p>
            <w:r>
              <w:rPr>
                <w:rFonts w:ascii="Calibri" w:hAnsi="Calibri"/>
                <w:b/>
                <w:color w:val="1F4D78"/>
                <w:sz w:val="22"/>
              </w:rPr>
              <w:t>Effective development database</w:t>
            </w:r>
          </w:p>
        </w:tc>
        <w:tc>
          <w:tcPr>
            <w:tcW w:type="dxa" w:w="6660"/>
            <w:vAlign w:val="center"/>
            <w:tcMar>
              <w:top w:w="80" w:type="dxa"/>
              <w:start w:w="120" w:type="dxa"/>
              <w:bottom w:w="80" w:type="dxa"/>
              <w:end w:w="120" w:type="dxa"/>
            </w:tcMar>
          </w:tcPr>
          <w:p>
            <w:r>
              <w:rPr>
                <w:rFonts w:ascii="Calibri" w:hAnsi="Calibri"/>
                <w:sz w:val="22"/>
              </w:rPr>
              <w:t>CoilManager_Dev</w:t>
            </w:r>
          </w:p>
        </w:tc>
      </w:tr>
      <w:tr>
        <w:tc>
          <w:tcPr>
            <w:tcW w:type="dxa" w:w="2700"/>
            <w:vAlign w:val="center"/>
            <w:tcMar>
              <w:top w:w="80" w:type="dxa"/>
              <w:start w:w="120" w:type="dxa"/>
              <w:bottom w:w="80" w:type="dxa"/>
              <w:end w:w="120" w:type="dxa"/>
            </w:tcMar>
          </w:tcPr>
          <w:p>
            <w:r>
              <w:rPr>
                <w:rFonts w:ascii="Calibri" w:hAnsi="Calibri"/>
                <w:b/>
                <w:color w:val="1F4D78"/>
                <w:sz w:val="22"/>
              </w:rPr>
              <w:t>LocalDB instance</w:t>
            </w:r>
          </w:p>
        </w:tc>
        <w:tc>
          <w:tcPr>
            <w:tcW w:type="dxa" w:w="6660"/>
            <w:vAlign w:val="center"/>
            <w:tcMar>
              <w:top w:w="80" w:type="dxa"/>
              <w:start w:w="120" w:type="dxa"/>
              <w:bottom w:w="80" w:type="dxa"/>
              <w:end w:w="120" w:type="dxa"/>
            </w:tcMar>
          </w:tcPr>
          <w:p>
            <w:r>
              <w:rPr>
                <w:rFonts w:ascii="Calibri" w:hAnsi="Calibri"/>
                <w:sz w:val="22"/>
              </w:rPr>
              <w:t>(localdb)\MSSQLLocalDB</w:t>
            </w:r>
          </w:p>
        </w:tc>
      </w:tr>
      <w:tr>
        <w:tc>
          <w:tcPr>
            <w:tcW w:type="dxa" w:w="2700"/>
            <w:vAlign w:val="center"/>
            <w:tcMar>
              <w:top w:w="80" w:type="dxa"/>
              <w:start w:w="120" w:type="dxa"/>
              <w:bottom w:w="80" w:type="dxa"/>
              <w:end w:w="120" w:type="dxa"/>
            </w:tcMar>
          </w:tcPr>
          <w:p>
            <w:r>
              <w:rPr>
                <w:rFonts w:ascii="Calibri" w:hAnsi="Calibri"/>
                <w:b/>
                <w:color w:val="1F4D78"/>
                <w:sz w:val="22"/>
              </w:rPr>
              <w:t>Primary data file</w:t>
            </w:r>
          </w:p>
        </w:tc>
        <w:tc>
          <w:tcPr>
            <w:tcW w:type="dxa" w:w="6660"/>
            <w:vAlign w:val="center"/>
            <w:tcMar>
              <w:top w:w="80" w:type="dxa"/>
              <w:start w:w="120" w:type="dxa"/>
              <w:bottom w:w="80" w:type="dxa"/>
              <w:end w:w="120" w:type="dxa"/>
            </w:tcMar>
          </w:tcPr>
          <w:p>
            <w:r>
              <w:rPr>
                <w:rFonts w:ascii="Calibri" w:hAnsi="Calibri"/>
                <w:sz w:val="22"/>
              </w:rPr>
              <w:t>C:\Users\Lenovo\CoilManager_Dev.mdf</w:t>
            </w:r>
          </w:p>
        </w:tc>
      </w:tr>
      <w:tr>
        <w:tc>
          <w:tcPr>
            <w:tcW w:type="dxa" w:w="2700"/>
            <w:vAlign w:val="center"/>
            <w:tcMar>
              <w:top w:w="80" w:type="dxa"/>
              <w:start w:w="120" w:type="dxa"/>
              <w:bottom w:w="80" w:type="dxa"/>
              <w:end w:w="120" w:type="dxa"/>
            </w:tcMar>
          </w:tcPr>
          <w:p>
            <w:r>
              <w:rPr>
                <w:rFonts w:ascii="Calibri" w:hAnsi="Calibri"/>
                <w:b/>
                <w:color w:val="1F4D78"/>
                <w:sz w:val="22"/>
              </w:rPr>
              <w:t>Transaction log file</w:t>
            </w:r>
          </w:p>
        </w:tc>
        <w:tc>
          <w:tcPr>
            <w:tcW w:type="dxa" w:w="6660"/>
            <w:vAlign w:val="center"/>
            <w:tcMar>
              <w:top w:w="80" w:type="dxa"/>
              <w:start w:w="120" w:type="dxa"/>
              <w:bottom w:w="80" w:type="dxa"/>
              <w:end w:w="120" w:type="dxa"/>
            </w:tcMar>
          </w:tcPr>
          <w:p>
            <w:r>
              <w:rPr>
                <w:rFonts w:ascii="Calibri" w:hAnsi="Calibri"/>
                <w:sz w:val="22"/>
              </w:rPr>
              <w:t>C:\Users\Lenovo\CoilManager_Dev_log.ldf</w:t>
            </w:r>
          </w:p>
        </w:tc>
      </w:tr>
      <w:tr>
        <w:tc>
          <w:tcPr>
            <w:tcW w:type="dxa" w:w="2700"/>
            <w:vAlign w:val="center"/>
            <w:tcMar>
              <w:top w:w="80" w:type="dxa"/>
              <w:start w:w="120" w:type="dxa"/>
              <w:bottom w:w="80" w:type="dxa"/>
              <w:end w:w="120" w:type="dxa"/>
            </w:tcMar>
          </w:tcPr>
          <w:p>
            <w:r>
              <w:rPr>
                <w:rFonts w:ascii="Calibri" w:hAnsi="Calibri"/>
                <w:b/>
                <w:color w:val="1F4D78"/>
                <w:sz w:val="22"/>
              </w:rPr>
              <w:t>Configuration file</w:t>
            </w:r>
          </w:p>
        </w:tc>
        <w:tc>
          <w:tcPr>
            <w:tcW w:type="dxa" w:w="6660"/>
            <w:vAlign w:val="center"/>
            <w:tcMar>
              <w:top w:w="80" w:type="dxa"/>
              <w:start w:w="120" w:type="dxa"/>
              <w:bottom w:w="80" w:type="dxa"/>
              <w:end w:w="120" w:type="dxa"/>
            </w:tcMar>
          </w:tcPr>
          <w:p>
            <w:r>
              <w:rPr>
                <w:rFonts w:ascii="Calibri" w:hAnsi="Calibri"/>
                <w:sz w:val="22"/>
              </w:rPr>
              <w:t>src\CoilManager.API\appsettings.Development.json</w:t>
            </w:r>
          </w:p>
        </w:tc>
      </w:tr>
      <w:tr>
        <w:tc>
          <w:tcPr>
            <w:tcW w:type="dxa" w:w="2700"/>
            <w:vAlign w:val="center"/>
            <w:tcMar>
              <w:top w:w="80" w:type="dxa"/>
              <w:start w:w="120" w:type="dxa"/>
              <w:bottom w:w="80" w:type="dxa"/>
              <w:end w:w="120" w:type="dxa"/>
            </w:tcMar>
          </w:tcPr>
          <w:p>
            <w:r>
              <w:rPr>
                <w:rFonts w:ascii="Calibri" w:hAnsi="Calibri"/>
                <w:b/>
                <w:color w:val="1F4D78"/>
                <w:sz w:val="22"/>
              </w:rPr>
              <w:t>Connection-string key</w:t>
            </w:r>
          </w:p>
        </w:tc>
        <w:tc>
          <w:tcPr>
            <w:tcW w:type="dxa" w:w="6660"/>
            <w:vAlign w:val="center"/>
            <w:tcMar>
              <w:top w:w="80" w:type="dxa"/>
              <w:start w:w="120" w:type="dxa"/>
              <w:bottom w:w="80" w:type="dxa"/>
              <w:end w:w="120" w:type="dxa"/>
            </w:tcMar>
          </w:tcPr>
          <w:p>
            <w:r>
              <w:rPr>
                <w:rFonts w:ascii="Calibri" w:hAnsi="Calibri"/>
                <w:sz w:val="22"/>
              </w:rPr>
              <w:t>ConnectionStrings:DefaultConnection</w:t>
            </w:r>
          </w:p>
        </w:tc>
      </w:tr>
      <w:tr>
        <w:tc>
          <w:tcPr>
            <w:tcW w:type="dxa" w:w="2700"/>
            <w:vAlign w:val="center"/>
            <w:tcMar>
              <w:top w:w="80" w:type="dxa"/>
              <w:start w:w="120" w:type="dxa"/>
              <w:bottom w:w="80" w:type="dxa"/>
              <w:end w:w="120" w:type="dxa"/>
            </w:tcMar>
          </w:tcPr>
          <w:p>
            <w:r>
              <w:rPr>
                <w:rFonts w:ascii="Calibri" w:hAnsi="Calibri"/>
                <w:b/>
                <w:color w:val="1F4D78"/>
                <w:sz w:val="22"/>
              </w:rPr>
              <w:t>Authentication</w:t>
            </w:r>
          </w:p>
        </w:tc>
        <w:tc>
          <w:tcPr>
            <w:tcW w:type="dxa" w:w="6660"/>
            <w:vAlign w:val="center"/>
            <w:tcMar>
              <w:top w:w="80" w:type="dxa"/>
              <w:start w:w="120" w:type="dxa"/>
              <w:bottom w:w="80" w:type="dxa"/>
              <w:end w:w="120" w:type="dxa"/>
            </w:tcMar>
          </w:tcPr>
          <w:p>
            <w:r>
              <w:rPr>
                <w:rFonts w:ascii="Calibri" w:hAnsi="Calibri"/>
                <w:sz w:val="22"/>
              </w:rPr>
              <w:t>Windows integrated authentication (Trusted_Connection=True)</w:t>
            </w:r>
          </w:p>
        </w:tc>
      </w:tr>
      <w:tr>
        <w:tc>
          <w:tcPr>
            <w:tcW w:type="dxa" w:w="2700"/>
            <w:vAlign w:val="center"/>
            <w:tcMar>
              <w:top w:w="80" w:type="dxa"/>
              <w:start w:w="120" w:type="dxa"/>
              <w:bottom w:w="80" w:type="dxa"/>
              <w:end w:w="120" w:type="dxa"/>
            </w:tcMar>
          </w:tcPr>
          <w:p>
            <w:r>
              <w:rPr>
                <w:rFonts w:ascii="Calibri" w:hAnsi="Calibri"/>
                <w:b/>
                <w:color w:val="1F4D78"/>
                <w:sz w:val="22"/>
              </w:rPr>
              <w:t>Database username/password</w:t>
            </w:r>
          </w:p>
        </w:tc>
        <w:tc>
          <w:tcPr>
            <w:tcW w:type="dxa" w:w="6660"/>
            <w:vAlign w:val="center"/>
            <w:tcMar>
              <w:top w:w="80" w:type="dxa"/>
              <w:start w:w="120" w:type="dxa"/>
              <w:bottom w:w="80" w:type="dxa"/>
              <w:end w:w="120" w:type="dxa"/>
            </w:tcMar>
          </w:tcPr>
          <w:p>
            <w:r>
              <w:rPr>
                <w:rFonts w:ascii="Calibri" w:hAnsi="Calibri"/>
                <w:sz w:val="22"/>
              </w:rPr>
              <w:t>None stored; the Windows identity running the API is used</w:t>
            </w:r>
          </w:p>
        </w:tc>
      </w:tr>
    </w:tbl>
    <w:p>
      <w:pPr>
        <w:spacing w:after="40"/>
      </w:pPr>
    </w:p>
    <w:p>
      <w:pPr>
        <w:spacing w:after="120" w:line="300" w:lineRule="auto"/>
      </w:pPr>
      <w:r>
        <w:rPr>
          <w:rFonts w:ascii="Calibri" w:hAnsi="Calibri"/>
          <w:sz w:val="22"/>
        </w:rPr>
        <w:t>The exact LocalDB file paths above were read from sys.master_files on this workstation. LocalDB can place files elsewhere on another developer machine; query that machine rather than assuming the path.</w:t>
      </w:r>
    </w:p>
    <w:p>
      <w:pPr>
        <w:spacing w:before="60" w:after="160" w:line="252" w:lineRule="auto"/>
        <w:ind w:left="259" w:right="259"/>
        <w:shd w:fill="F2F4F7"/>
      </w:pPr>
      <w:r>
        <w:rPr>
          <w:rFonts w:ascii="Consolas" w:hAnsi="Consolas"/>
          <w:color w:val="0B2545"/>
          <w:sz w:val="18"/>
        </w:rPr>
        <w:t>sqlcmd -S "(localdb)\MSSQLLocalDB" -E -d master -Q "SELECT name, physical_name FROM sys.master_files WHERE database_id = DB_ID('CoilManager_Dev');"</w:t>
      </w:r>
    </w:p>
    <w:p>
      <w:pPr>
        <w:pStyle w:val="Heading2"/>
        <w:keepNext/>
      </w:pPr>
      <w:r>
        <w:t>Checked-in connection strings</w:t>
      </w:r>
    </w:p>
    <w:p>
      <w:pPr>
        <w:spacing w:before="60" w:after="160" w:line="252" w:lineRule="auto"/>
        <w:ind w:left="259" w:right="259"/>
        <w:shd w:fill="F2F4F7"/>
      </w:pPr>
      <w:r>
        <w:rPr>
          <w:rFonts w:ascii="Consolas" w:hAnsi="Consolas"/>
          <w:color w:val="0B2545"/>
          <w:sz w:val="18"/>
        </w:rPr>
        <w:t>Development:\nServer=(localdb)\MSSQLLocalDB;Database=CoilManager_Dev;Trusted_Connection=True;MultipleActiveResultSets=true;TrustServerCertificate=True;Encrypt=False\n\nBase/production template:\nServer=(localdb)\MSSQLLocalDB;Database=CoilManager;Trusted_Connection=True;MultipleActiveResultSets=true;TrustServerCertificate=True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F2"/>
          </w:tcPr>
          <w:p>
            <w:pPr>
              <w:spacing w:after="0"/>
            </w:pPr>
            <w:r>
              <w:rPr>
                <w:rFonts w:ascii="Calibri" w:hAnsi="Calibri"/>
                <w:b/>
                <w:color w:val="9B1C1C"/>
                <w:sz w:val="22"/>
              </w:rPr>
              <w:t xml:space="preserve">Security warning: </w:t>
            </w:r>
            <w:r>
              <w:rPr>
                <w:rFonts w:ascii="Calibri" w:hAnsi="Calibri"/>
                <w:color w:val="0B2545"/>
                <w:sz w:val="22"/>
              </w:rPr>
              <w:t>The checked-in JWT and OTP values are placeholders. Never deploy CHANGE_ME secrets. Store the database connection string, JWT key, OTP key, and SMTP password in environment variables, a secret manager, or protected host configuration.</w:t>
            </w:r>
          </w:p>
        </w:tc>
      </w:tr>
    </w:tbl>
    <w:p>
      <w:pPr>
        <w:spacing w:after="20"/>
      </w:pPr>
    </w:p>
    <w:p>
      <w:pPr>
        <w:pStyle w:val="Heading2"/>
        <w:keepNext/>
      </w:pPr>
      <w:r>
        <w:t>Application credentials versus database credentials</w:t>
      </w:r>
    </w:p>
    <w:p>
      <w:pPr>
        <w:pStyle w:val="ListBullet"/>
        <w:spacing w:after="80" w:line="300" w:lineRule="auto"/>
      </w:pPr>
      <w:r>
        <w:rPr>
          <w:rFonts w:ascii="Calibri" w:hAnsi="Calibri"/>
          <w:sz w:val="22"/>
        </w:rPr>
        <w:t>Database credentials connect the API process to SQL Server. Local development currently uses the Windows account running the API.</w:t>
      </w:r>
    </w:p>
    <w:p>
      <w:pPr>
        <w:pStyle w:val="ListBullet"/>
        <w:spacing w:after="80" w:line="300" w:lineRule="auto"/>
      </w:pPr>
      <w:r>
        <w:rPr>
          <w:rFonts w:ascii="Calibri" w:hAnsi="Calibri"/>
          <w:sz w:val="22"/>
        </w:rPr>
        <w:t>CoilManager user accounts are application identities stored in the database. They are not SQL Server logins.</w:t>
      </w:r>
    </w:p>
    <w:p>
      <w:pPr>
        <w:pStyle w:val="ListBullet"/>
        <w:spacing w:after="80" w:line="300" w:lineRule="auto"/>
      </w:pPr>
      <w:r>
        <w:rPr>
          <w:rFonts w:ascii="Calibri" w:hAnsi="Calibri"/>
          <w:sz w:val="22"/>
        </w:rPr>
        <w:t>Do not place a SQL password in source control. If SQL authentication is required, inject it at deployment time.</w:t>
      </w:r>
    </w:p>
    <w:p>
      <w:pPr>
        <w:pStyle w:val="Heading1"/>
        <w:keepNext/>
      </w:pPr>
      <w:r>
        <w:t>5. Move LocalDB to a full Microsoft SQL Server</w:t>
      </w:r>
    </w:p>
    <w:p>
      <w:pPr>
        <w:spacing w:after="120" w:line="300" w:lineRule="auto"/>
      </w:pPr>
      <w:r>
        <w:rPr>
          <w:rFonts w:ascii="Calibri" w:hAnsi="Calibri"/>
          <w:sz w:val="22"/>
        </w:rPr>
        <w:t>Because the provider is already SQL Server, no EF Core provider change is required. The move consists of transferring or recreating the database, changing the connection string, applying any pending migrations, and validating the application.</w:t>
      </w:r>
    </w:p>
    <w:p>
      <w:pPr>
        <w:pStyle w:val="Heading2"/>
        <w:keepNext/>
      </w:pPr>
      <w:r>
        <w:t>Option A — Move the existing database and retain data</w:t>
      </w:r>
    </w:p>
    <w:p>
      <w:pPr>
        <w:pStyle w:val="ListNumber"/>
        <w:spacing w:after="100" w:line="300" w:lineRule="auto"/>
      </w:pPr>
      <w:r>
        <w:rPr>
          <w:rFonts w:ascii="Calibri" w:hAnsi="Calibri"/>
          <w:sz w:val="22"/>
        </w:rPr>
        <w:t>Install or identify the destination SQL Server instance. Record its server/instance name and choose Windows authentication or SQL authentication.</w:t>
      </w:r>
    </w:p>
    <w:p>
      <w:pPr>
        <w:pStyle w:val="ListNumber"/>
        <w:spacing w:after="100" w:line="300" w:lineRule="auto"/>
      </w:pPr>
      <w:r>
        <w:rPr>
          <w:rFonts w:ascii="Calibri" w:hAnsi="Calibri"/>
          <w:sz w:val="22"/>
        </w:rPr>
        <w:t>Stop the API and any process writing to CoilManager_Dev. Take a verified LocalDB backup.</w:t>
      </w:r>
    </w:p>
    <w:p>
      <w:pPr>
        <w:spacing w:before="60" w:after="160" w:line="252" w:lineRule="auto"/>
        <w:ind w:left="259" w:right="259"/>
        <w:shd w:fill="F2F4F7"/>
      </w:pPr>
      <w:r>
        <w:rPr>
          <w:rFonts w:ascii="Consolas" w:hAnsi="Consolas"/>
          <w:color w:val="0B2545"/>
          <w:sz w:val="18"/>
        </w:rPr>
        <w:t>New-Item -ItemType Directory -Force C:\SQLBackups</w:t>
      </w:r>
      <w:r>
        <w:br/>
      </w:r>
      <w:r>
        <w:rPr>
          <w:rFonts w:ascii="Consolas" w:hAnsi="Consolas"/>
          <w:color w:val="0B2545"/>
          <w:sz w:val="18"/>
        </w:rPr>
        <w:t>sqlcmd -S "(localdb)\MSSQLLocalDB" -E -Q "BACKUP DATABASE [CoilManager_Dev] TO DISK='C:\SQLBackups\CoilManager_Dev.bak' WITH COPY_ONLY, INIT, CHECKSUM"</w:t>
      </w:r>
    </w:p>
    <w:p>
      <w:pPr>
        <w:pStyle w:val="ListNumber"/>
        <w:spacing w:after="100" w:line="300" w:lineRule="auto"/>
      </w:pPr>
      <w:r>
        <w:rPr>
          <w:rFonts w:ascii="Calibri" w:hAnsi="Calibri"/>
          <w:sz w:val="22"/>
        </w:rPr>
        <w:t>Copy CoilManager_Dev.bak to a location readable by the destination SQL Server service account.</w:t>
      </w:r>
    </w:p>
    <w:p>
      <w:pPr>
        <w:pStyle w:val="ListNumber"/>
        <w:spacing w:after="100" w:line="300" w:lineRule="auto"/>
      </w:pPr>
      <w:r>
        <w:rPr>
          <w:rFonts w:ascii="Calibri" w:hAnsi="Calibri"/>
          <w:sz w:val="22"/>
        </w:rPr>
        <w:t>In SSMS, connect to the destination server and use Databases &gt; Restore Database &gt; Device. Select the backup, choose the destination database name (for example CoilManager), and review the Files page so the MDF/LDF files use the destination server data directories.</w:t>
      </w:r>
    </w:p>
    <w:p>
      <w:pPr>
        <w:pStyle w:val="ListNumber"/>
        <w:spacing w:after="100" w:line="300" w:lineRule="auto"/>
      </w:pPr>
      <w:r>
        <w:rPr>
          <w:rFonts w:ascii="Calibri" w:hAnsi="Calibri"/>
          <w:sz w:val="22"/>
        </w:rPr>
        <w:t>Alternatively, inspect logical file names and restore with T-SQL. Replace all placeholders with values returned by RESTORE FILELISTONLY and valid destination paths.</w:t>
      </w:r>
    </w:p>
    <w:p>
      <w:pPr>
        <w:spacing w:before="60" w:after="160" w:line="252" w:lineRule="auto"/>
        <w:ind w:left="259" w:right="259"/>
        <w:shd w:fill="F2F4F7"/>
      </w:pPr>
      <w:r>
        <w:rPr>
          <w:rFonts w:ascii="Consolas" w:hAnsi="Consolas"/>
          <w:color w:val="0B2545"/>
          <w:sz w:val="18"/>
        </w:rPr>
        <w:t>RESTORE FILELISTONLY</w:t>
      </w:r>
      <w:r>
        <w:br/>
      </w:r>
      <w:r>
        <w:rPr>
          <w:rFonts w:ascii="Consolas" w:hAnsi="Consolas"/>
          <w:color w:val="0B2545"/>
          <w:sz w:val="18"/>
        </w:rPr>
        <w:t>FROM DISK = N'D:\SQLBackups\CoilManager_Dev.bak';</w:t>
      </w:r>
      <w:r>
        <w:br/>
      </w:r>
      <w:r>
        <w:rPr>
          <w:rFonts w:ascii="Consolas" w:hAnsi="Consolas"/>
          <w:color w:val="0B2545"/>
          <w:sz w:val="18"/>
        </w:rPr>
        <w:t>GO</w:t>
      </w:r>
      <w:r>
        <w:br/>
      </w:r>
      <w:r>
        <w:rPr>
          <w:rFonts w:ascii="Consolas" w:hAnsi="Consolas"/>
          <w:color w:val="0B2545"/>
          <w:sz w:val="18"/>
        </w:rPr>
      </w:r>
      <w:r>
        <w:br/>
      </w:r>
      <w:r>
        <w:rPr>
          <w:rFonts w:ascii="Consolas" w:hAnsi="Consolas"/>
          <w:color w:val="0B2545"/>
          <w:sz w:val="18"/>
        </w:rPr>
        <w:t>RESTORE DATABASE [CoilManager]</w:t>
      </w:r>
      <w:r>
        <w:br/>
      </w:r>
      <w:r>
        <w:rPr>
          <w:rFonts w:ascii="Consolas" w:hAnsi="Consolas"/>
          <w:color w:val="0B2545"/>
          <w:sz w:val="18"/>
        </w:rPr>
        <w:t>FROM DISK = N'D:\SQLBackups\CoilManager_Dev.bak'</w:t>
      </w:r>
      <w:r>
        <w:br/>
      </w:r>
      <w:r>
        <w:rPr>
          <w:rFonts w:ascii="Consolas" w:hAnsi="Consolas"/>
          <w:color w:val="0B2545"/>
          <w:sz w:val="18"/>
        </w:rPr>
        <w:t>WITH MOVE N'CoilManager_Dev' TO N'D:\SQLData\CoilManager.mdf',</w:t>
      </w:r>
      <w:r>
        <w:br/>
      </w:r>
      <w:r>
        <w:rPr>
          <w:rFonts w:ascii="Consolas" w:hAnsi="Consolas"/>
          <w:color w:val="0B2545"/>
          <w:sz w:val="18"/>
        </w:rPr>
        <w:t xml:space="preserve">     MOVE N'CoilManager_Dev_log' TO N'D:\SQLData\CoilManager_log.ldf',</w:t>
      </w:r>
      <w:r>
        <w:br/>
      </w:r>
      <w:r>
        <w:rPr>
          <w:rFonts w:ascii="Consolas" w:hAnsi="Consolas"/>
          <w:color w:val="0B2545"/>
          <w:sz w:val="18"/>
        </w:rPr>
        <w:t xml:space="preserve">     RECOVERY, REPLACE, STATS = 5;</w:t>
      </w:r>
      <w:r>
        <w:br/>
      </w:r>
      <w:r>
        <w:rPr>
          <w:rFonts w:ascii="Consolas" w:hAnsi="Consolas"/>
          <w:color w:val="0B2545"/>
          <w:sz w:val="18"/>
        </w:rPr>
        <w:t>GO</w:t>
      </w:r>
    </w:p>
    <w:p>
      <w:pPr>
        <w:pStyle w:val="ListNumber"/>
        <w:spacing w:after="100" w:line="300" w:lineRule="auto"/>
      </w:pPr>
      <w:r>
        <w:rPr>
          <w:rFonts w:ascii="Calibri" w:hAnsi="Calibri"/>
          <w:sz w:val="22"/>
        </w:rPr>
        <w:t>Create or select the runtime login and map it to the restored database. Prefer a dedicated service identity with least privilege. Do not run the application permanently as sysadmin or db_owner.</w:t>
      </w:r>
    </w:p>
    <w:p>
      <w:pPr>
        <w:pStyle w:val="ListNumber"/>
        <w:spacing w:after="100" w:line="300" w:lineRule="auto"/>
      </w:pPr>
      <w:r>
        <w:rPr>
          <w:rFonts w:ascii="Calibri" w:hAnsi="Calibri"/>
          <w:sz w:val="22"/>
        </w:rPr>
        <w:t>Update ConnectionStrings__DefaultConnection in the deployment environment. Examples are provided in Section 6.</w:t>
      </w:r>
    </w:p>
    <w:p>
      <w:pPr>
        <w:pStyle w:val="ListNumber"/>
        <w:spacing w:after="100" w:line="300" w:lineRule="auto"/>
      </w:pPr>
      <w:r>
        <w:rPr>
          <w:rFonts w:ascii="Calibri" w:hAnsi="Calibri"/>
          <w:sz w:val="22"/>
        </w:rPr>
        <w:t>Apply pending EF Core migrations, start the API, and complete the validation checklist in Section 7.</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Backup alternative: </w:t>
            </w:r>
            <w:r>
              <w:rPr>
                <w:rFonts w:ascii="Calibri" w:hAnsi="Calibri"/>
                <w:color w:val="0B2545"/>
                <w:sz w:val="22"/>
              </w:rPr>
              <w:t>SSMS can perform the backup and restore entirely through its Tasks menus. A .bak backup/restore is safer and more portable than manually copying attached MDF/LDF files.</w:t>
            </w:r>
          </w:p>
        </w:tc>
      </w:tr>
    </w:tbl>
    <w:p>
      <w:pPr>
        <w:spacing w:after="20"/>
      </w:pPr>
    </w:p>
    <w:p>
      <w:pPr>
        <w:pStyle w:val="Heading2"/>
        <w:keepNext/>
      </w:pPr>
      <w:r>
        <w:t>Option B — Create a clean database from EF Core migrations</w:t>
      </w:r>
    </w:p>
    <w:p>
      <w:pPr>
        <w:spacing w:after="120" w:line="300" w:lineRule="auto"/>
      </w:pPr>
      <w:r>
        <w:rPr>
          <w:rFonts w:ascii="Calibri" w:hAnsi="Calibri"/>
          <w:sz w:val="22"/>
        </w:rPr>
        <w:t>Use this option when existing LocalDB data is not required or when provisioning a new environment.</w:t>
      </w:r>
    </w:p>
    <w:p>
      <w:pPr>
        <w:pStyle w:val="ListNumber"/>
        <w:spacing w:after="100" w:line="300" w:lineRule="auto"/>
      </w:pPr>
      <w:r>
        <w:rPr>
          <w:rFonts w:ascii="Calibri" w:hAnsi="Calibri"/>
          <w:sz w:val="22"/>
        </w:rPr>
        <w:t>Create an empty database on the destination SQL Server and grant a deployment identity permission to create/alter schema objects.</w:t>
      </w:r>
    </w:p>
    <w:p>
      <w:pPr>
        <w:pStyle w:val="ListNumber"/>
        <w:spacing w:after="100" w:line="300" w:lineRule="auto"/>
      </w:pPr>
      <w:r>
        <w:rPr>
          <w:rFonts w:ascii="Calibri" w:hAnsi="Calibri"/>
          <w:sz w:val="22"/>
        </w:rPr>
        <w:t>Set the destination connection string in the current PowerShell session or pass --connection directly to dotnet ef.</w:t>
      </w:r>
    </w:p>
    <w:p>
      <w:pPr>
        <w:spacing w:before="60" w:after="160" w:line="252" w:lineRule="auto"/>
        <w:ind w:left="259" w:right="259"/>
        <w:shd w:fill="F2F4F7"/>
      </w:pPr>
      <w:r>
        <w:rPr>
          <w:rFonts w:ascii="Consolas" w:hAnsi="Consolas"/>
          <w:color w:val="0B2545"/>
          <w:sz w:val="18"/>
        </w:rPr>
        <w:t>$env:ConnectionStrings__DefaultConnection = 'Server=SQLSERVER01;Database=CoilManager;Integrated Security=True;Encrypt=True;TrustServerCertificate=True;MultipleActiveResultSets=True'</w:t>
      </w:r>
      <w:r>
        <w:br/>
      </w:r>
      <w:r>
        <w:rPr>
          <w:rFonts w:ascii="Consolas" w:hAnsi="Consolas"/>
          <w:color w:val="0B2545"/>
          <w:sz w:val="18"/>
        </w:rPr>
        <w:t>dotnet tool restore</w:t>
      </w:r>
      <w:r>
        <w:br/>
      </w:r>
      <w:r>
        <w:rPr>
          <w:rFonts w:ascii="Consolas" w:hAnsi="Consolas"/>
          <w:color w:val="0B2545"/>
          <w:sz w:val="18"/>
        </w:rPr>
        <w:t>dotnet ef database update --project src\CoilManager.Persistence --startup-project src\CoilManager.API</w:t>
      </w:r>
    </w:p>
    <w:p>
      <w:pPr>
        <w:pStyle w:val="ListNumber"/>
        <w:spacing w:after="100" w:line="300" w:lineRule="auto"/>
      </w:pPr>
      <w:r>
        <w:rPr>
          <w:rFonts w:ascii="Calibri" w:hAnsi="Calibri"/>
          <w:sz w:val="22"/>
        </w:rPr>
        <w:t>If initial roles, permissions, company profile, or first-administrator provisioning are required, temporarily set Database__ApplyMigrationsOnStartup=true for one controlled startup, then return it to false. Review the bootstrap configuration before doing this in production.</w:t>
      </w:r>
    </w:p>
    <w:p>
      <w:pPr>
        <w:pStyle w:val="ListNumber"/>
        <w:spacing w:after="100" w:line="300" w:lineRule="auto"/>
      </w:pPr>
      <w:r>
        <w:rPr>
          <w:rFonts w:ascii="Calibri" w:hAnsi="Calibri"/>
          <w:sz w:val="22"/>
        </w:rPr>
        <w:t>Load required business/master data through approved import or application workflows.</w:t>
      </w:r>
    </w:p>
    <w:p>
      <w:pPr>
        <w:pStyle w:val="Heading1"/>
        <w:keepNext/>
      </w:pPr>
      <w:r>
        <w:t>6. Configure the destination SQL Server connection</w:t>
      </w:r>
    </w:p>
    <w:p>
      <w:pPr>
        <w:pStyle w:val="Heading2"/>
        <w:keepNext/>
      </w:pPr>
      <w:r>
        <w:t>6.1 Windows integrated authentication (preferred on a domain)</w:t>
      </w:r>
    </w:p>
    <w:p>
      <w:pPr>
        <w:spacing w:before="60" w:after="160" w:line="252" w:lineRule="auto"/>
        <w:ind w:left="259" w:right="259"/>
        <w:shd w:fill="F2F4F7"/>
      </w:pPr>
      <w:r>
        <w:rPr>
          <w:rFonts w:ascii="Consolas" w:hAnsi="Consolas"/>
          <w:color w:val="0B2545"/>
          <w:sz w:val="18"/>
        </w:rPr>
        <w:t>Server=SQLSERVER01;Database=CoilManager;Integrated Security=True;Encrypt=True;TrustServerCertificate=False;MultipleActiveResultSets=True</w:t>
      </w:r>
    </w:p>
    <w:p>
      <w:pPr>
        <w:spacing w:after="120" w:line="300" w:lineRule="auto"/>
      </w:pPr>
      <w:r>
        <w:rPr>
          <w:rFonts w:ascii="Calibri" w:hAnsi="Calibri"/>
          <w:sz w:val="22"/>
        </w:rPr>
        <w:t>The Windows identity running IIS, the Windows Service, or the API process must have a SQL Server login mapped to the CoilManager database.</w:t>
      </w:r>
    </w:p>
    <w:p>
      <w:pPr>
        <w:pStyle w:val="Heading2"/>
        <w:keepNext/>
      </w:pPr>
      <w:r>
        <w:t>6.2 SQL authentication</w:t>
      </w:r>
    </w:p>
    <w:p>
      <w:pPr>
        <w:spacing w:before="60" w:after="160" w:line="252" w:lineRule="auto"/>
        <w:ind w:left="259" w:right="259"/>
        <w:shd w:fill="F2F4F7"/>
      </w:pPr>
      <w:r>
        <w:rPr>
          <w:rFonts w:ascii="Consolas" w:hAnsi="Consolas"/>
          <w:color w:val="0B2545"/>
          <w:sz w:val="18"/>
        </w:rPr>
        <w:t>Server=SQLSERVER01;Database=CoilManager;User ID=coilmanager_app;Password=&lt;retrieve-from-secret-store&gt;;Encrypt=True;TrustServerCertificate=False;MultipleActiveResultSets=True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b/>
                <w:color w:val="1F4D78"/>
                <w:sz w:val="22"/>
              </w:rPr>
              <w:t xml:space="preserve">Certificate note: </w:t>
            </w:r>
            <w:r>
              <w:rPr>
                <w:rFonts w:ascii="Calibri" w:hAnsi="Calibri"/>
                <w:color w:val="0B2545"/>
                <w:sz w:val="22"/>
              </w:rPr>
              <w:t>Use Encrypt=True. Prefer a certificate trusted by the API host and TrustServerCertificate=False. TrustServerCertificate=True is acceptable only as a temporary internal setup measure while proper certificate trust is established.</w:t>
            </w:r>
          </w:p>
        </w:tc>
      </w:tr>
    </w:tbl>
    <w:p>
      <w:pPr>
        <w:spacing w:after="20"/>
      </w:pPr>
    </w:p>
    <w:p>
      <w:pPr>
        <w:pStyle w:val="Heading2"/>
        <w:keepNext/>
      </w:pPr>
      <w:r>
        <w:t>6.3 Inject configuration safely</w:t>
      </w:r>
    </w:p>
    <w:p>
      <w:pPr>
        <w:spacing w:after="120" w:line="300" w:lineRule="auto"/>
      </w:pPr>
      <w:r>
        <w:rPr>
          <w:rFonts w:ascii="Calibri" w:hAnsi="Calibri"/>
          <w:sz w:val="22"/>
        </w:rPr>
        <w:t>ASP.NET Core maps double underscores in environment-variable names to configuration sections.</w:t>
      </w:r>
    </w:p>
    <w:p>
      <w:pPr>
        <w:spacing w:before="60" w:after="160" w:line="252" w:lineRule="auto"/>
        <w:ind w:left="259" w:right="259"/>
        <w:shd w:fill="F2F4F7"/>
      </w:pPr>
      <w:r>
        <w:rPr>
          <w:rFonts w:ascii="Consolas" w:hAnsi="Consolas"/>
          <w:color w:val="0B2545"/>
          <w:sz w:val="18"/>
        </w:rPr>
        <w:t># Current PowerShell process only</w:t>
      </w:r>
      <w:r>
        <w:br/>
      </w:r>
      <w:r>
        <w:rPr>
          <w:rFonts w:ascii="Consolas" w:hAnsi="Consolas"/>
          <w:color w:val="0B2545"/>
          <w:sz w:val="18"/>
        </w:rPr>
        <w:t>$env:ConnectionStrings__DefaultConnection = '&lt;connection-string&gt;'</w:t>
      </w:r>
      <w:r>
        <w:br/>
      </w:r>
      <w:r>
        <w:rPr>
          <w:rFonts w:ascii="Consolas" w:hAnsi="Consolas"/>
          <w:color w:val="0B2545"/>
          <w:sz w:val="18"/>
        </w:rPr>
        <w:t>$env:JwtSettings__SecretKey = '&lt;strong-random-secret&gt;'</w:t>
      </w:r>
      <w:r>
        <w:br/>
      </w:r>
      <w:r>
        <w:rPr>
          <w:rFonts w:ascii="Consolas" w:hAnsi="Consolas"/>
          <w:color w:val="0B2545"/>
          <w:sz w:val="18"/>
        </w:rPr>
        <w:t>$env:Security__OtpHashKey = '&lt;strong-random-secret&gt;'</w:t>
      </w:r>
      <w:r>
        <w:br/>
      </w:r>
      <w:r>
        <w:rPr>
          <w:rFonts w:ascii="Consolas" w:hAnsi="Consolas"/>
          <w:color w:val="0B2545"/>
          <w:sz w:val="18"/>
        </w:rPr>
      </w:r>
      <w:r>
        <w:br/>
      </w:r>
      <w:r>
        <w:rPr>
          <w:rFonts w:ascii="Consolas" w:hAnsi="Consolas"/>
          <w:color w:val="0B2545"/>
          <w:sz w:val="18"/>
        </w:rPr>
        <w:t>dotnet run --project src\CoilManager.API\CoilManager.API.csproj --launch-profile http</w:t>
      </w:r>
    </w:p>
    <w:p>
      <w:pPr>
        <w:pStyle w:val="ListBullet"/>
        <w:spacing w:after="80" w:line="300" w:lineRule="auto"/>
      </w:pPr>
      <w:r>
        <w:rPr>
          <w:rFonts w:ascii="Calibri" w:hAnsi="Calibri"/>
          <w:sz w:val="22"/>
        </w:rPr>
        <w:t>For IIS, configure environment variables in web.config or protected server configuration.</w:t>
      </w:r>
    </w:p>
    <w:p>
      <w:pPr>
        <w:pStyle w:val="ListBullet"/>
        <w:spacing w:after="80" w:line="300" w:lineRule="auto"/>
      </w:pPr>
      <w:r>
        <w:rPr>
          <w:rFonts w:ascii="Calibri" w:hAnsi="Calibri"/>
          <w:sz w:val="22"/>
        </w:rPr>
        <w:t>For a Windows Service, configure machine/service environment variables or a protected configuration provider.</w:t>
      </w:r>
    </w:p>
    <w:p>
      <w:pPr>
        <w:pStyle w:val="ListBullet"/>
        <w:spacing w:after="80" w:line="300" w:lineRule="auto"/>
      </w:pPr>
      <w:r>
        <w:rPr>
          <w:rFonts w:ascii="Calibri" w:hAnsi="Calibri"/>
          <w:sz w:val="22"/>
        </w:rPr>
        <w:t>For CI/CD, use the platform’s secret store and inject values during deployment.</w:t>
      </w:r>
    </w:p>
    <w:p>
      <w:pPr>
        <w:pStyle w:val="ListBullet"/>
        <w:spacing w:after="80" w:line="300" w:lineRule="auto"/>
      </w:pPr>
      <w:r>
        <w:rPr>
          <w:rFonts w:ascii="Calibri" w:hAnsi="Calibri"/>
          <w:sz w:val="22"/>
        </w:rPr>
        <w:t>Do not commit production passwords or cryptographic keys into appsettings*.json.</w:t>
      </w:r>
    </w:p>
    <w:p>
      <w:pPr>
        <w:pStyle w:val="Heading1"/>
        <w:keepNext/>
      </w:pPr>
      <w:r>
        <w:t>7. Post-migration validation checklist</w:t>
      </w:r>
    </w:p>
    <w:p>
      <w:pPr>
        <w:pStyle w:val="ListBullet"/>
        <w:spacing w:after="80" w:line="300" w:lineRule="auto"/>
      </w:pPr>
      <w:r>
        <w:rPr>
          <w:rFonts w:ascii="Calibri" w:hAnsi="Calibri"/>
          <w:sz w:val="22"/>
        </w:rPr>
        <w:t>Confirm the API starts without connection, login, certificate, or migration errors.</w:t>
      </w:r>
    </w:p>
    <w:p>
      <w:pPr>
        <w:pStyle w:val="ListBullet"/>
        <w:spacing w:after="80" w:line="300" w:lineRule="auto"/>
      </w:pPr>
      <w:r>
        <w:rPr>
          <w:rFonts w:ascii="Calibri" w:hAnsi="Calibri"/>
          <w:sz w:val="22"/>
        </w:rPr>
        <w:t>Open /health and confirm HTTP 200.</w:t>
      </w:r>
    </w:p>
    <w:p>
      <w:pPr>
        <w:pStyle w:val="ListBullet"/>
        <w:spacing w:after="80" w:line="300" w:lineRule="auto"/>
      </w:pPr>
      <w:r>
        <w:rPr>
          <w:rFonts w:ascii="Calibri" w:hAnsi="Calibri"/>
          <w:sz w:val="22"/>
        </w:rPr>
        <w:t>Open Swagger in Development or call a known API endpoint using an authorized test account.</w:t>
      </w:r>
    </w:p>
    <w:p>
      <w:pPr>
        <w:pStyle w:val="ListBullet"/>
        <w:spacing w:after="80" w:line="300" w:lineRule="auto"/>
      </w:pPr>
      <w:r>
        <w:rPr>
          <w:rFonts w:ascii="Calibri" w:hAnsi="Calibri"/>
          <w:sz w:val="22"/>
        </w:rPr>
        <w:t>Log in through the Angular application and verify Dashboard, Inventory, Production, Sales, Planning, and Administration according to role permissions.</w:t>
      </w:r>
    </w:p>
    <w:p>
      <w:pPr>
        <w:pStyle w:val="ListBullet"/>
        <w:spacing w:after="80" w:line="300" w:lineRule="auto"/>
      </w:pPr>
      <w:r>
        <w:rPr>
          <w:rFonts w:ascii="Calibri" w:hAnsi="Calibri"/>
          <w:sz w:val="22"/>
        </w:rPr>
        <w:t>Compare key row counts between LocalDB and the destination database when retaining data.</w:t>
      </w:r>
    </w:p>
    <w:p>
      <w:pPr>
        <w:pStyle w:val="ListBullet"/>
        <w:spacing w:after="80" w:line="300" w:lineRule="auto"/>
      </w:pPr>
      <w:r>
        <w:rPr>
          <w:rFonts w:ascii="Calibri" w:hAnsi="Calibri"/>
          <w:sz w:val="22"/>
        </w:rPr>
        <w:t>Create and update a low-risk test record, then verify it persists after an API restart.</w:t>
      </w:r>
    </w:p>
    <w:p>
      <w:pPr>
        <w:pStyle w:val="ListBullet"/>
        <w:spacing w:after="80" w:line="300" w:lineRule="auto"/>
      </w:pPr>
      <w:r>
        <w:rPr>
          <w:rFonts w:ascii="Calibri" w:hAnsi="Calibri"/>
          <w:sz w:val="22"/>
        </w:rPr>
        <w:t>Confirm application roles, permissions, users, and the company profile exist.</w:t>
      </w:r>
    </w:p>
    <w:p>
      <w:pPr>
        <w:pStyle w:val="ListBullet"/>
        <w:spacing w:after="80" w:line="300" w:lineRule="auto"/>
      </w:pPr>
      <w:r>
        <w:rPr>
          <w:rFonts w:ascii="Calibri" w:hAnsi="Calibri"/>
          <w:sz w:val="22"/>
        </w:rPr>
        <w:t>Confirm SQL backups, retention, restore testing, monitoring, and maintenance jobs are configured.</w:t>
      </w:r>
    </w:p>
    <w:p>
      <w:pPr>
        <w:pStyle w:val="ListBullet"/>
        <w:spacing w:after="80" w:line="300" w:lineRule="auto"/>
      </w:pPr>
      <w:r>
        <w:rPr>
          <w:rFonts w:ascii="Calibri" w:hAnsi="Calibri"/>
          <w:sz w:val="22"/>
        </w:rPr>
        <w:t>Remove migration-level privileges from the normal runtime identity if they were granted temporarily.</w:t>
      </w:r>
    </w:p>
    <w:p>
      <w:pPr>
        <w:pStyle w:val="ListBullet"/>
        <w:spacing w:after="80" w:line="300" w:lineRule="auto"/>
      </w:pPr>
      <w:r>
        <w:rPr>
          <w:rFonts w:ascii="Calibri" w:hAnsi="Calibri"/>
          <w:sz w:val="22"/>
        </w:rPr>
        <w:t>Keep the LocalDB backup until business acceptance and rollback windows have passed.</w:t>
      </w:r>
    </w:p>
    <w:p>
      <w:pPr>
        <w:pStyle w:val="Heading1"/>
        <w:keepNext/>
      </w:pPr>
      <w:r>
        <w:t>8. Troubleshooting</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r>
              <w:rPr>
                <w:rFonts w:ascii="Calibri" w:hAnsi="Calibri"/>
                <w:b/>
                <w:color w:val="0B2545"/>
                <w:sz w:val="22"/>
              </w:rPr>
              <w:t>Item</w:t>
            </w:r>
          </w:p>
        </w:tc>
        <w:tc>
          <w:tcPr>
            <w:tcW w:type="dxa" w:w="6660"/>
            <w:vAlign w:val="center"/>
            <w:tcMar>
              <w:top w:w="80" w:type="dxa"/>
              <w:start w:w="120" w:type="dxa"/>
              <w:bottom w:w="80" w:type="dxa"/>
              <w:end w:w="120" w:type="dxa"/>
            </w:tcMar>
            <w:shd w:fill="E8EEF5"/>
          </w:tcPr>
          <w:p>
            <w:r>
              <w:rPr>
                <w:rFonts w:ascii="Calibri" w:hAnsi="Calibri"/>
                <w:b/>
                <w:color w:val="0B2545"/>
                <w:sz w:val="22"/>
              </w:rPr>
              <w:t>Repository-specific value</w:t>
            </w:r>
          </w:p>
        </w:tc>
      </w:tr>
      <w:tr>
        <w:tc>
          <w:tcPr>
            <w:tcW w:type="dxa" w:w="2700"/>
            <w:vAlign w:val="center"/>
            <w:tcMar>
              <w:top w:w="80" w:type="dxa"/>
              <w:start w:w="120" w:type="dxa"/>
              <w:bottom w:w="80" w:type="dxa"/>
              <w:end w:w="120" w:type="dxa"/>
            </w:tcMar>
          </w:tcPr>
          <w:p>
            <w:r>
              <w:rPr>
                <w:rFonts w:ascii="Calibri" w:hAnsi="Calibri"/>
                <w:b/>
                <w:color w:val="1F4D78"/>
                <w:sz w:val="22"/>
              </w:rPr>
              <w:t>Angular opens but data fails</w:t>
            </w:r>
          </w:p>
        </w:tc>
        <w:tc>
          <w:tcPr>
            <w:tcW w:type="dxa" w:w="6660"/>
            <w:vAlign w:val="center"/>
            <w:tcMar>
              <w:top w:w="80" w:type="dxa"/>
              <w:start w:w="120" w:type="dxa"/>
              <w:bottom w:w="80" w:type="dxa"/>
              <w:end w:w="120" w:type="dxa"/>
            </w:tcMar>
          </w:tcPr>
          <w:p>
            <w:r>
              <w:rPr>
                <w:rFonts w:ascii="Calibri" w:hAnsi="Calibri"/>
                <w:sz w:val="22"/>
              </w:rPr>
              <w:t>Start the API on port 5170; verify environment.development.ts and CORS AllowedOrigins.</w:t>
            </w:r>
          </w:p>
        </w:tc>
      </w:tr>
      <w:tr>
        <w:tc>
          <w:tcPr>
            <w:tcW w:type="dxa" w:w="2700"/>
            <w:vAlign w:val="center"/>
            <w:tcMar>
              <w:top w:w="80" w:type="dxa"/>
              <w:start w:w="120" w:type="dxa"/>
              <w:bottom w:w="80" w:type="dxa"/>
              <w:end w:w="120" w:type="dxa"/>
            </w:tcMar>
          </w:tcPr>
          <w:p>
            <w:r>
              <w:rPr>
                <w:rFonts w:ascii="Calibri" w:hAnsi="Calibri"/>
                <w:b/>
                <w:color w:val="1F4D78"/>
                <w:sz w:val="22"/>
              </w:rPr>
              <w:t>PowerShell blocks npm.ps1</w:t>
            </w:r>
          </w:p>
        </w:tc>
        <w:tc>
          <w:tcPr>
            <w:tcW w:type="dxa" w:w="6660"/>
            <w:vAlign w:val="center"/>
            <w:tcMar>
              <w:top w:w="80" w:type="dxa"/>
              <w:start w:w="120" w:type="dxa"/>
              <w:bottom w:w="80" w:type="dxa"/>
              <w:end w:w="120" w:type="dxa"/>
            </w:tcMar>
          </w:tcPr>
          <w:p>
            <w:r>
              <w:rPr>
                <w:rFonts w:ascii="Calibri" w:hAnsi="Calibri"/>
                <w:sz w:val="22"/>
              </w:rPr>
              <w:t>Use npm.cmd start or npm.cmd run build.</w:t>
            </w:r>
          </w:p>
        </w:tc>
      </w:tr>
      <w:tr>
        <w:tc>
          <w:tcPr>
            <w:tcW w:type="dxa" w:w="2700"/>
            <w:vAlign w:val="center"/>
            <w:tcMar>
              <w:top w:w="80" w:type="dxa"/>
              <w:start w:w="120" w:type="dxa"/>
              <w:bottom w:w="80" w:type="dxa"/>
              <w:end w:w="120" w:type="dxa"/>
            </w:tcMar>
          </w:tcPr>
          <w:p>
            <w:r>
              <w:rPr>
                <w:rFonts w:ascii="Calibri" w:hAnsi="Calibri"/>
                <w:b/>
                <w:color w:val="1F4D78"/>
                <w:sz w:val="22"/>
              </w:rPr>
              <w:t>Login failed for SQL user</w:t>
            </w:r>
          </w:p>
        </w:tc>
        <w:tc>
          <w:tcPr>
            <w:tcW w:type="dxa" w:w="6660"/>
            <w:vAlign w:val="center"/>
            <w:tcMar>
              <w:top w:w="80" w:type="dxa"/>
              <w:start w:w="120" w:type="dxa"/>
              <w:bottom w:w="80" w:type="dxa"/>
              <w:end w:w="120" w:type="dxa"/>
            </w:tcMar>
          </w:tcPr>
          <w:p>
            <w:r>
              <w:rPr>
                <w:rFonts w:ascii="Calibri" w:hAnsi="Calibri"/>
                <w:sz w:val="22"/>
              </w:rPr>
              <w:t>Verify SQL authentication is enabled, the login is mapped to CoilManager, the password is supplied from the secret store, and firewall/TCP settings allow access.</w:t>
            </w:r>
          </w:p>
        </w:tc>
      </w:tr>
      <w:tr>
        <w:tc>
          <w:tcPr>
            <w:tcW w:type="dxa" w:w="2700"/>
            <w:vAlign w:val="center"/>
            <w:tcMar>
              <w:top w:w="80" w:type="dxa"/>
              <w:start w:w="120" w:type="dxa"/>
              <w:bottom w:w="80" w:type="dxa"/>
              <w:end w:w="120" w:type="dxa"/>
            </w:tcMar>
          </w:tcPr>
          <w:p>
            <w:r>
              <w:rPr>
                <w:rFonts w:ascii="Calibri" w:hAnsi="Calibri"/>
                <w:b/>
                <w:color w:val="1F4D78"/>
                <w:sz w:val="22"/>
              </w:rPr>
              <w:t>Cannot open database requested by login</w:t>
            </w:r>
          </w:p>
        </w:tc>
        <w:tc>
          <w:tcPr>
            <w:tcW w:type="dxa" w:w="6660"/>
            <w:vAlign w:val="center"/>
            <w:tcMar>
              <w:top w:w="80" w:type="dxa"/>
              <w:start w:w="120" w:type="dxa"/>
              <w:bottom w:w="80" w:type="dxa"/>
              <w:end w:w="120" w:type="dxa"/>
            </w:tcMar>
          </w:tcPr>
          <w:p>
            <w:r>
              <w:rPr>
                <w:rFonts w:ascii="Calibri" w:hAnsi="Calibri"/>
                <w:sz w:val="22"/>
              </w:rPr>
              <w:t>Create/restore the database and map the runtime login to it.</w:t>
            </w:r>
          </w:p>
        </w:tc>
      </w:tr>
      <w:tr>
        <w:tc>
          <w:tcPr>
            <w:tcW w:type="dxa" w:w="2700"/>
            <w:vAlign w:val="center"/>
            <w:tcMar>
              <w:top w:w="80" w:type="dxa"/>
              <w:start w:w="120" w:type="dxa"/>
              <w:bottom w:w="80" w:type="dxa"/>
              <w:end w:w="120" w:type="dxa"/>
            </w:tcMar>
          </w:tcPr>
          <w:p>
            <w:r>
              <w:rPr>
                <w:rFonts w:ascii="Calibri" w:hAnsi="Calibri"/>
                <w:b/>
                <w:color w:val="1F4D78"/>
                <w:sz w:val="22"/>
              </w:rPr>
              <w:t>EF migration command unavailable</w:t>
            </w:r>
          </w:p>
        </w:tc>
        <w:tc>
          <w:tcPr>
            <w:tcW w:type="dxa" w:w="6660"/>
            <w:vAlign w:val="center"/>
            <w:tcMar>
              <w:top w:w="80" w:type="dxa"/>
              <w:start w:w="120" w:type="dxa"/>
              <w:bottom w:w="80" w:type="dxa"/>
              <w:end w:w="120" w:type="dxa"/>
            </w:tcMar>
          </w:tcPr>
          <w:p>
            <w:r>
              <w:rPr>
                <w:rFonts w:ascii="Calibri" w:hAnsi="Calibri"/>
                <w:sz w:val="22"/>
              </w:rPr>
              <w:t>Run dotnet tool restore from the repository root.</w:t>
            </w:r>
          </w:p>
        </w:tc>
      </w:tr>
      <w:tr>
        <w:tc>
          <w:tcPr>
            <w:tcW w:type="dxa" w:w="2700"/>
            <w:vAlign w:val="center"/>
            <w:tcMar>
              <w:top w:w="80" w:type="dxa"/>
              <w:start w:w="120" w:type="dxa"/>
              <w:bottom w:w="80" w:type="dxa"/>
              <w:end w:w="120" w:type="dxa"/>
            </w:tcMar>
          </w:tcPr>
          <w:p>
            <w:r>
              <w:rPr>
                <w:rFonts w:ascii="Calibri" w:hAnsi="Calibri"/>
                <w:b/>
                <w:color w:val="1F4D78"/>
                <w:sz w:val="22"/>
              </w:rPr>
              <w:t>Migration history mismatch</w:t>
            </w:r>
          </w:p>
        </w:tc>
        <w:tc>
          <w:tcPr>
            <w:tcW w:type="dxa" w:w="6660"/>
            <w:vAlign w:val="center"/>
            <w:tcMar>
              <w:top w:w="80" w:type="dxa"/>
              <w:start w:w="120" w:type="dxa"/>
              <w:bottom w:w="80" w:type="dxa"/>
              <w:end w:w="120" w:type="dxa"/>
            </w:tcMar>
          </w:tcPr>
          <w:p>
            <w:r>
              <w:rPr>
                <w:rFonts w:ascii="Calibri" w:hAnsi="Calibri"/>
                <w:sz w:val="22"/>
              </w:rPr>
              <w:t>Back up first; inspect __EFMigrationsHistory and the migrations under src\CoilManager.Persistence\Migrations before making changes.</w:t>
            </w:r>
          </w:p>
        </w:tc>
      </w:tr>
      <w:tr>
        <w:tc>
          <w:tcPr>
            <w:tcW w:type="dxa" w:w="2700"/>
            <w:vAlign w:val="center"/>
            <w:tcMar>
              <w:top w:w="80" w:type="dxa"/>
              <w:start w:w="120" w:type="dxa"/>
              <w:bottom w:w="80" w:type="dxa"/>
              <w:end w:w="120" w:type="dxa"/>
            </w:tcMar>
          </w:tcPr>
          <w:p>
            <w:r>
              <w:rPr>
                <w:rFonts w:ascii="Calibri" w:hAnsi="Calibri"/>
                <w:b/>
                <w:color w:val="1F4D78"/>
                <w:sz w:val="22"/>
              </w:rPr>
              <w:t>TLS/certificate error</w:t>
            </w:r>
          </w:p>
        </w:tc>
        <w:tc>
          <w:tcPr>
            <w:tcW w:type="dxa" w:w="6660"/>
            <w:vAlign w:val="center"/>
            <w:tcMar>
              <w:top w:w="80" w:type="dxa"/>
              <w:start w:w="120" w:type="dxa"/>
              <w:bottom w:w="80" w:type="dxa"/>
              <w:end w:w="120" w:type="dxa"/>
            </w:tcMar>
          </w:tcPr>
          <w:p>
            <w:r>
              <w:rPr>
                <w:rFonts w:ascii="Calibri" w:hAnsi="Calibri"/>
                <w:sz w:val="22"/>
              </w:rPr>
              <w:t>Install/trust the SQL Server certificate; use TrustServerCertificate=True only temporarily.</w:t>
            </w:r>
          </w:p>
        </w:tc>
      </w:tr>
      <w:tr>
        <w:tc>
          <w:tcPr>
            <w:tcW w:type="dxa" w:w="2700"/>
            <w:vAlign w:val="center"/>
            <w:tcMar>
              <w:top w:w="80" w:type="dxa"/>
              <w:start w:w="120" w:type="dxa"/>
              <w:bottom w:w="80" w:type="dxa"/>
              <w:end w:w="120" w:type="dxa"/>
            </w:tcMar>
          </w:tcPr>
          <w:p>
            <w:r>
              <w:rPr>
                <w:rFonts w:ascii="Calibri" w:hAnsi="Calibri"/>
                <w:b/>
                <w:color w:val="1F4D78"/>
                <w:sz w:val="22"/>
              </w:rPr>
              <w:t>CORS blocked</w:t>
            </w:r>
          </w:p>
        </w:tc>
        <w:tc>
          <w:tcPr>
            <w:tcW w:type="dxa" w:w="6660"/>
            <w:vAlign w:val="center"/>
            <w:tcMar>
              <w:top w:w="80" w:type="dxa"/>
              <w:start w:w="120" w:type="dxa"/>
              <w:bottom w:w="80" w:type="dxa"/>
              <w:end w:w="120" w:type="dxa"/>
            </w:tcMar>
          </w:tcPr>
          <w:p>
            <w:r>
              <w:rPr>
                <w:rFonts w:ascii="Calibri" w:hAnsi="Calibri"/>
                <w:sz w:val="22"/>
              </w:rPr>
              <w:t>Ensure the deployed Angular origin appears in Cors:AllowedOrigins and restart the API.</w:t>
            </w:r>
          </w:p>
        </w:tc>
      </w:tr>
    </w:tbl>
    <w:p>
      <w:pPr>
        <w:spacing w:after="40"/>
      </w:pPr>
    </w:p>
    <w:p>
      <w:pPr>
        <w:pStyle w:val="Heading1"/>
        <w:keepNext/>
      </w:pPr>
      <w:r>
        <w:t>9. Command summary</w:t>
      </w:r>
    </w:p>
    <w:p>
      <w:pPr>
        <w:spacing w:before="60" w:after="160" w:line="252" w:lineRule="auto"/>
        <w:ind w:left="259" w:right="259"/>
        <w:shd w:fill="F2F4F7"/>
      </w:pPr>
      <w:r>
        <w:rPr>
          <w:rFonts w:ascii="Consolas" w:hAnsi="Consolas"/>
          <w:color w:val="0B2545"/>
          <w:sz w:val="18"/>
        </w:rPr>
        <w:t># Angular development\ncd C:\VISHAL\Codes\CoilManager\src\CoilManager.UI\nnpm ci\nnpm start\n\n# Angular production build\nnpm run build\n\n# API build and run\ncd C:\VISHAL\Codes\CoilManager\ndotnet restore CoilManager.sln\ndotnet build CoilManager.sln --configuration Release\ndotnet run --project src\CoilManager.API\CoilManager.API.csproj --launch-profile http\n\n# EF Core migrations\ndotnet tool restore\ndotnet ef database update --project src\CoilManager.Persistence --startup-project src\CoilManager.API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COILMANAGER | TECHNICAL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CoilManager Build, Run, and Database Migration Guide</dc:title>
  <dc:subject>Angular, ASP.NET Core API, SQL Server LocalDB, and SQL Server migration procedures</dc:subject>
  <dc:creator>CoilManager Engineering</dc:creator>
  <cp:keywords>CoilManager, Angular, ASP.NET Core, SQL Server, LocalDB, deployment, migration</cp:keywords>
  <dc:description>generated by python-docx</dc:description>
  <cp:lastModifiedBy/>
  <cp:revision>1</cp:revision>
  <dcterms:created xsi:type="dcterms:W3CDTF">2013-12-23T23:15:00Z</dcterms:created>
  <dcterms:modified xsi:type="dcterms:W3CDTF">2013-12-23T23:15:00Z</dcterms:modified>
  <cp:category/>
</cp:coreProperties>
</file>