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40"/>
          <w:szCs w:val="40"/>
        </w:rPr>
        <w:t xml:space="preserve">Currency FX Rate Provider Compliance Assessment</w:t>
      </w:r>
    </w:p>
    <w:p>
      <w:pPr>
        <w:spacing w:after="60"/>
      </w:pPr>
      <w:r>
        <w:rPr>
          <w:rFonts w:ascii="Arial" w:cs="Arial" w:eastAsia="Arial" w:hAnsi="Arial"/>
          <w:b/>
          <w:bCs/>
          <w:sz w:val="22"/>
          <w:szCs w:val="22"/>
        </w:rPr>
        <w:t xml:space="preserve">Assessment Date: </w:t>
      </w:r>
      <w:r>
        <w:rPr>
          <w:rFonts w:ascii="Arial" w:cs="Arial" w:eastAsia="Arial" w:hAnsi="Arial"/>
          <w:sz w:val="22"/>
          <w:szCs w:val="22"/>
        </w:rPr>
        <w:t xml:space="preserve">10 February 2026</w:t>
      </w:r>
    </w:p>
    <w:p>
      <w:pPr>
        <w:spacing w:after="60"/>
      </w:pPr>
      <w:r>
        <w:rPr>
          <w:rFonts w:ascii="Arial" w:cs="Arial" w:eastAsia="Arial" w:hAnsi="Arial"/>
          <w:b/>
          <w:bCs/>
          <w:sz w:val="22"/>
          <w:szCs w:val="22"/>
        </w:rPr>
        <w:t xml:space="preserve">Prepared For: </w:t>
      </w:r>
      <w:r>
        <w:rPr>
          <w:rFonts w:ascii="Arial" w:cs="Arial" w:eastAsia="Arial" w:hAnsi="Arial"/>
          <w:sz w:val="22"/>
          <w:szCs w:val="22"/>
        </w:rPr>
        <w:t xml:space="preserve">The Football Association</w:t>
      </w:r>
    </w:p>
    <w:p>
      <w:pPr>
        <w:spacing w:after="60"/>
      </w:pPr>
      <w:r>
        <w:rPr>
          <w:rFonts w:ascii="Arial" w:cs="Arial" w:eastAsia="Arial" w:hAnsi="Arial"/>
          <w:b/>
          <w:bCs/>
          <w:sz w:val="22"/>
          <w:szCs w:val="22"/>
        </w:rPr>
        <w:t xml:space="preserve">Prepared By: </w:t>
      </w:r>
      <w:r>
        <w:rPr>
          <w:rFonts w:ascii="Arial" w:cs="Arial" w:eastAsia="Arial" w:hAnsi="Arial"/>
          <w:sz w:val="22"/>
          <w:szCs w:val="22"/>
        </w:rPr>
        <w:t xml:space="preserve">Rakesh Patel</w:t>
      </w:r>
    </w:p>
    <w:p>
      <w:pPr>
        <w:spacing w:after="200"/>
      </w:pPr>
      <w:r>
        <w:rPr>
          <w:rFonts w:ascii="Arial" w:cs="Arial" w:eastAsia="Arial" w:hAnsi="Arial"/>
          <w:b/>
          <w:bCs/>
          <w:sz w:val="22"/>
          <w:szCs w:val="22"/>
        </w:rPr>
        <w:t xml:space="preserve">Project: </w:t>
      </w:r>
      <w:r>
        <w:rPr>
          <w:rFonts w:ascii="Arial" w:cs="Arial" w:eastAsia="Arial" w:hAnsi="Arial"/>
          <w:sz w:val="22"/>
          <w:szCs w:val="22"/>
        </w:rPr>
        <w:t xml:space="preserve">Workday HCM/Financials Implementation – Currency Exchange Rate Integration</w:t>
      </w:r>
    </w:p>
    <w:p>
      <w:pPr>
        <w:pStyle w:val="Heading1"/>
      </w:pPr>
      <w:r>
        <w:t xml:space="preserve">Executive Summary</w:t>
      </w:r>
    </w:p>
    <w:p>
      <w:pPr>
        <w:spacing w:after="120"/>
      </w:pPr>
      <w:r>
        <w:rPr>
          <w:rFonts w:ascii="Arial" w:cs="Arial" w:eastAsia="Arial" w:hAnsi="Arial"/>
          <w:sz w:val="22"/>
          <w:szCs w:val="22"/>
        </w:rPr>
        <w:t xml:space="preserve">This assessment evaluates Currency FX Rate API providers against The Football Association’s security, compliance, and strategic technology requirements for the Workday HCM/Financials implementation. The integration requires an automated feed of daily and monthly average exchange rates into Workday to support multi-currency financial reporting, revaluation, and consolidation.</w:t>
      </w:r>
    </w:p>
    <w:p>
      <w:pPr>
        <w:spacing w:after="120"/>
      </w:pPr>
      <w:r>
        <w:rPr>
          <w:rFonts w:ascii="Arial" w:cs="Arial" w:eastAsia="Arial" w:hAnsi="Arial"/>
          <w:sz w:val="22"/>
          <w:szCs w:val="22"/>
        </w:rPr>
        <w:t xml:space="preserve">Following comprehensive evaluation of vendor certifications, Workday integration compatibility, rate coverage, and alignment with FA’s security requirements, </w:t>
      </w:r>
      <w:r>
        <w:rPr>
          <w:rFonts w:ascii="Arial" w:cs="Arial" w:eastAsia="Arial" w:hAnsi="Arial"/>
          <w:b/>
          <w:bCs/>
          <w:sz w:val="22"/>
          <w:szCs w:val="22"/>
        </w:rPr>
        <w:t xml:space="preserve">OANDA Exchange Rates API</w:t>
      </w:r>
      <w:r>
        <w:rPr>
          <w:rFonts w:ascii="Arial" w:cs="Arial" w:eastAsia="Arial" w:hAnsi="Arial"/>
          <w:sz w:val="22"/>
          <w:szCs w:val="22"/>
        </w:rPr>
        <w:t xml:space="preserve"> is recommended as the primary solution. OANDA is the industry-standard FX rate provider for enterprise ERP integrations, holds direct SOC 1/2 Type II and ISO 27001 certifications, and has proven pre-built integration with Workday Financials.</w:t>
      </w:r>
    </w:p>
    <w:p>
      <w:pPr>
        <w:spacing w:after="200"/>
      </w:pPr>
      <w:r>
        <w:rPr>
          <w:rFonts w:ascii="Arial" w:cs="Arial" w:eastAsia="Arial" w:hAnsi="Arial"/>
          <w:sz w:val="22"/>
          <w:szCs w:val="22"/>
        </w:rPr>
        <w:t xml:space="preserve">Additionally, this assessment evaluates whether Microsoft offers a native FX Rate API suitable for Workday integration. </w:t>
      </w:r>
      <w:r>
        <w:rPr>
          <w:rFonts w:ascii="Arial" w:cs="Arial" w:eastAsia="Arial" w:hAnsi="Arial"/>
          <w:b/>
          <w:bCs/>
          <w:sz w:val="22"/>
          <w:szCs w:val="22"/>
        </w:rPr>
        <w:t xml:space="preserve">Finding: Microsoft does not provide a general-purpose currency exchange rate API.</w:t>
      </w:r>
      <w:r>
        <w:rPr>
          <w:rFonts w:ascii="Arial" w:cs="Arial" w:eastAsia="Arial" w:hAnsi="Arial"/>
          <w:sz w:val="22"/>
          <w:szCs w:val="22"/>
        </w:rPr>
        <w:t xml:space="preserve"> Microsoft’s Partner Center FX Rate API is limited to CSP billing scenarios (monthly rates only, not daily), and Dynamics 365 exchange rate providers (ECB, OANDA, Xe via marketplace) are designed for D365 consumption, not Workday. These are not suitable for the FA’s Workday integration requirement.</w:t>
      </w:r>
    </w:p>
    <w:p>
      <w:pPr>
        <w:pStyle w:val="Heading1"/>
      </w:pPr>
      <w:r>
        <w:t xml:space="preserve">Workday Integration Context</w:t>
      </w:r>
    </w:p>
    <w:p>
      <w:pPr>
        <w:spacing w:after="120"/>
      </w:pPr>
      <w:r>
        <w:rPr>
          <w:rFonts w:ascii="Arial" w:cs="Arial" w:eastAsia="Arial" w:hAnsi="Arial"/>
          <w:sz w:val="22"/>
          <w:szCs w:val="22"/>
        </w:rPr>
        <w:t xml:space="preserve">Workday Financials includes a built-in integration framework for currency exchange rates that supports API calls to external FX rate providers. The integration uses Workday’s “Put Currency Conversion Rates” web service operation to load rates. Providers can be connected either through Workday’s pre-configured connectors, Workday Studio custom integrations, or third-party middleware such as FXLoader (insightsoftware).</w:t>
      </w:r>
    </w:p>
    <w:p>
      <w:pPr>
        <w:pStyle w:val="Heading2"/>
      </w:pPr>
      <w:r>
        <w:t xml:space="preserve">Rate Types Required</w:t>
      </w:r>
    </w:p>
    <w:p>
      <w:pPr>
        <w:pStyle w:val="ListParagraph"/>
        <w:numPr>
          <w:ilvl w:val="0"/>
          <w:numId w:val="2"/>
        </w:numPr>
      </w:pPr>
      <w:r>
        <w:rPr>
          <w:rFonts w:ascii="Arial" w:cs="Arial" w:eastAsia="Arial" w:hAnsi="Arial"/>
          <w:b/>
          <w:bCs/>
          <w:sz w:val="22"/>
          <w:szCs w:val="22"/>
        </w:rPr>
        <w:t xml:space="preserve">Daily Rates: </w:t>
      </w:r>
      <w:r>
        <w:rPr>
          <w:rFonts w:ascii="Arial" w:cs="Arial" w:eastAsia="Arial" w:hAnsi="Arial"/>
          <w:sz w:val="22"/>
          <w:szCs w:val="22"/>
        </w:rPr>
        <w:t xml:space="preserve">Spot/daily average rates for transaction processing and period-end revaluation</w:t>
      </w:r>
    </w:p>
    <w:p>
      <w:pPr>
        <w:pStyle w:val="ListParagraph"/>
        <w:numPr>
          <w:ilvl w:val="0"/>
          <w:numId w:val="2"/>
        </w:numPr>
      </w:pPr>
      <w:r>
        <w:rPr>
          <w:rFonts w:ascii="Arial" w:cs="Arial" w:eastAsia="Arial" w:hAnsi="Arial"/>
          <w:b/>
          <w:bCs/>
          <w:sz w:val="22"/>
          <w:szCs w:val="22"/>
        </w:rPr>
        <w:t xml:space="preserve">Monthly Average Rates: </w:t>
      </w:r>
      <w:r>
        <w:rPr>
          <w:rFonts w:ascii="Arial" w:cs="Arial" w:eastAsia="Arial" w:hAnsi="Arial"/>
          <w:sz w:val="22"/>
          <w:szCs w:val="22"/>
        </w:rPr>
        <w:t xml:space="preserve">For P&amp;L translation and consolidated financial reporting</w:t>
      </w:r>
    </w:p>
    <w:p>
      <w:pPr>
        <w:pStyle w:val="ListParagraph"/>
        <w:numPr>
          <w:ilvl w:val="0"/>
          <w:numId w:val="2"/>
        </w:numPr>
        <w:spacing w:after="120"/>
      </w:pPr>
      <w:r>
        <w:rPr>
          <w:rFonts w:ascii="Arial" w:cs="Arial" w:eastAsia="Arial" w:hAnsi="Arial"/>
          <w:b/>
          <w:bCs/>
          <w:sz w:val="22"/>
          <w:szCs w:val="22"/>
        </w:rPr>
        <w:t xml:space="preserve">Period-End Rates: </w:t>
      </w:r>
      <w:r>
        <w:rPr>
          <w:rFonts w:ascii="Arial" w:cs="Arial" w:eastAsia="Arial" w:hAnsi="Arial"/>
          <w:sz w:val="22"/>
          <w:szCs w:val="22"/>
        </w:rPr>
        <w:t xml:space="preserve">Balance sheet revaluation at month/quarter/year end</w:t>
      </w:r>
    </w:p>
    <w:p>
      <w:pPr>
        <w:pStyle w:val="Heading2"/>
      </w:pPr>
      <w:r>
        <w:t xml:space="preserve">Key Integration Notes</w:t>
      </w:r>
    </w:p>
    <w:p>
      <w:pPr>
        <w:pStyle w:val="ListParagraph"/>
        <w:numPr>
          <w:ilvl w:val="0"/>
          <w:numId w:val="2"/>
        </w:numPr>
      </w:pPr>
      <w:r>
        <w:rPr>
          <w:rFonts w:ascii="Arial" w:cs="Arial" w:eastAsia="Arial" w:hAnsi="Arial"/>
          <w:sz w:val="22"/>
          <w:szCs w:val="22"/>
        </w:rPr>
        <w:t xml:space="preserve">Not all FX rate providers offer monthly average rates natively. For those that do not (Currency Converter API, currencylayer, ECB, ExchangeRate-API, Open Exchange Rates), Workday can calculate monthly averages from daily exchange rates.</w:t>
      </w:r>
    </w:p>
    <w:p>
      <w:pPr>
        <w:pStyle w:val="ListParagraph"/>
        <w:numPr>
          <w:ilvl w:val="0"/>
          <w:numId w:val="2"/>
        </w:numPr>
      </w:pPr>
      <w:r>
        <w:rPr>
          <w:rFonts w:ascii="Arial" w:cs="Arial" w:eastAsia="Arial" w:hAnsi="Arial"/>
          <w:sz w:val="22"/>
          <w:szCs w:val="22"/>
        </w:rPr>
        <w:t xml:space="preserve">OANDA offers spot rates and candle rates. The Workday integration retrieves candle rates for both daily and average rates as a lower-cost option. If spot rates are used and a simple monthly average is calculated from daily rates, the calculated average will not match the monthly average rates provided directly from OANDA.</w:t>
      </w:r>
    </w:p>
    <w:p>
      <w:pPr>
        <w:pStyle w:val="ListParagraph"/>
        <w:numPr>
          <w:ilvl w:val="0"/>
          <w:numId w:val="2"/>
        </w:numPr>
        <w:spacing w:after="200"/>
      </w:pPr>
      <w:r>
        <w:rPr>
          <w:rFonts w:ascii="Arial" w:cs="Arial" w:eastAsia="Arial" w:hAnsi="Arial"/>
          <w:sz w:val="22"/>
          <w:szCs w:val="22"/>
        </w:rPr>
        <w:t xml:space="preserve">OANDA rates are posted daily at 6PM. The integration should run after this time for current rates. This must be tested during implementation.</w:t>
      </w:r>
    </w:p>
    <w:p>
      <w:pPr>
        <w:pStyle w:val="Heading1"/>
      </w:pPr>
      <w:r>
        <w:t xml:space="preserve">FA Security Mandatory Requirements</w:t>
      </w:r>
    </w:p>
    <w:p>
      <w:pPr>
        <w:spacing w:after="120"/>
      </w:pPr>
      <w:r>
        <w:rPr>
          <w:rFonts w:ascii="Arial" w:cs="Arial" w:eastAsia="Arial" w:hAnsi="Arial"/>
          <w:sz w:val="22"/>
          <w:szCs w:val="22"/>
        </w:rPr>
        <w:t xml:space="preserve">All vendors must meet ALL FOUR criteria to be considered compliant for FA procurement:</w:t>
      </w:r>
    </w:p>
    <w:p>
      <w:pPr>
        <w:pStyle w:val="ListParagraph"/>
        <w:numPr>
          <w:ilvl w:val="0"/>
          <w:numId w:val="3"/>
        </w:numPr>
      </w:pPr>
      <w:r>
        <w:rPr>
          <w:rFonts w:ascii="Arial" w:cs="Arial" w:eastAsia="Arial" w:hAnsi="Arial"/>
          <w:sz w:val="22"/>
          <w:szCs w:val="22"/>
        </w:rPr>
        <w:t xml:space="preserve">ISO 27001 OR SOC 2 Type II certification (minimum one required)</w:t>
      </w:r>
    </w:p>
    <w:p>
      <w:pPr>
        <w:pStyle w:val="ListParagraph"/>
        <w:numPr>
          <w:ilvl w:val="0"/>
          <w:numId w:val="3"/>
        </w:numPr>
      </w:pPr>
      <w:r>
        <w:rPr>
          <w:rFonts w:ascii="Arial" w:cs="Arial" w:eastAsia="Arial" w:hAnsi="Arial"/>
          <w:sz w:val="22"/>
          <w:szCs w:val="22"/>
        </w:rPr>
        <w:t xml:space="preserve">UK/EU data residency capability</w:t>
      </w:r>
    </w:p>
    <w:p>
      <w:pPr>
        <w:pStyle w:val="ListParagraph"/>
        <w:numPr>
          <w:ilvl w:val="0"/>
          <w:numId w:val="3"/>
        </w:numPr>
      </w:pPr>
      <w:r>
        <w:rPr>
          <w:rFonts w:ascii="Arial" w:cs="Arial" w:eastAsia="Arial" w:hAnsi="Arial"/>
          <w:sz w:val="22"/>
          <w:szCs w:val="22"/>
        </w:rPr>
        <w:t xml:space="preserve">Major Cloud Provider (AWS, Azure, GCP) OR Private Infrastructure</w:t>
      </w:r>
    </w:p>
    <w:p>
      <w:pPr>
        <w:pStyle w:val="ListParagraph"/>
        <w:numPr>
          <w:ilvl w:val="0"/>
          <w:numId w:val="3"/>
        </w:numPr>
        <w:spacing w:after="200"/>
      </w:pPr>
      <w:r>
        <w:rPr>
          <w:rFonts w:ascii="Arial" w:cs="Arial" w:eastAsia="Arial" w:hAnsi="Arial"/>
          <w:sz w:val="22"/>
          <w:szCs w:val="22"/>
        </w:rPr>
        <w:t xml:space="preserve">Demonstrated security best practices for API data exchange</w:t>
      </w:r>
    </w:p>
    <w:p>
      <w:r>
        <w:br w:type="page"/>
      </w:r>
    </w:p>
    <w:p>
      <w:pPr>
        <w:pStyle w:val="Heading1"/>
      </w:pPr>
      <w:r>
        <w:t xml:space="preserve">Vendor Compliance Matrix</w:t>
      </w:r>
    </w:p>
    <w:p>
      <w:pPr>
        <w:pStyle w:val="Heading2"/>
      </w:pPr>
      <w:r>
        <w:t xml:space="preserve">Provider Overview &amp;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100"/>
        <w:gridCol w:w="1060"/>
        <w:gridCol w:w="1100"/>
        <w:gridCol w:w="1100"/>
        <w:gridCol w:w="900"/>
        <w:gridCol w:w="100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Provider</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Parent / Owner</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HQ Location</w:t>
            </w:r>
          </w:p>
        </w:tc>
        <w:tc>
          <w:tcPr>
            <w:tcW w:type="dxa" w:w="1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API Version</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Daily Rates</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Monthly Avg</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Currencies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Workday Integration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OANDA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OANDA Global Corp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New York, US</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v1 / v2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06100"/>
                <w:sz w:val="18"/>
                <w:szCs w:val="18"/>
              </w:rPr>
              <w:t xml:space="preserve">✓ Native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06100"/>
                <w:sz w:val="18"/>
                <w:szCs w:val="18"/>
              </w:rPr>
              <w:t xml:space="preserve">✓ Pre-built</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Xe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Euronet Worldwide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Newmarket, CA</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v1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6100"/>
                <w:sz w:val="18"/>
                <w:szCs w:val="18"/>
              </w:rPr>
              <w:t xml:space="preserve">✓ Native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220+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6100"/>
                <w:sz w:val="18"/>
                <w:szCs w:val="18"/>
              </w:rPr>
              <w:t xml:space="preserve">✓ Pre-built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ECB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European Central Bank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Frankfurt, DE</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BF8F00"/>
                <w:sz w:val="18"/>
                <w:szCs w:val="18"/>
              </w:rPr>
              <w:t xml:space="preserve">Calculated**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06100"/>
                <w:sz w:val="18"/>
                <w:szCs w:val="18"/>
              </w:rPr>
              <w:t xml:space="preserve">✓ Pre-built</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currencylayer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APILayer (Idera Inc)</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Vienna, AT</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v1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BF8F00"/>
                <w:sz w:val="18"/>
                <w:szCs w:val="18"/>
              </w:rPr>
              <w:t xml:space="preserve">Calculated**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168+</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6100"/>
                <w:sz w:val="18"/>
                <w:szCs w:val="18"/>
              </w:rPr>
              <w:t xml:space="preserve">✓ Supported</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Open Exchange Rates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Open Exchange Rates Ltd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London, UK</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BF8F00"/>
                <w:sz w:val="18"/>
                <w:szCs w:val="18"/>
              </w:rPr>
              <w:t xml:space="preserve">Calculated**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06100"/>
                <w:sz w:val="18"/>
                <w:szCs w:val="18"/>
              </w:rPr>
              <w:t xml:space="preserve">✓ Supported</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ExchangeRate-API</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ExchangeRate-API Ltd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Unknown</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v6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BF8F00"/>
                <w:sz w:val="18"/>
                <w:szCs w:val="18"/>
              </w:rPr>
              <w:t xml:space="preserve">Calculated**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6100"/>
                <w:sz w:val="18"/>
                <w:szCs w:val="18"/>
              </w:rPr>
              <w:t xml:space="preserve">✓ Supported</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Currency Converter API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CurrencyConverterAPI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Unknown</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BF8F00"/>
                <w:sz w:val="18"/>
                <w:szCs w:val="18"/>
              </w:rPr>
              <w:t xml:space="preserve">Calculated**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06100"/>
                <w:sz w:val="18"/>
                <w:szCs w:val="18"/>
              </w:rPr>
              <w:t xml:space="preserve">✓ Supported</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Quodd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Financeware / FIS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Jersey City, US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REST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6100"/>
                <w:sz w:val="18"/>
                <w:szCs w:val="18"/>
              </w:rPr>
              <w:t xml:space="preserve">✓ Native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168+</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BF8F00"/>
                <w:sz w:val="18"/>
                <w:szCs w:val="18"/>
              </w:rPr>
              <w:t xml:space="preserve">Custom</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Peliqan.io (Fixer.io)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Peliqan NV</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Antwerp, BE</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v1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BF8F00"/>
                <w:sz w:val="18"/>
                <w:szCs w:val="18"/>
              </w:rPr>
              <w:t xml:space="preserve">Calculated**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170+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6"/>
                <w:szCs w:val="16"/>
              </w:rPr>
              <w:t xml:space="preserve">Via Peliqan middleware</w:t>
            </w:r>
          </w:p>
        </w:tc>
      </w:tr>
    </w:tbl>
    <w:p>
      <w:pPr>
        <w:spacing w:before="80" w:after="200"/>
      </w:pPr>
      <w:r>
        <w:rPr>
          <w:rFonts w:ascii="Arial" w:cs="Arial" w:eastAsia="Arial" w:hAnsi="Arial"/>
          <w:i/>
          <w:iCs/>
          <w:color w:val="666666"/>
          <w:sz w:val="18"/>
          <w:szCs w:val="18"/>
        </w:rPr>
        <w:t xml:space="preserve">*Not all APIs have versioned endpoints. **Monthly averages calculated by Workday from daily rates where not natively provided.</w:t>
      </w:r>
    </w:p>
    <w:p>
      <w:r>
        <w:br w:type="page"/>
      </w:r>
    </w:p>
    <w:p>
      <w:pPr>
        <w:pStyle w:val="Heading2"/>
      </w:pPr>
      <w:r>
        <w:t xml:space="preserve">ISO/SOC 2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360"/>
        <w:gridCol w:w="150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Provider</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ISO 27001</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SOC 1 Type II</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SOC 2 Type II</w:t>
            </w:r>
          </w:p>
        </w:tc>
        <w:tc>
          <w:tcPr>
            <w:tcW w:type="dxa" w:w="1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GDPR</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Compliance Route</w:t>
            </w:r>
          </w:p>
        </w:tc>
      </w:tr>
      <w:tr>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sz w:val="18"/>
                <w:szCs w:val="18"/>
              </w:rPr>
              <w:t xml:space="preserve">OANDA</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6100"/>
                <w:sz w:val="18"/>
                <w:szCs w:val="18"/>
              </w:rPr>
              <w:t xml:space="preserve">✓ Direct</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6100"/>
                <w:sz w:val="18"/>
                <w:szCs w:val="18"/>
              </w:rPr>
              <w:t xml:space="preserve">✓ Direct</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6100"/>
                <w:sz w:val="18"/>
                <w:szCs w:val="18"/>
              </w:rPr>
              <w:t xml:space="preserve">✓ Direct</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sz w:val="18"/>
                <w:szCs w:val="18"/>
              </w:rPr>
              <w:t xml:space="preserve">Direct + SSAE16</w:t>
            </w:r>
          </w:p>
        </w:tc>
      </w:tr>
      <w:tr>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sz w:val="18"/>
                <w:szCs w:val="18"/>
              </w:rPr>
              <w:t xml:space="preserve">Xe (Euronet)</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006100"/>
                <w:sz w:val="18"/>
                <w:szCs w:val="18"/>
              </w:rPr>
              <w:t xml:space="preserve">✓ Via Parent</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BF8F00"/>
                <w:sz w:val="18"/>
                <w:szCs w:val="18"/>
              </w:rPr>
              <w:t xml:space="preserve">Unknown</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006100"/>
                <w:sz w:val="18"/>
                <w:szCs w:val="18"/>
              </w:rPr>
              <w:t xml:space="preserve">✓ Via Parent</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sz w:val="18"/>
                <w:szCs w:val="18"/>
              </w:rPr>
              <w:t xml:space="preserve">Via Euronet Worldwide</w:t>
            </w:r>
          </w:p>
        </w:tc>
      </w:tr>
      <w:tr>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sz w:val="18"/>
                <w:szCs w:val="18"/>
              </w:rPr>
              <w:t xml:space="preserve">ECB</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2E75B6"/>
                <w:sz w:val="18"/>
                <w:szCs w:val="18"/>
              </w:rPr>
              <w:t xml:space="preserve">N/A – Public</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2E75B6"/>
                <w:sz w:val="18"/>
                <w:szCs w:val="18"/>
              </w:rPr>
              <w:t xml:space="preserve">N/A – Public</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2E75B6"/>
                <w:sz w:val="18"/>
                <w:szCs w:val="18"/>
              </w:rPr>
              <w:t xml:space="preserve">N/A – Public</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2E75B6"/>
                <w:sz w:val="18"/>
                <w:szCs w:val="18"/>
              </w:rPr>
              <w:t xml:space="preserve">EU Institution</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sz w:val="18"/>
                <w:szCs w:val="18"/>
              </w:rPr>
              <w:t xml:space="preserve">Public Institution</w:t>
            </w:r>
          </w:p>
        </w:tc>
      </w:tr>
      <w:tr>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sz w:val="18"/>
                <w:szCs w:val="18"/>
              </w:rPr>
              <w:t xml:space="preserve">Quodd (FIS)</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BF8F00"/>
                <w:sz w:val="18"/>
                <w:szCs w:val="18"/>
              </w:rPr>
              <w:t xml:space="preserve">Likely (FIS)</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BF8F00"/>
                <w:sz w:val="18"/>
                <w:szCs w:val="18"/>
              </w:rPr>
              <w:t xml:space="preserve">Likely (FIS)</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BF8F00"/>
                <w:sz w:val="18"/>
                <w:szCs w:val="18"/>
              </w:rPr>
              <w:t xml:space="preserve">Likely (FIS)</w:t>
            </w:r>
          </w:p>
        </w:tc>
        <w:tc>
          <w:tcPr>
            <w:tcW w:type="dxa" w:w="1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BF8F00"/>
                <w:sz w:val="18"/>
                <w:szCs w:val="18"/>
              </w:rPr>
              <w:t xml:space="preserve">Unknown</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left"/>
            </w:pPr>
            <w:r>
              <w:rPr>
                <w:rFonts w:ascii="Arial" w:cs="Arial" w:eastAsia="Arial" w:hAnsi="Arial"/>
                <w:sz w:val="18"/>
                <w:szCs w:val="18"/>
              </w:rPr>
              <w:t xml:space="preserve">No Public Docs</w:t>
            </w:r>
          </w:p>
        </w:tc>
      </w:tr>
      <w:tr>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sz w:val="18"/>
                <w:szCs w:val="18"/>
              </w:rPr>
              <w:t xml:space="preserve">Peliqan.io (Fixer)</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006100"/>
                <w:sz w:val="18"/>
                <w:szCs w:val="18"/>
              </w:rPr>
              <w:t xml:space="preserve">✓ Direct</w:t>
            </w:r>
          </w:p>
        </w:tc>
        <w:tc>
          <w:tcPr>
            <w:tcW w:type="dxa" w:w="1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left"/>
            </w:pPr>
            <w:r>
              <w:rPr>
                <w:rFonts w:ascii="Arial" w:cs="Arial" w:eastAsia="Arial" w:hAnsi="Arial"/>
                <w:sz w:val="18"/>
                <w:szCs w:val="18"/>
              </w:rPr>
              <w:t xml:space="preserve">SOC 2 Type 2 only</w:t>
            </w:r>
          </w:p>
        </w:tc>
      </w:tr>
      <w:tr>
        <w:tc>
          <w:tcPr>
            <w:tcW w:type="dxa" w:w="20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currencylayer</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BF8F00"/>
                <w:sz w:val="18"/>
                <w:szCs w:val="18"/>
              </w:rPr>
              <w:t xml:space="preserve">Supports</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No Public Docs</w:t>
            </w:r>
          </w:p>
        </w:tc>
      </w:tr>
      <w:tr>
        <w:tc>
          <w:tcPr>
            <w:tcW w:type="dxa" w:w="20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Open Exchange Rates</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BF8F00"/>
                <w:sz w:val="18"/>
                <w:szCs w:val="18"/>
              </w:rPr>
              <w:t xml:space="preserve">Unknown</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No Public Docs</w:t>
            </w:r>
          </w:p>
        </w:tc>
      </w:tr>
      <w:tr>
        <w:tc>
          <w:tcPr>
            <w:tcW w:type="dxa" w:w="20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ExchangeRate-API</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BF8F00"/>
                <w:sz w:val="18"/>
                <w:szCs w:val="18"/>
              </w:rPr>
              <w:t xml:space="preserve">Unknown</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No Public Docs</w:t>
            </w:r>
          </w:p>
        </w:tc>
      </w:tr>
      <w:tr>
        <w:tc>
          <w:tcPr>
            <w:tcW w:type="dxa" w:w="20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Currency Converter API</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w:t>
            </w:r>
          </w:p>
        </w:tc>
        <w:tc>
          <w:tcPr>
            <w:tcW w:type="dxa" w:w="1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BF8F00"/>
                <w:sz w:val="18"/>
                <w:szCs w:val="18"/>
              </w:rPr>
              <w:t xml:space="preserve">Unknown</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No Public Docs</w:t>
            </w:r>
          </w:p>
        </w:tc>
      </w:tr>
    </w:tbl>
    <w:p>
      <w:pPr>
        <w:spacing w:before="200" w:after="200"/>
      </w:pPr>
    </w:p>
    <w:p>
      <w:pPr>
        <w:pStyle w:val="Heading2"/>
      </w:pPr>
      <w:r>
        <w:t xml:space="preserve">Security Features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360"/>
        <w:gridCol w:w="1500"/>
        <w:gridCol w:w="150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Provider</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Encryption Transit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API Auth</w:t>
            </w:r>
          </w:p>
        </w:tc>
        <w:tc>
          <w:tcPr>
            <w:tcW w:type="dxa" w:w="1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Rate Limiting</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Infrastructure</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UK/EU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OANDA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TLS 1.2+/HTTPS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Bearer Token/API Key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Per plan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SSAE16 DC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6100"/>
                <w:sz w:val="18"/>
                <w:szCs w:val="18"/>
              </w:rPr>
              <w:t xml:space="preserve">✓ EU Ops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Xe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TLS 1.2+/HTTPS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HTTP Basic Auth</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Per plan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Global DCs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006100"/>
                <w:sz w:val="18"/>
                <w:szCs w:val="18"/>
              </w:rPr>
              <w:t xml:space="preserve">✓ EU Ops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ECB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HTTPS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None (Public)</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Fair use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EU Public Infra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6100"/>
                <w:sz w:val="18"/>
                <w:szCs w:val="18"/>
              </w:rPr>
              <w:t xml:space="preserve">✓ EU Based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currencylayer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HTTPS (Paid)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API Key</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Per plan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AWS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006100"/>
                <w:sz w:val="18"/>
                <w:szCs w:val="18"/>
              </w:rPr>
              <w:t xml:space="preserve">✓ EU (AWS)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Open Exchange Rates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HTTPS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App ID / API Key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Per plan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AWS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6100"/>
                <w:sz w:val="18"/>
                <w:szCs w:val="18"/>
              </w:rPr>
              <w:t xml:space="preserve">✓ UK Based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ExchangeRate-API</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HTTPS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API Key</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Per plan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AWS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BF8F00"/>
                <w:sz w:val="18"/>
                <w:szCs w:val="18"/>
              </w:rPr>
              <w:t xml:space="preserve">Unknown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Currency Converter 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HTTPS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API Key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Per plan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BF8F00"/>
                <w:sz w:val="18"/>
                <w:szCs w:val="18"/>
              </w:rPr>
              <w:t xml:space="preserve">Unknown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Quodd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TLS/HTTPS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API Key</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Custom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Cloud (FIS)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BF8F00"/>
                <w:sz w:val="18"/>
                <w:szCs w:val="18"/>
              </w:rPr>
              <w:t xml:space="preserve">Unknown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Peliqan.io (Fixer)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TLS 1.2+/HTTPS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API Key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Per plan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AWS EU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6100"/>
                <w:sz w:val="18"/>
                <w:szCs w:val="18"/>
              </w:rPr>
              <w:t xml:space="preserve">✓ EU Based</w:t>
            </w:r>
          </w:p>
        </w:tc>
      </w:tr>
    </w:tbl>
    <w:p>
      <w:r>
        <w:br w:type="page"/>
      </w:r>
    </w:p>
    <w:p>
      <w:pPr>
        <w:pStyle w:val="Heading1"/>
      </w:pPr>
      <w:r>
        <w:t xml:space="preserve">Microsoft FX Rate API Assessment</w:t>
      </w:r>
    </w:p>
    <w:p>
      <w:pPr>
        <w:spacing w:after="120"/>
      </w:pPr>
      <w:r>
        <w:rPr>
          <w:rFonts w:ascii="Arial" w:cs="Arial" w:eastAsia="Arial" w:hAnsi="Arial"/>
          <w:sz w:val="22"/>
          <w:szCs w:val="22"/>
        </w:rPr>
        <w:t xml:space="preserve">An assessment was requested to determine whether Microsoft provides a native FX Rate API that could be utilised for the Workday currency exchange rate integration.</w:t>
      </w:r>
    </w:p>
    <w:p>
      <w:pPr>
        <w:pStyle w:val="Heading2"/>
      </w:pPr>
      <w:r>
        <w:t xml:space="preserve">Finding: No Suitable Microsoft FX Rate API Exists for Workday</w:t>
      </w:r>
    </w:p>
    <w:p>
      <w:pPr>
        <w:spacing w:after="120"/>
      </w:pPr>
      <w:r>
        <w:rPr>
          <w:rFonts w:ascii="Arial" w:cs="Arial" w:eastAsia="Arial" w:hAnsi="Arial"/>
          <w:sz w:val="22"/>
          <w:szCs w:val="22"/>
        </w:rPr>
        <w:t xml:space="preserve">Microsoft does not offer a general-purpose, standalone currency exchange rate API service. The following Microsoft capabilities were evaluated and found unsuitable for the FA’s Workday integration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1780"/>
        <w:gridCol w:w="18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Microsoft Service</w:t>
            </w:r>
          </w:p>
        </w:tc>
        <w:tc>
          <w:tcPr>
            <w:tcW w:type="dxa" w:w="35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7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Limitation</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Workday Compatible?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Partner Center FX Rates API</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Provides monthly FX rates for CSP billing/invoicing only. Rates updated once per month.</w:t>
            </w:r>
          </w:p>
        </w:tc>
        <w:tc>
          <w:tcPr>
            <w:tcW w:type="dxa" w:w="1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Monthly only, CSP-scoped, no daily rates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Dynamics 365 F&amp;O Exchange Rate Providers</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Built-in exchange rate import within D365 Finance &amp; Operations. Supports ECB, OANDA, Xe via marketplace add-ons.</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D365-specific, not an external API for third-party consumption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 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D365 Business Central Currency Service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Automated exchange rate updates via external XML feeds (e.g. FloatRates, ECB) within Business Central.</w:t>
            </w:r>
          </w:p>
        </w:tc>
        <w:tc>
          <w:tcPr>
            <w:tcW w:type="dxa" w:w="1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BC-internal only, not an API service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 No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Azure Marketplace (Third-party)</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SilverLining.Cloud offers a Currency Exchange API SaaS on Azure Marketplace. Third-party, not Microsoft-native.</w:t>
            </w:r>
          </w:p>
        </w:tc>
        <w:tc>
          <w:tcPr>
            <w:tcW w:type="dxa" w:w="1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Third-party, not Microsoft service. Small vendor.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BF8F00"/>
                <w:sz w:val="16"/>
                <w:szCs w:val="16"/>
              </w:rPr>
              <w:t xml:space="preserve">⚠ Possible but not recommended</w:t>
            </w:r>
          </w:p>
        </w:tc>
      </w:tr>
    </w:tbl>
    <w:p>
      <w:pPr>
        <w:spacing w:before="120" w:after="200"/>
      </w:pPr>
      <w:r>
        <w:rPr>
          <w:rFonts w:ascii="Arial" w:cs="Arial" w:eastAsia="Arial" w:hAnsi="Arial"/>
          <w:b/>
          <w:bCs/>
          <w:sz w:val="22"/>
          <w:szCs w:val="22"/>
        </w:rPr>
        <w:t xml:space="preserve">Recommendation: </w:t>
      </w:r>
      <w:r>
        <w:rPr>
          <w:rFonts w:ascii="Arial" w:cs="Arial" w:eastAsia="Arial" w:hAnsi="Arial"/>
          <w:sz w:val="22"/>
          <w:szCs w:val="22"/>
        </w:rPr>
        <w:t xml:space="preserve">Microsoft does not provide a native FX Rate API suitable for Workday integration. The FA should use a dedicated FX rate provider (OANDA or Xe) that has proven Workday integration capability.</w:t>
      </w:r>
    </w:p>
    <w:p>
      <w:pPr>
        <w:pStyle w:val="Heading1"/>
      </w:pPr>
      <w:r>
        <w:t xml:space="preserve">FA Security Compliance Assessment</w:t>
      </w:r>
    </w:p>
    <w:p>
      <w:pPr>
        <w:pStyle w:val="Heading2"/>
      </w:pPr>
      <w:r>
        <w:t xml:space="preserve">Tier 1 – FULLY COMPLIANT</w:t>
      </w:r>
    </w:p>
    <w:p>
      <w:pPr>
        <w:pStyle w:val="Heading3"/>
      </w:pPr>
      <w:r>
        <w:t xml:space="preserve">PRIMARY RECOMMENDATION: OANDA Exchange Rates API</w:t>
      </w:r>
    </w:p>
    <w:p>
      <w:pPr>
        <w:spacing w:after="80"/>
      </w:pPr>
      <w:r>
        <w:rPr>
          <w:rFonts w:ascii="Arial" w:cs="Arial" w:eastAsia="Arial" w:hAnsi="Arial"/>
          <w:b/>
          <w:bCs/>
          <w:color w:val="006100"/>
          <w:sz w:val="22"/>
          <w:szCs w:val="22"/>
        </w:rPr>
        <w:t xml:space="preserve">Compliance Status: ✅ COMPLIANT</w:t>
      </w:r>
    </w:p>
    <w:p>
      <w:pPr>
        <w:pStyle w:val="ListParagraph"/>
        <w:numPr>
          <w:ilvl w:val="0"/>
          <w:numId w:val="2"/>
        </w:numPr>
      </w:pPr>
      <w:r>
        <w:rPr>
          <w:rFonts w:ascii="Arial" w:cs="Arial" w:eastAsia="Arial" w:hAnsi="Arial"/>
          <w:b/>
          <w:bCs/>
          <w:sz w:val="22"/>
          <w:szCs w:val="22"/>
        </w:rPr>
        <w:t xml:space="preserve">✅ ISO 27001 + SOC 1/2 Type II: </w:t>
      </w:r>
      <w:r>
        <w:rPr>
          <w:rFonts w:ascii="Arial" w:cs="Arial" w:eastAsia="Arial" w:hAnsi="Arial"/>
          <w:sz w:val="22"/>
          <w:szCs w:val="22"/>
        </w:rPr>
        <w:t xml:space="preserve">Direct certifications. SSAE16 audited infrastructure. Industry gold standard for FX data.</w:t>
      </w:r>
    </w:p>
    <w:p>
      <w:pPr>
        <w:pStyle w:val="ListParagraph"/>
        <w:numPr>
          <w:ilvl w:val="0"/>
          <w:numId w:val="2"/>
        </w:numPr>
      </w:pPr>
      <w:r>
        <w:rPr>
          <w:rFonts w:ascii="Arial" w:cs="Arial" w:eastAsia="Arial" w:hAnsi="Arial"/>
          <w:b/>
          <w:bCs/>
          <w:sz w:val="22"/>
          <w:szCs w:val="22"/>
        </w:rPr>
        <w:t xml:space="preserve">✅ UK/EU Data Residency: </w:t>
      </w:r>
      <w:r>
        <w:rPr>
          <w:rFonts w:ascii="Arial" w:cs="Arial" w:eastAsia="Arial" w:hAnsi="Arial"/>
          <w:sz w:val="22"/>
          <w:szCs w:val="22"/>
        </w:rPr>
        <w:t xml:space="preserve">Global operations with EU presence. API accessible worldwide via HTTPS.</w:t>
      </w:r>
    </w:p>
    <w:p>
      <w:pPr>
        <w:pStyle w:val="ListParagraph"/>
        <w:numPr>
          <w:ilvl w:val="0"/>
          <w:numId w:val="2"/>
        </w:numPr>
      </w:pPr>
      <w:r>
        <w:rPr>
          <w:rFonts w:ascii="Arial" w:cs="Arial" w:eastAsia="Arial" w:hAnsi="Arial"/>
          <w:b/>
          <w:bCs/>
          <w:sz w:val="22"/>
          <w:szCs w:val="22"/>
        </w:rPr>
        <w:t xml:space="preserve">✅ Infrastructure: </w:t>
      </w:r>
      <w:r>
        <w:rPr>
          <w:rFonts w:ascii="Arial" w:cs="Arial" w:eastAsia="Arial" w:hAnsi="Arial"/>
          <w:sz w:val="22"/>
          <w:szCs w:val="22"/>
        </w:rPr>
        <w:t xml:space="preserve">Fully redundant, SSAE16-compliant data centres. 99.99% uptime SLA.</w:t>
      </w:r>
    </w:p>
    <w:p>
      <w:pPr>
        <w:pStyle w:val="ListParagraph"/>
        <w:numPr>
          <w:ilvl w:val="0"/>
          <w:numId w:val="2"/>
        </w:numPr>
      </w:pPr>
      <w:r>
        <w:rPr>
          <w:rFonts w:ascii="Arial" w:cs="Arial" w:eastAsia="Arial" w:hAnsi="Arial"/>
          <w:b/>
          <w:bCs/>
          <w:sz w:val="22"/>
          <w:szCs w:val="22"/>
        </w:rPr>
        <w:t xml:space="preserve">✅ Security Best Practices: </w:t>
      </w:r>
      <w:r>
        <w:rPr>
          <w:rFonts w:ascii="Arial" w:cs="Arial" w:eastAsia="Arial" w:hAnsi="Arial"/>
          <w:sz w:val="22"/>
          <w:szCs w:val="22"/>
        </w:rPr>
        <w:t xml:space="preserve">HTTPS/TLS 1.2+, Bearer token authentication, rate limiting, comprehensive audit trail.</w:t>
      </w:r>
    </w:p>
    <w:p>
      <w:pPr>
        <w:pStyle w:val="ListParagraph"/>
        <w:numPr>
          <w:ilvl w:val="0"/>
          <w:numId w:val="2"/>
        </w:numPr>
      </w:pPr>
      <w:r>
        <w:rPr>
          <w:rFonts w:ascii="Arial" w:cs="Arial" w:eastAsia="Arial" w:hAnsi="Arial"/>
          <w:b/>
          <w:bCs/>
          <w:sz w:val="22"/>
          <w:szCs w:val="22"/>
        </w:rPr>
        <w:t xml:space="preserve">✅ Workday Integration: </w:t>
      </w:r>
      <w:r>
        <w:rPr>
          <w:rFonts w:ascii="Arial" w:cs="Arial" w:eastAsia="Arial" w:hAnsi="Arial"/>
          <w:sz w:val="22"/>
          <w:szCs w:val="22"/>
        </w:rPr>
        <w:t xml:space="preserve">Pre-built integration. Proven deployment across enterprise Workday customers. Also supported via FXLoader (insightsoftware) middleware.</w:t>
      </w:r>
    </w:p>
    <w:p>
      <w:pPr>
        <w:pStyle w:val="ListParagraph"/>
        <w:numPr>
          <w:ilvl w:val="0"/>
          <w:numId w:val="2"/>
        </w:numPr>
        <w:spacing w:after="80"/>
      </w:pPr>
      <w:r>
        <w:rPr>
          <w:rFonts w:ascii="Arial" w:cs="Arial" w:eastAsia="Arial" w:hAnsi="Arial"/>
          <w:b/>
          <w:bCs/>
          <w:sz w:val="22"/>
          <w:szCs w:val="22"/>
        </w:rPr>
        <w:t xml:space="preserve">✅ Rate Coverage: </w:t>
      </w:r>
      <w:r>
        <w:rPr>
          <w:rFonts w:ascii="Arial" w:cs="Arial" w:eastAsia="Arial" w:hAnsi="Arial"/>
          <w:sz w:val="22"/>
          <w:szCs w:val="22"/>
        </w:rPr>
        <w:t xml:space="preserve">200+ currencies, 38,000+ pairs. Daily averages, monthly averages (native), bid/ask/mid, 100+ central bank rates, 32+ years historical data. Rates from candle data recommended for Workday (lower cost).</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Custom/contact-based. Standard plan (100,000 quotes/month) suitable for daily rate loads. Advanced plan includes period averages and central bank rates. Free 7-day trial available.</w:t>
      </w:r>
    </w:p>
    <w:p>
      <w:pPr>
        <w:pStyle w:val="Heading3"/>
      </w:pPr>
      <w:r>
        <w:t xml:space="preserve">SECONDARY RECOMMENDATION: Xe Currency Data API</w:t>
      </w:r>
    </w:p>
    <w:p>
      <w:pPr>
        <w:spacing w:after="80"/>
      </w:pPr>
      <w:r>
        <w:rPr>
          <w:rFonts w:ascii="Arial" w:cs="Arial" w:eastAsia="Arial" w:hAnsi="Arial"/>
          <w:b/>
          <w:bCs/>
          <w:color w:val="006100"/>
          <w:sz w:val="22"/>
          <w:szCs w:val="22"/>
        </w:rPr>
        <w:t xml:space="preserve">Compliance Status: ✅ COMPLIANT</w:t>
      </w:r>
    </w:p>
    <w:p>
      <w:pPr>
        <w:pStyle w:val="ListParagraph"/>
        <w:numPr>
          <w:ilvl w:val="0"/>
          <w:numId w:val="2"/>
        </w:numPr>
      </w:pPr>
      <w:r>
        <w:rPr>
          <w:rFonts w:ascii="Arial" w:cs="Arial" w:eastAsia="Arial" w:hAnsi="Arial"/>
          <w:b/>
          <w:bCs/>
          <w:sz w:val="22"/>
          <w:szCs w:val="22"/>
        </w:rPr>
        <w:t xml:space="preserve">✅ ISO 27001 + SOC 2: </w:t>
      </w:r>
      <w:r>
        <w:rPr>
          <w:rFonts w:ascii="Arial" w:cs="Arial" w:eastAsia="Arial" w:hAnsi="Arial"/>
          <w:sz w:val="22"/>
          <w:szCs w:val="22"/>
        </w:rPr>
        <w:t xml:space="preserve">Via parent company Euronet Worldwide (NYSE: EEFT). Enterprise-grade compliance inherited from publicly listed parent.</w:t>
      </w:r>
    </w:p>
    <w:p>
      <w:pPr>
        <w:pStyle w:val="ListParagraph"/>
        <w:numPr>
          <w:ilvl w:val="0"/>
          <w:numId w:val="2"/>
        </w:numPr>
      </w:pPr>
      <w:r>
        <w:rPr>
          <w:rFonts w:ascii="Arial" w:cs="Arial" w:eastAsia="Arial" w:hAnsi="Arial"/>
          <w:b/>
          <w:bCs/>
          <w:sz w:val="22"/>
          <w:szCs w:val="22"/>
        </w:rPr>
        <w:t xml:space="preserve">✅ UK/EU Data Residency: </w:t>
      </w:r>
      <w:r>
        <w:rPr>
          <w:rFonts w:ascii="Arial" w:cs="Arial" w:eastAsia="Arial" w:hAnsi="Arial"/>
          <w:sz w:val="22"/>
          <w:szCs w:val="22"/>
        </w:rPr>
        <w:t xml:space="preserve">Global operations. 25+ years in FX markets. Euronet Worldwide is a major financial services provider.</w:t>
      </w:r>
    </w:p>
    <w:p>
      <w:pPr>
        <w:pStyle w:val="ListParagraph"/>
        <w:numPr>
          <w:ilvl w:val="0"/>
          <w:numId w:val="2"/>
        </w:numPr>
      </w:pPr>
      <w:r>
        <w:rPr>
          <w:rFonts w:ascii="Arial" w:cs="Arial" w:eastAsia="Arial" w:hAnsi="Arial"/>
          <w:b/>
          <w:bCs/>
          <w:sz w:val="22"/>
          <w:szCs w:val="22"/>
        </w:rPr>
        <w:t xml:space="preserve">✅ Workday Integration: </w:t>
      </w:r>
      <w:r>
        <w:rPr>
          <w:rFonts w:ascii="Arial" w:cs="Arial" w:eastAsia="Arial" w:hAnsi="Arial"/>
          <w:sz w:val="22"/>
          <w:szCs w:val="22"/>
        </w:rPr>
        <w:t xml:space="preserve">Pre-built Workday Studio integration. Proven deployment for multi-currency Workday environments.</w:t>
      </w:r>
    </w:p>
    <w:p>
      <w:pPr>
        <w:pStyle w:val="ListParagraph"/>
        <w:numPr>
          <w:ilvl w:val="0"/>
          <w:numId w:val="2"/>
        </w:numPr>
        <w:spacing w:after="80"/>
      </w:pPr>
      <w:r>
        <w:rPr>
          <w:rFonts w:ascii="Arial" w:cs="Arial" w:eastAsia="Arial" w:hAnsi="Arial"/>
          <w:b/>
          <w:bCs/>
          <w:sz w:val="22"/>
          <w:szCs w:val="22"/>
        </w:rPr>
        <w:t xml:space="preserve">✅ Rate Coverage: </w:t>
      </w:r>
      <w:r>
        <w:rPr>
          <w:rFonts w:ascii="Arial" w:cs="Arial" w:eastAsia="Arial" w:hAnsi="Arial"/>
          <w:sz w:val="22"/>
          <w:szCs w:val="22"/>
        </w:rPr>
        <w:t xml:space="preserve">220+ currencies from 100+ financial providers. Live rates updated every 60 seconds. Historical data back to 1995. Monthly averages available natively.</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Custom/contact-based. Tiered packages from Daily to Live with varying update frequencies and API request limits.</w:t>
      </w:r>
    </w:p>
    <w:p>
      <w:pPr>
        <w:pStyle w:val="Heading3"/>
      </w:pPr>
      <w:r>
        <w:t xml:space="preserve">BUDGET/SUPPLEMENTARY OPTION: European Central Bank (ECB)</w:t>
      </w:r>
    </w:p>
    <w:p>
      <w:pPr>
        <w:spacing w:after="80"/>
      </w:pPr>
      <w:r>
        <w:rPr>
          <w:rFonts w:ascii="Arial" w:cs="Arial" w:eastAsia="Arial" w:hAnsi="Arial"/>
          <w:b/>
          <w:bCs/>
          <w:color w:val="006100"/>
          <w:sz w:val="22"/>
          <w:szCs w:val="22"/>
        </w:rPr>
        <w:t xml:space="preserve">Compliance Status: ✅ COMPLIANT (Public Institution)</w:t>
      </w:r>
    </w:p>
    <w:p>
      <w:pPr>
        <w:pStyle w:val="ListParagraph"/>
        <w:numPr>
          <w:ilvl w:val="0"/>
          <w:numId w:val="2"/>
        </w:numPr>
      </w:pPr>
      <w:r>
        <w:rPr>
          <w:rFonts w:ascii="Arial" w:cs="Arial" w:eastAsia="Arial" w:hAnsi="Arial"/>
          <w:b/>
          <w:bCs/>
          <w:sz w:val="22"/>
          <w:szCs w:val="22"/>
        </w:rPr>
        <w:t xml:space="preserve">✅ No certification required: </w:t>
      </w:r>
      <w:r>
        <w:rPr>
          <w:rFonts w:ascii="Arial" w:cs="Arial" w:eastAsia="Arial" w:hAnsi="Arial"/>
          <w:sz w:val="22"/>
          <w:szCs w:val="22"/>
        </w:rPr>
        <w:t xml:space="preserve">EU public institution. Free, publicly available reference rates. No API key, no commercial agreement.</w:t>
      </w:r>
    </w:p>
    <w:p>
      <w:pPr>
        <w:pStyle w:val="ListParagraph"/>
        <w:numPr>
          <w:ilvl w:val="0"/>
          <w:numId w:val="2"/>
        </w:numPr>
      </w:pPr>
      <w:r>
        <w:rPr>
          <w:rFonts w:ascii="Arial" w:cs="Arial" w:eastAsia="Arial" w:hAnsi="Arial"/>
          <w:b/>
          <w:bCs/>
          <w:sz w:val="22"/>
          <w:szCs w:val="22"/>
        </w:rPr>
        <w:t xml:space="preserve">✅ Workday Integration: </w:t>
      </w:r>
      <w:r>
        <w:rPr>
          <w:rFonts w:ascii="Arial" w:cs="Arial" w:eastAsia="Arial" w:hAnsi="Arial"/>
          <w:sz w:val="22"/>
          <w:szCs w:val="22"/>
        </w:rPr>
        <w:t xml:space="preserve">Pre-built support in Workday. Daily reference rates published at 16:00 CET.</w:t>
      </w:r>
    </w:p>
    <w:p>
      <w:pPr>
        <w:pStyle w:val="ListParagraph"/>
        <w:numPr>
          <w:ilvl w:val="0"/>
          <w:numId w:val="2"/>
        </w:numPr>
        <w:spacing w:after="80"/>
      </w:pPr>
      <w:r>
        <w:rPr>
          <w:rFonts w:ascii="Arial" w:cs="Arial" w:eastAsia="Arial" w:hAnsi="Arial"/>
          <w:b/>
          <w:bCs/>
          <w:sz w:val="22"/>
          <w:szCs w:val="22"/>
        </w:rPr>
        <w:t xml:space="preserve">⚠ Limitations: </w:t>
      </w:r>
      <w:r>
        <w:rPr>
          <w:rFonts w:ascii="Arial" w:cs="Arial" w:eastAsia="Arial" w:hAnsi="Arial"/>
          <w:sz w:val="22"/>
          <w:szCs w:val="22"/>
        </w:rPr>
        <w:t xml:space="preserve">Only ~30 currencies (EUR-based pairs). No monthly averages (must be calculated by Workday). Published once daily. No SLA, no commercial support. Suitable as a supplementary/validation source, not primary for an organisation needing 50+ currency pairs.</w:t>
      </w:r>
    </w:p>
    <w:p>
      <w:pPr>
        <w:spacing w:after="200"/>
      </w:pPr>
      <w:r>
        <w:rPr>
          <w:rFonts w:ascii="Arial" w:cs="Arial" w:eastAsia="Arial" w:hAnsi="Arial"/>
          <w:b/>
          <w:bCs/>
          <w:sz w:val="22"/>
          <w:szCs w:val="22"/>
        </w:rPr>
        <w:t xml:space="preserve">Pricing: </w:t>
      </w:r>
      <w:r>
        <w:rPr>
          <w:rFonts w:ascii="Arial" w:cs="Arial" w:eastAsia="Arial" w:hAnsi="Arial"/>
          <w:sz w:val="22"/>
          <w:szCs w:val="22"/>
        </w:rPr>
        <w:t xml:space="preserve">£0 – completely free.</w:t>
      </w:r>
    </w:p>
    <w:p>
      <w:pPr>
        <w:pStyle w:val="Heading2"/>
      </w:pPr>
      <w:r>
        <w:t xml:space="preserve">Tier 2 – REQUIRES REVIEW</w:t>
      </w:r>
    </w:p>
    <w:p>
      <w:pPr>
        <w:pStyle w:val="Heading3"/>
      </w:pPr>
      <w:r>
        <w:t xml:space="preserve">Quodd (Financeware / FIS)</w:t>
      </w:r>
    </w:p>
    <w:p>
      <w:pPr>
        <w:spacing w:after="80"/>
      </w:pPr>
      <w:r>
        <w:rPr>
          <w:rFonts w:ascii="Arial" w:cs="Arial" w:eastAsia="Arial" w:hAnsi="Arial"/>
          <w:b/>
          <w:bCs/>
          <w:color w:val="BF8F00"/>
          <w:sz w:val="22"/>
          <w:szCs w:val="22"/>
        </w:rPr>
        <w:t xml:space="preserve">Compliance Status: ⚠️ REVIEW REQUIRED</w:t>
      </w:r>
    </w:p>
    <w:p>
      <w:pPr>
        <w:spacing w:after="80"/>
      </w:pPr>
      <w:r>
        <w:rPr>
          <w:rFonts w:ascii="Arial" w:cs="Arial" w:eastAsia="Arial" w:hAnsi="Arial"/>
          <w:sz w:val="22"/>
          <w:szCs w:val="22"/>
        </w:rPr>
        <w:t xml:space="preserve">Enterprise financial data provider (Financeware portfolio, FIS partnership). Likely holds compliance certifications through parent organisations, but no public documentation found specific to their FX rate API. Primarily focused on US financial markets (equities, funds, fixed income). FX rates cover 168+ currencies but Workday integration would require custom development. Cannot recommend without verified compliance certifications.</w:t>
      </w:r>
    </w:p>
    <w:p>
      <w:pPr>
        <w:pStyle w:val="Heading3"/>
      </w:pPr>
      <w:r>
        <w:t xml:space="preserve">Peliqan.io (via Fixer.io)</w:t>
      </w:r>
    </w:p>
    <w:p>
      <w:pPr>
        <w:spacing w:after="80"/>
      </w:pPr>
      <w:r>
        <w:rPr>
          <w:rFonts w:ascii="Arial" w:cs="Arial" w:eastAsia="Arial" w:hAnsi="Arial"/>
          <w:b/>
          <w:bCs/>
          <w:color w:val="BF8F00"/>
          <w:sz w:val="22"/>
          <w:szCs w:val="22"/>
        </w:rPr>
        <w:t xml:space="preserve">Compliance Status: ⚠️ REVIEW REQUIRED</w:t>
      </w:r>
    </w:p>
    <w:p>
      <w:pPr>
        <w:spacing w:after="200"/>
      </w:pPr>
      <w:r>
        <w:rPr>
          <w:rFonts w:ascii="Arial" w:cs="Arial" w:eastAsia="Arial" w:hAnsi="Arial"/>
          <w:sz w:val="22"/>
          <w:szCs w:val="22"/>
        </w:rPr>
        <w:t xml:space="preserve">Belgian data platform (Antwerp). Peliqan holds SOC 2 Type 2 certification but does not hold ISO 27001. Provides Fixer.io FX rates via their middleware platform as a connector. Workday integration via Peliqan’s reverse ETL capability rather than direct API call from Workday. Adds middleware dependency. Meets SOC 2 requirement but lacks ISO 27001. Requires further review of architecture complexity and whether Peliqan middleware is acceptable for FA’s integration pattern.</w:t>
      </w:r>
    </w:p>
    <w:p>
      <w:pPr>
        <w:pStyle w:val="Heading2"/>
      </w:pPr>
      <w:r>
        <w:t xml:space="preserve">Tier 3 – NON-COMPLIANT</w:t>
      </w:r>
    </w:p>
    <w:p>
      <w:pPr>
        <w:spacing w:after="80"/>
      </w:pPr>
      <w:r>
        <w:rPr>
          <w:rFonts w:ascii="Arial" w:cs="Arial" w:eastAsia="Arial" w:hAnsi="Arial"/>
          <w:sz w:val="22"/>
          <w:szCs w:val="22"/>
        </w:rPr>
        <w:t xml:space="preserve">The following providers fail one or more mandatory FA Security requirements. They lack publicly verifiable ISO 27001 or SOC 2 Type II certifications and provide insufficient documentation to demonstrate enterprise-grade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Provider</w:t>
            </w:r>
          </w:p>
        </w:tc>
        <w:tc>
          <w:tcPr>
            <w:tcW w:type="dxa" w:w="5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Assessment Notes</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currencylayer (APILayer)</w:t>
            </w:r>
          </w:p>
        </w:tc>
        <w:tc>
          <w:tcPr>
            <w:tcW w:type="dxa" w:w="5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Part of APILayer (Idera Inc). No publicly verifiable ISO 27001 or SOC 2 certifications found. Popular developer API but not enterprise-grade compliance. HTTPS only available on paid plans. Supported by Workday but fails FA security requirements.</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 NON-COMPLIANT</w:t>
            </w:r>
          </w:p>
        </w:tc>
      </w:tr>
      <w:tr>
        <w:tc>
          <w:tcPr>
            <w:tcW w:type="dxa" w:w="2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Open Exchange Rates</w:t>
            </w:r>
          </w:p>
        </w:tc>
        <w:tc>
          <w:tcPr>
            <w:tcW w:type="dxa" w:w="5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UK-based (London). No publicly verifiable ISO 27001 or SOC 2 certifications. AWS-hosted infrastructure. Small independent provider. Supported by Workday but fails FA security requirements.</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 NON-COMPLIANT</w:t>
            </w:r>
          </w:p>
        </w:tc>
      </w:tr>
      <w:tr>
        <w:tc>
          <w:tcPr>
            <w:tcW w:type="dxa" w:w="2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ExchangeRate-API</w:t>
            </w:r>
          </w:p>
        </w:tc>
        <w:tc>
          <w:tcPr>
            <w:tcW w:type="dxa" w:w="5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Small independent provider. No publicly verifiable compliance certifications. AWS-hosted. Popular free/low-cost option for developers but not suitable for enterprise FA procurement. Supported by Workday but fails FA security requirements.</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 NON-COMPLIANT</w:t>
            </w:r>
          </w:p>
        </w:tc>
      </w:tr>
      <w:tr>
        <w:tc>
          <w:tcPr>
            <w:tcW w:type="dxa" w:w="2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Currency Converter API</w:t>
            </w:r>
          </w:p>
        </w:tc>
        <w:tc>
          <w:tcPr>
            <w:tcW w:type="dxa" w:w="5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Small independent provider. No publicly verifiable compliance certifications. Unknown infrastructure and data residency. Supported by Workday but fails FA security requirements.</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 NON-COMPLIANT</w:t>
            </w:r>
          </w:p>
        </w:tc>
      </w:tr>
    </w:tbl>
    <w:p>
      <w:r>
        <w:br w:type="page"/>
      </w:r>
    </w:p>
    <w:p>
      <w:pPr>
        <w:pStyle w:val="Heading1"/>
      </w:pPr>
      <w:r>
        <w:t xml:space="preserve">Recommendations Summary</w:t>
      </w:r>
    </w:p>
    <w:p>
      <w:pPr>
        <w:pStyle w:val="Heading2"/>
      </w:pPr>
      <w:r>
        <w:t xml:space="preserve">Primary Recommendation: OANDA Exchange Rates API</w:t>
      </w:r>
    </w:p>
    <w:p>
      <w:pPr>
        <w:spacing w:after="120"/>
      </w:pPr>
      <w:r>
        <w:rPr>
          <w:rFonts w:ascii="Arial" w:cs="Arial" w:eastAsia="Arial" w:hAnsi="Arial"/>
          <w:b/>
          <w:bCs/>
          <w:sz w:val="22"/>
          <w:szCs w:val="22"/>
        </w:rPr>
        <w:t xml:space="preserve">Rationale:</w:t>
      </w:r>
    </w:p>
    <w:p>
      <w:pPr>
        <w:pStyle w:val="ListParagraph"/>
        <w:numPr>
          <w:ilvl w:val="0"/>
          <w:numId w:val="3"/>
        </w:numPr>
      </w:pPr>
      <w:r>
        <w:rPr>
          <w:rFonts w:ascii="Arial" w:cs="Arial" w:eastAsia="Arial" w:hAnsi="Arial"/>
          <w:sz w:val="22"/>
          <w:szCs w:val="22"/>
        </w:rPr>
        <w:t xml:space="preserve">Industry gold standard for enterprise FX data – trusted by Fortune 500 companies, auditors, and tax authorities worldwide</w:t>
      </w:r>
    </w:p>
    <w:p>
      <w:pPr>
        <w:pStyle w:val="ListParagraph"/>
        <w:numPr>
          <w:ilvl w:val="0"/>
          <w:numId w:val="3"/>
        </w:numPr>
      </w:pPr>
      <w:r>
        <w:rPr>
          <w:rFonts w:ascii="Arial" w:cs="Arial" w:eastAsia="Arial" w:hAnsi="Arial"/>
          <w:sz w:val="22"/>
          <w:szCs w:val="22"/>
        </w:rPr>
        <w:t xml:space="preserve">Full compliance: Direct SOC 1/2 Type II + ISO 27001 certifications (not inherited)</w:t>
      </w:r>
    </w:p>
    <w:p>
      <w:pPr>
        <w:pStyle w:val="ListParagraph"/>
        <w:numPr>
          <w:ilvl w:val="0"/>
          <w:numId w:val="3"/>
        </w:numPr>
      </w:pPr>
      <w:r>
        <w:rPr>
          <w:rFonts w:ascii="Arial" w:cs="Arial" w:eastAsia="Arial" w:hAnsi="Arial"/>
          <w:sz w:val="22"/>
          <w:szCs w:val="22"/>
        </w:rPr>
        <w:t xml:space="preserve">Proven Workday integration with pre-built connector and FXLoader middleware support</w:t>
      </w:r>
    </w:p>
    <w:p>
      <w:pPr>
        <w:pStyle w:val="ListParagraph"/>
        <w:numPr>
          <w:ilvl w:val="0"/>
          <w:numId w:val="3"/>
        </w:numPr>
      </w:pPr>
      <w:r>
        <w:rPr>
          <w:rFonts w:ascii="Arial" w:cs="Arial" w:eastAsia="Arial" w:hAnsi="Arial"/>
          <w:sz w:val="22"/>
          <w:szCs w:val="22"/>
        </w:rPr>
        <w:t xml:space="preserve">200+ currencies, 38,000+ pairs, 100+ central bank rates, 32+ years historical data</w:t>
      </w:r>
    </w:p>
    <w:p>
      <w:pPr>
        <w:pStyle w:val="ListParagraph"/>
        <w:numPr>
          <w:ilvl w:val="0"/>
          <w:numId w:val="3"/>
        </w:numPr>
      </w:pPr>
      <w:r>
        <w:rPr>
          <w:rFonts w:ascii="Arial" w:cs="Arial" w:eastAsia="Arial" w:hAnsi="Arial"/>
          <w:sz w:val="22"/>
          <w:szCs w:val="22"/>
        </w:rPr>
        <w:t xml:space="preserve">Native monthly average rates – no calculation required by Workday</w:t>
      </w:r>
    </w:p>
    <w:p>
      <w:pPr>
        <w:pStyle w:val="ListParagraph"/>
        <w:numPr>
          <w:ilvl w:val="0"/>
          <w:numId w:val="3"/>
        </w:numPr>
      </w:pPr>
      <w:r>
        <w:rPr>
          <w:rFonts w:ascii="Arial" w:cs="Arial" w:eastAsia="Arial" w:hAnsi="Arial"/>
          <w:sz w:val="22"/>
          <w:szCs w:val="22"/>
        </w:rPr>
        <w:t xml:space="preserve">99.99% uptime SLA with fully redundant SSAE16-audited infrastructure</w:t>
      </w:r>
    </w:p>
    <w:p>
      <w:pPr>
        <w:pStyle w:val="ListParagraph"/>
        <w:numPr>
          <w:ilvl w:val="0"/>
          <w:numId w:val="3"/>
        </w:numPr>
      </w:pPr>
      <w:r>
        <w:rPr>
          <w:rFonts w:ascii="Arial" w:cs="Arial" w:eastAsia="Arial" w:hAnsi="Arial"/>
          <w:sz w:val="22"/>
          <w:szCs w:val="22"/>
        </w:rPr>
        <w:t xml:space="preserve">Supports JSON, XML, and CSV formats – maximum flexibility for integration</w:t>
      </w:r>
    </w:p>
    <w:p>
      <w:pPr>
        <w:pStyle w:val="ListParagraph"/>
        <w:numPr>
          <w:ilvl w:val="0"/>
          <w:numId w:val="3"/>
        </w:numPr>
        <w:spacing w:after="200"/>
      </w:pPr>
      <w:r>
        <w:rPr>
          <w:rFonts w:ascii="Arial" w:cs="Arial" w:eastAsia="Arial" w:hAnsi="Arial"/>
          <w:sz w:val="22"/>
          <w:szCs w:val="22"/>
        </w:rPr>
        <w:t xml:space="preserve">Audit-trusted data source accepted by Big Four accounting firms and tax authorities globally</w:t>
      </w:r>
    </w:p>
    <w:p>
      <w:pPr>
        <w:pStyle w:val="Heading2"/>
      </w:pPr>
      <w:r>
        <w:t xml:space="preserve">Secondary Recommendation: Xe Currency Data API</w:t>
      </w:r>
    </w:p>
    <w:p>
      <w:pPr>
        <w:spacing w:after="200"/>
      </w:pPr>
      <w:r>
        <w:rPr>
          <w:rFonts w:ascii="Arial" w:cs="Arial" w:eastAsia="Arial" w:hAnsi="Arial"/>
          <w:sz w:val="22"/>
          <w:szCs w:val="22"/>
        </w:rPr>
        <w:t xml:space="preserve">Xe is the strongest alternative to OANDA. Backed by Euronet Worldwide (NYSE: EEFT), Xe offers pre-built Workday integration, 220+ currencies, and enterprise-grade security. Consider Xe if OANDA pricing is not competitive or if specific Xe features (e.g. 60-second rate refresh) are required.</w:t>
      </w:r>
    </w:p>
    <w:p>
      <w:pPr>
        <w:pStyle w:val="Heading2"/>
      </w:pPr>
      <w:r>
        <w:t xml:space="preserve">Supplementary Source: European Central Bank (ECB)</w:t>
      </w:r>
    </w:p>
    <w:p>
      <w:pPr>
        <w:spacing w:after="200"/>
      </w:pPr>
      <w:r>
        <w:rPr>
          <w:rFonts w:ascii="Arial" w:cs="Arial" w:eastAsia="Arial" w:hAnsi="Arial"/>
          <w:sz w:val="22"/>
          <w:szCs w:val="22"/>
        </w:rPr>
        <w:t xml:space="preserve">The ECB provides free daily reference rates for ~30 EUR-based currency pairs. It is recommended as a supplementary/validation source alongside the primary commercial provider. ECB rates can serve as an independent benchmark for audit and reconciliation purposes. However, the ECB should not be the sole source due to limited currency coverage and the absence of commercial SLAs.</w:t>
      </w:r>
    </w:p>
    <w:p>
      <w:pPr>
        <w:pStyle w:val="Heading2"/>
      </w:pPr>
      <w:r>
        <w:t xml:space="preserve">Vendor 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500"/>
        <w:gridCol w:w="1360"/>
        <w:gridCol w:w="2000"/>
      </w:tblGrid>
      <w:t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Provider</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ISO / SOC 2</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UK/EU Data</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Infrastructure</w:t>
            </w:r>
          </w:p>
        </w:tc>
        <w:tc>
          <w:tcPr>
            <w:tcW w:type="dxa" w:w="1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Workday</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sz w:val="18"/>
                <w:szCs w:val="18"/>
              </w:rPr>
              <w:t xml:space="preserve">OANDA</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6100"/>
                <w:sz w:val="18"/>
                <w:szCs w:val="18"/>
              </w:rPr>
              <w:t xml:space="preserve">BOTH</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sz w:val="18"/>
                <w:szCs w:val="18"/>
              </w:rPr>
              <w:t xml:space="preserve">SSAE16 DC</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006100"/>
                <w:sz w:val="18"/>
                <w:szCs w:val="18"/>
              </w:rPr>
              <w:t xml:space="preserve">✓ Pre-built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bCs/>
                <w:color w:val="006100"/>
                <w:sz w:val="18"/>
                <w:szCs w:val="18"/>
              </w:rPr>
              <w:t xml:space="preserve">✅ COMPLIANT</w:t>
            </w:r>
          </w:p>
        </w:tc>
      </w:tr>
      <w:tr>
        <w:tc>
          <w:tcPr>
            <w:tcW w:type="dxa" w:w="2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sz w:val="18"/>
                <w:szCs w:val="18"/>
              </w:rPr>
              <w:t xml:space="preserve">Xe (Euronet)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6100"/>
                <w:sz w:val="18"/>
                <w:szCs w:val="18"/>
              </w:rPr>
              <w:t xml:space="preserve">BOTH (Parent)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sz w:val="18"/>
                <w:szCs w:val="18"/>
              </w:rPr>
              <w:t xml:space="preserve">Global DCs</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006100"/>
                <w:sz w:val="18"/>
                <w:szCs w:val="18"/>
              </w:rPr>
              <w:t xml:space="preserve">✓ Pre-built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bCs/>
                <w:color w:val="006100"/>
                <w:sz w:val="18"/>
                <w:szCs w:val="18"/>
              </w:rPr>
              <w:t xml:space="preserve">✅ COMPLIANT</w:t>
            </w:r>
          </w:p>
        </w:tc>
      </w:tr>
      <w:tr>
        <w:tc>
          <w:tcPr>
            <w:tcW w:type="dxa" w:w="2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sz w:val="18"/>
                <w:szCs w:val="18"/>
              </w:rPr>
              <w:t xml:space="preserve">ECB</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2E75B6"/>
                <w:sz w:val="18"/>
                <w:szCs w:val="18"/>
              </w:rPr>
              <w:t xml:space="preserve">N/A (Public)</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sz w:val="18"/>
                <w:szCs w:val="18"/>
              </w:rPr>
              <w:t xml:space="preserve">EU Public</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color w:val="006100"/>
                <w:sz w:val="18"/>
                <w:szCs w:val="18"/>
              </w:rPr>
              <w:t xml:space="preserve">✓ Pre-built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bCs/>
                <w:color w:val="006100"/>
                <w:sz w:val="18"/>
                <w:szCs w:val="18"/>
              </w:rPr>
              <w:t xml:space="preserve">✅ COMPLIANT</w:t>
            </w:r>
          </w:p>
        </w:tc>
      </w:tr>
      <w:tr>
        <w:tc>
          <w:tcPr>
            <w:tcW w:type="dxa" w:w="2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sz w:val="18"/>
                <w:szCs w:val="18"/>
              </w:rPr>
              <w:t xml:space="preserve">Quodd</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BF8F00"/>
                <w:sz w:val="18"/>
                <w:szCs w:val="18"/>
              </w:rPr>
              <w:t xml:space="preserve">Unknown</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BF8F00"/>
                <w:sz w:val="18"/>
                <w:szCs w:val="18"/>
              </w:rPr>
              <w:t xml:space="preserve">Unknown</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left"/>
            </w:pPr>
            <w:r>
              <w:rPr>
                <w:rFonts w:ascii="Arial" w:cs="Arial" w:eastAsia="Arial" w:hAnsi="Arial"/>
                <w:sz w:val="18"/>
                <w:szCs w:val="18"/>
              </w:rPr>
              <w:t xml:space="preserve">Cloud (FIS)</w:t>
            </w:r>
          </w:p>
        </w:tc>
        <w:tc>
          <w:tcPr>
            <w:tcW w:type="dxa" w:w="1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BF8F00"/>
                <w:sz w:val="18"/>
                <w:szCs w:val="18"/>
              </w:rPr>
              <w:t xml:space="preserve">Custom</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left"/>
            </w:pPr>
            <w:r>
              <w:rPr>
                <w:rFonts w:ascii="Arial" w:cs="Arial" w:eastAsia="Arial" w:hAnsi="Arial"/>
                <w:b/>
                <w:bCs/>
                <w:color w:val="BF8F00"/>
                <w:sz w:val="18"/>
                <w:szCs w:val="18"/>
              </w:rPr>
              <w:t xml:space="preserve">⚠ REVIEW</w:t>
            </w:r>
          </w:p>
        </w:tc>
      </w:tr>
      <w:tr>
        <w:tc>
          <w:tcPr>
            <w:tcW w:type="dxa" w:w="2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sz w:val="18"/>
                <w:szCs w:val="18"/>
              </w:rPr>
              <w:t xml:space="preserve">Peliqan.io</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BF8F00"/>
                <w:sz w:val="18"/>
                <w:szCs w:val="18"/>
              </w:rPr>
              <w:t xml:space="preserve">SOC 2 only</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left"/>
            </w:pPr>
            <w:r>
              <w:rPr>
                <w:rFonts w:ascii="Arial" w:cs="Arial" w:eastAsia="Arial" w:hAnsi="Arial"/>
                <w:sz w:val="18"/>
                <w:szCs w:val="18"/>
              </w:rPr>
              <w:t xml:space="preserve">AWS EU</w:t>
            </w:r>
          </w:p>
        </w:tc>
        <w:tc>
          <w:tcPr>
            <w:tcW w:type="dxa" w:w="1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color w:val="BF8F00"/>
                <w:sz w:val="18"/>
                <w:szCs w:val="18"/>
              </w:rPr>
              <w:t xml:space="preserve">Middleware</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left"/>
            </w:pPr>
            <w:r>
              <w:rPr>
                <w:rFonts w:ascii="Arial" w:cs="Arial" w:eastAsia="Arial" w:hAnsi="Arial"/>
                <w:b/>
                <w:bCs/>
                <w:color w:val="BF8F00"/>
                <w:sz w:val="18"/>
                <w:szCs w:val="18"/>
              </w:rPr>
              <w:t xml:space="preserve">⚠ REVIEW</w:t>
            </w:r>
          </w:p>
        </w:tc>
      </w:tr>
      <w:tr>
        <w:tc>
          <w:tcPr>
            <w:tcW w:type="dxa" w:w="21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currencylayer</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None</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006100"/>
                <w:sz w:val="18"/>
                <w:szCs w:val="18"/>
              </w:rPr>
              <w:t xml:space="preserve">✓</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AWS</w:t>
            </w:r>
          </w:p>
        </w:tc>
        <w:tc>
          <w:tcPr>
            <w:tcW w:type="dxa" w:w="1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006100"/>
                <w:sz w:val="18"/>
                <w:szCs w:val="18"/>
              </w:rPr>
              <w:t xml:space="preserve">✓ Supported</w:t>
            </w:r>
          </w:p>
        </w:tc>
        <w:tc>
          <w:tcPr>
            <w:tcW w:type="dxa" w:w="20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b/>
                <w:bCs/>
                <w:color w:val="C00000"/>
                <w:sz w:val="18"/>
                <w:szCs w:val="18"/>
              </w:rPr>
              <w:t xml:space="preserve">❌ NON-COMPLIANT</w:t>
            </w:r>
          </w:p>
        </w:tc>
      </w:tr>
      <w:tr>
        <w:tc>
          <w:tcPr>
            <w:tcW w:type="dxa" w:w="21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Open Exchange Rates</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None</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006100"/>
                <w:sz w:val="18"/>
                <w:szCs w:val="18"/>
              </w:rPr>
              <w:t xml:space="preserve">✓ UK</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AWS</w:t>
            </w:r>
          </w:p>
        </w:tc>
        <w:tc>
          <w:tcPr>
            <w:tcW w:type="dxa" w:w="1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006100"/>
                <w:sz w:val="18"/>
                <w:szCs w:val="18"/>
              </w:rPr>
              <w:t xml:space="preserve">✓ Supported</w:t>
            </w:r>
          </w:p>
        </w:tc>
        <w:tc>
          <w:tcPr>
            <w:tcW w:type="dxa" w:w="20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b/>
                <w:bCs/>
                <w:color w:val="C00000"/>
                <w:sz w:val="18"/>
                <w:szCs w:val="18"/>
              </w:rPr>
              <w:t xml:space="preserve">❌ NON-COMPLIANT</w:t>
            </w:r>
          </w:p>
        </w:tc>
      </w:tr>
      <w:tr>
        <w:tc>
          <w:tcPr>
            <w:tcW w:type="dxa" w:w="21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ExchangeRate-API</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None</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BF8F00"/>
                <w:sz w:val="18"/>
                <w:szCs w:val="18"/>
              </w:rPr>
              <w:t xml:space="preserve">Unknown</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AWS</w:t>
            </w:r>
          </w:p>
        </w:tc>
        <w:tc>
          <w:tcPr>
            <w:tcW w:type="dxa" w:w="1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006100"/>
                <w:sz w:val="18"/>
                <w:szCs w:val="18"/>
              </w:rPr>
              <w:t xml:space="preserve">✓ Supported</w:t>
            </w:r>
          </w:p>
        </w:tc>
        <w:tc>
          <w:tcPr>
            <w:tcW w:type="dxa" w:w="20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b/>
                <w:bCs/>
                <w:color w:val="C00000"/>
                <w:sz w:val="18"/>
                <w:szCs w:val="18"/>
              </w:rPr>
              <w:t xml:space="preserve">❌ NON-COMPLIANT</w:t>
            </w:r>
          </w:p>
        </w:tc>
      </w:tr>
      <w:tr>
        <w:tc>
          <w:tcPr>
            <w:tcW w:type="dxa" w:w="21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sz w:val="18"/>
                <w:szCs w:val="18"/>
              </w:rPr>
              <w:t xml:space="preserve">Currency Conv. API</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C00000"/>
                <w:sz w:val="18"/>
                <w:szCs w:val="18"/>
              </w:rPr>
              <w:t xml:space="preserve">None</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BF8F00"/>
                <w:sz w:val="18"/>
                <w:szCs w:val="18"/>
              </w:rPr>
              <w:t xml:space="preserve">Unknown</w:t>
            </w:r>
          </w:p>
        </w:tc>
        <w:tc>
          <w:tcPr>
            <w:tcW w:type="dxa" w:w="15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sz w:val="18"/>
                <w:szCs w:val="18"/>
              </w:rPr>
              <w:t xml:space="preserve">Unknown</w:t>
            </w:r>
          </w:p>
        </w:tc>
        <w:tc>
          <w:tcPr>
            <w:tcW w:type="dxa" w:w="1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color w:val="006100"/>
                <w:sz w:val="18"/>
                <w:szCs w:val="18"/>
              </w:rPr>
              <w:t xml:space="preserve">✓ Supported</w:t>
            </w:r>
          </w:p>
        </w:tc>
        <w:tc>
          <w:tcPr>
            <w:tcW w:type="dxa" w:w="20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left"/>
            </w:pPr>
            <w:r>
              <w:rPr>
                <w:rFonts w:ascii="Arial" w:cs="Arial" w:eastAsia="Arial" w:hAnsi="Arial"/>
                <w:b/>
                <w:bCs/>
                <w:color w:val="C00000"/>
                <w:sz w:val="18"/>
                <w:szCs w:val="18"/>
              </w:rPr>
              <w:t xml:space="preserve">❌ NON-COMPLIANT</w:t>
            </w:r>
          </w:p>
        </w:tc>
      </w:tr>
    </w:tbl>
    <w:p>
      <w:r>
        <w:br w:type="page"/>
      </w:r>
    </w:p>
    <w:p>
      <w:pPr>
        <w:pStyle w:val="Heading1"/>
      </w:pPr>
      <w:r>
        <w:t xml:space="preserve">Conclusion</w:t>
      </w:r>
    </w:p>
    <w:p>
      <w:pPr>
        <w:spacing w:after="120"/>
      </w:pPr>
      <w:r>
        <w:rPr>
          <w:rFonts w:ascii="Arial" w:cs="Arial" w:eastAsia="Arial" w:hAnsi="Arial"/>
          <w:b/>
          <w:bCs/>
          <w:sz w:val="22"/>
          <w:szCs w:val="22"/>
        </w:rPr>
        <w:t xml:space="preserve">OANDA Exchange Rates API is the recommended solution for FA’s Workday Financials currency exchange rate integration.</w:t>
      </w:r>
    </w:p>
    <w:p>
      <w:pPr>
        <w:spacing w:after="120"/>
      </w:pPr>
      <w:r>
        <w:rPr>
          <w:rFonts w:ascii="Arial" w:cs="Arial" w:eastAsia="Arial" w:hAnsi="Arial"/>
          <w:sz w:val="22"/>
          <w:szCs w:val="22"/>
        </w:rPr>
        <w:t xml:space="preserve">OANDA meets all FA Security requirements through direct (not inherited) SOC 1/2 Type II and ISO 27001 certifications, provides the broadest rate coverage with 200+ currencies and native monthly averages, and has proven pre-built integration with Workday Financials used by enterprise customers worldwide. OANDA’s rates are trusted by auditors, tax authorities, and Fortune 500 finance teams globally.</w:t>
      </w:r>
    </w:p>
    <w:p>
      <w:pPr>
        <w:spacing w:after="120"/>
      </w:pPr>
      <w:r>
        <w:rPr>
          <w:rFonts w:ascii="Arial" w:cs="Arial" w:eastAsia="Arial" w:hAnsi="Arial"/>
          <w:sz w:val="22"/>
          <w:szCs w:val="22"/>
        </w:rPr>
        <w:t xml:space="preserve">Of the nine providers evaluated, only three meet FA’s mandatory security requirements: OANDA (full compliance), Xe (compliance via parent Euronet Worldwide), and ECB (exempt as EU public institution). Four providers (currencylayer, Open Exchange Rates, ExchangeRate-API, and Currency Converter API) are non-compliant due to the absence of verifiable security certifications. Two providers (Quodd, Peliqan.io) require further review.</w:t>
      </w:r>
    </w:p>
    <w:p>
      <w:pPr>
        <w:spacing w:after="120"/>
      </w:pPr>
      <w:r>
        <w:rPr>
          <w:rFonts w:ascii="Arial" w:cs="Arial" w:eastAsia="Arial" w:hAnsi="Arial"/>
          <w:b/>
          <w:bCs/>
          <w:sz w:val="22"/>
          <w:szCs w:val="22"/>
        </w:rPr>
        <w:t xml:space="preserve">Regarding Microsoft: </w:t>
      </w:r>
      <w:r>
        <w:rPr>
          <w:rFonts w:ascii="Arial" w:cs="Arial" w:eastAsia="Arial" w:hAnsi="Arial"/>
          <w:sz w:val="22"/>
          <w:szCs w:val="22"/>
        </w:rPr>
        <w:t xml:space="preserve">Microsoft does not provide a general-purpose currency exchange rate API suitable for Workday integration. Microsoft’s FX rate capabilities are limited to Dynamics 365-specific exchange rate providers and Partner Center billing APIs, neither of which are designed for or compatible with Workday’s integration framework.</w:t>
      </w:r>
    </w:p>
    <w:p>
      <w:pPr>
        <w:spacing w:before="120" w:after="60"/>
      </w:pPr>
      <w:r>
        <w:rPr>
          <w:rFonts w:ascii="Arial" w:cs="Arial" w:eastAsia="Arial" w:hAnsi="Arial"/>
          <w:b/>
          <w:bCs/>
          <w:sz w:val="22"/>
          <w:szCs w:val="22"/>
        </w:rPr>
        <w:t xml:space="preserve">Recommended Next Steps:</w:t>
      </w:r>
    </w:p>
    <w:p>
      <w:pPr>
        <w:pStyle w:val="ListParagraph"/>
        <w:numPr>
          <w:ilvl w:val="0"/>
          <w:numId w:val="3"/>
        </w:numPr>
      </w:pPr>
      <w:r>
        <w:rPr>
          <w:rFonts w:ascii="Arial" w:cs="Arial" w:eastAsia="Arial" w:hAnsi="Arial"/>
          <w:sz w:val="22"/>
          <w:szCs w:val="22"/>
        </w:rPr>
        <w:t xml:space="preserve">Engage OANDA sales for enterprise pricing and contract terms</w:t>
      </w:r>
    </w:p>
    <w:p>
      <w:pPr>
        <w:pStyle w:val="ListParagraph"/>
        <w:numPr>
          <w:ilvl w:val="0"/>
          <w:numId w:val="3"/>
        </w:numPr>
      </w:pPr>
      <w:r>
        <w:rPr>
          <w:rFonts w:ascii="Arial" w:cs="Arial" w:eastAsia="Arial" w:hAnsi="Arial"/>
          <w:sz w:val="22"/>
          <w:szCs w:val="22"/>
        </w:rPr>
        <w:t xml:space="preserve">Request OANDA free trial API key for Workday integration testing</w:t>
      </w:r>
    </w:p>
    <w:p>
      <w:pPr>
        <w:pStyle w:val="ListParagraph"/>
        <w:numPr>
          <w:ilvl w:val="0"/>
          <w:numId w:val="3"/>
        </w:numPr>
      </w:pPr>
      <w:r>
        <w:rPr>
          <w:rFonts w:ascii="Arial" w:cs="Arial" w:eastAsia="Arial" w:hAnsi="Arial"/>
          <w:sz w:val="22"/>
          <w:szCs w:val="22"/>
        </w:rPr>
        <w:t xml:space="preserve">Confirm rate types required with FA Finance team (daily, monthly average, period-end)</w:t>
      </w:r>
    </w:p>
    <w:p>
      <w:pPr>
        <w:pStyle w:val="ListParagraph"/>
        <w:numPr>
          <w:ilvl w:val="0"/>
          <w:numId w:val="3"/>
        </w:numPr>
      </w:pPr>
      <w:r>
        <w:rPr>
          <w:rFonts w:ascii="Arial" w:cs="Arial" w:eastAsia="Arial" w:hAnsi="Arial"/>
          <w:sz w:val="22"/>
          <w:szCs w:val="22"/>
        </w:rPr>
        <w:t xml:space="preserve">Validate integration timing (OANDA rates posted 6PM daily)</w:t>
      </w:r>
    </w:p>
    <w:p>
      <w:pPr>
        <w:pStyle w:val="ListParagraph"/>
        <w:numPr>
          <w:ilvl w:val="0"/>
          <w:numId w:val="3"/>
        </w:numPr>
      </w:pPr>
      <w:r>
        <w:rPr>
          <w:rFonts w:ascii="Arial" w:cs="Arial" w:eastAsia="Arial" w:hAnsi="Arial"/>
          <w:sz w:val="22"/>
          <w:szCs w:val="22"/>
        </w:rPr>
        <w:t xml:space="preserve">Confirm Panorays compatibility with OANDA for continuous vendor risk monitoring</w:t>
      </w:r>
    </w:p>
    <w:p>
      <w:pPr>
        <w:pStyle w:val="ListParagraph"/>
        <w:numPr>
          <w:ilvl w:val="0"/>
          <w:numId w:val="3"/>
        </w:numPr>
        <w:spacing w:after="200"/>
      </w:pPr>
      <w:r>
        <w:rPr>
          <w:rFonts w:ascii="Arial" w:cs="Arial" w:eastAsia="Arial" w:hAnsi="Arial"/>
          <w:sz w:val="22"/>
          <w:szCs w:val="22"/>
        </w:rPr>
        <w:t xml:space="preserve">Coordinate with Three Plus Consulting on Workday integration build/configuration</w:t>
      </w:r>
    </w:p>
    <w:p>
      <w:pPr>
        <w:spacing w:before="300"/>
      </w:pPr>
      <w:r>
        <w:rPr>
          <w:rFonts w:ascii="Arial" w:cs="Arial" w:eastAsia="Arial" w:hAnsi="Arial"/>
          <w:color w:val="666666"/>
          <w:sz w:val="20"/>
          <w:szCs w:val="20"/>
        </w:rPr>
        <w:t xml:space="preserve">Assessment Prepared By: </w:t>
      </w:r>
      <w:r>
        <w:rPr>
          <w:rFonts w:ascii="Arial" w:cs="Arial" w:eastAsia="Arial" w:hAnsi="Arial"/>
          <w:color w:val="666666"/>
          <w:sz w:val="20"/>
          <w:szCs w:val="20"/>
        </w:rPr>
        <w:t xml:space="preserve">FA Data Architecture Team</w:t>
      </w:r>
    </w:p>
    <w:p>
      <w:r>
        <w:rPr>
          <w:rFonts w:ascii="Arial" w:cs="Arial" w:eastAsia="Arial" w:hAnsi="Arial"/>
          <w:color w:val="666666"/>
          <w:sz w:val="20"/>
          <w:szCs w:val="20"/>
        </w:rPr>
        <w:t xml:space="preserve">Document Version: </w:t>
      </w:r>
      <w:r>
        <w:rPr>
          <w:rFonts w:ascii="Arial" w:cs="Arial" w:eastAsia="Arial" w:hAnsi="Arial"/>
          <w:color w:val="666666"/>
          <w:sz w:val="20"/>
          <w:szCs w:val="20"/>
        </w:rPr>
        <w:t xml:space="preserve">1.0</w:t>
      </w:r>
    </w:p>
    <w:p>
      <w:r>
        <w:rPr>
          <w:rFonts w:ascii="Arial" w:cs="Arial" w:eastAsia="Arial" w:hAnsi="Arial"/>
          <w:color w:val="666666"/>
          <w:sz w:val="20"/>
          <w:szCs w:val="20"/>
        </w:rPr>
        <w:t xml:space="preserve">Last Updated: </w:t>
      </w:r>
      <w:r>
        <w:rPr>
          <w:rFonts w:ascii="Arial" w:cs="Arial" w:eastAsia="Arial" w:hAnsi="Arial"/>
          <w:color w:val="666666"/>
          <w:sz w:val="20"/>
          <w:szCs w:val="20"/>
        </w:rPr>
        <w:t xml:space="preserve">10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The Football Association – Currency FX Rate Provider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2026-02-10T22:36:55.058Z</dcterms:created>
  <dcterms:modified xsi:type="dcterms:W3CDTF">2026-02-10T22:36:55.059Z</dcterms:modified>
</cp:coreProperties>
</file>

<file path=docProps/custom.xml><?xml version="1.0" encoding="utf-8"?>
<Properties xmlns="http://schemas.openxmlformats.org/officeDocument/2006/custom-properties" xmlns:vt="http://schemas.openxmlformats.org/officeDocument/2006/docPropsVTypes"/>
</file>