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Jev vs Traditional LLM Router</w:t>
      </w:r>
    </w:p>
    <w:p>
      <w:pPr>
        <w:jc w:val="center"/>
      </w:pPr>
      <w:r>
        <w:rPr>
          <w:color w:val="415569"/>
          <w:sz w:val="30"/>
        </w:rPr>
        <w:t>Product &amp; Build Specification for a Public Interactive Benchmark</w:t>
      </w:r>
    </w:p>
    <w:p>
      <w:pPr>
        <w:jc w:val="center"/>
      </w:pPr>
      <w:r>
        <w:rPr>
          <w:color w:val="646464"/>
          <w:sz w:val="20"/>
        </w:rPr>
        <w:t>Version 1.1  |  September 2026</w:t>
      </w:r>
    </w:p>
    <w:p/>
    <w:p>
      <w:pPr>
        <w:pStyle w:val="Callout"/>
      </w:pPr>
      <w:r>
        <w:t>Purpose: Build a hosted application that lets anyone submit a natural-language request and observe, side by side, how a conventional generative LLM router and TypeSafe AI’s Jev model make the same routing decision. The app should also provide a reproducible benchmark using CLINC150 so the comparison can be evaluated on accuracy, latency, cost, output reliability, and confidence rather than anecdotal examples.</w:t>
      </w:r>
    </w:p>
    <w:p>
      <w:r>
        <w:t>The first release is deliberately narrow. It is a router benchmark, not a full multi-agent platform. Both systems receive the same text and must select from the same target set under the same evaluation rules. The app should make the architectural difference understandable to a non-specialist while preserving enough instrumentation for technical users to inspect the evidence.</w:t>
      </w:r>
    </w:p>
    <w:p>
      <w:r>
        <w:br w:type="page"/>
      </w:r>
    </w:p>
    <w:p>
      <w:pPr>
        <w:pStyle w:val="Heading1"/>
      </w:pPr>
      <w:r>
        <w:t>1. Product Summary</w:t>
      </w:r>
    </w:p>
    <w:p>
      <w:r>
        <w:t>The application is a public, hosted comparison lab for two approaches to decision-making inside software. On the left, a traditional LLM receives an instruction and returns a structured routing decision. On the right, Jev receives an equivalent constrained decision problem and returns typed decisions with probabilities/confidence. The user sees the chosen route, correctness against ground truth when available, latency, cost, and a trace explaining what each system did.</w:t>
      </w:r>
    </w:p>
    <w:p>
      <w:r>
        <w:t>The core demonstration uses CLINC150 at its full native granularity. Its canonical task contains 150 in-scope intent classes, with 100 training, 20 validation, and 30 test samples per intent, plus dedicated out-of-scope examples. In Version 1, both Jev and the traditional LLM must choose the exact CLINC intent for each request. The broader CLINC domain is retained only as secondary metadata for grouping and visualization; it is not the primary scored target.</w:t>
      </w:r>
    </w:p>
    <w:p>
      <w:r>
        <w:t>The public app has two primary modes. Compare Mode handles one request at a time and is optimized for comprehension. Benchmark Mode runs a controlled sample from the held-out dataset and is optimized for evidence. A third lightweight page, How It Works, explains the difference between generative structured output and typed probabilistic decisions.</w:t>
      </w:r>
    </w:p>
    <w:p>
      <w:pPr>
        <w:pStyle w:val="Heading1"/>
      </w:pPr>
      <w:r>
        <w:t>2. Goals and Non-Goals</w:t>
      </w:r>
    </w:p>
    <w:p>
      <w:r>
        <w:t>The primary goal is to make the Jev-vs-LLM architectural difference observable. A visitor should be able to open the site, run one example, and understand that the two systems are solving the same routing problem through different model interfaces. The second goal is to produce a fair, repeatable benchmark rather than a marketing comparison. The third goal is to make the app easy to share publicly without exposing API keys or allowing uncontrolled usage costs.</w:t>
      </w:r>
    </w:p>
    <w:p>
      <w:r>
        <w:t>Version 1 should not execute real banking, travel, calendar, or other external tools. A route terminates at a named mock agent/tool. It should not claim that one model is universally better. It should not train or fine-tune either model. It should not use the CLINC training split in headline evaluation metrics. It should also avoid comparing fundamentally different tasks; both model paths must receive the same input and choose from the same allowed destinations.</w:t>
      </w:r>
    </w:p>
    <w:p>
      <w:pPr>
        <w:pStyle w:val="Heading1"/>
      </w:pPr>
      <w:r>
        <w:t>3. User Experience</w:t>
      </w:r>
    </w:p>
    <w:p>
      <w:pPr>
        <w:pStyle w:val="Heading2"/>
      </w:pPr>
      <w:r>
        <w:t>3.1 Landing / Compare Mode</w:t>
      </w:r>
    </w:p>
    <w:p>
      <w:r>
        <w:t>The landing screen contains a concise explanation, one text input, a “Run comparison” action, and a “Try a dataset example” action. The two model lanes appear directly beneath the input and should be visually symmetric. The user should not have to configure models, prompts, datasets, or parameters before the first run.</w:t>
      </w:r>
    </w:p>
    <w:p>
      <w:pPr>
        <w:pStyle w:val="Code"/>
      </w:pPr>
      <w:r>
        <w:t>Example input:</w:t>
      </w:r>
    </w:p>
    <w:p>
      <w:pPr>
        <w:pStyle w:val="Code"/>
      </w:pPr>
      <w:r>
        <w:t>“My card still has not arrived.”</w:t>
      </w:r>
    </w:p>
    <w:p>
      <w:pPr>
        <w:pStyle w:val="Code"/>
      </w:pPr>
      <w:r/>
    </w:p>
    <w:p>
      <w:pPr>
        <w:pStyle w:val="Code"/>
      </w:pPr>
      <w:r>
        <w:t>Traditional LLM Router                 Jev Router</w:t>
      </w:r>
    </w:p>
    <w:p>
      <w:pPr>
        <w:pStyle w:val="Code"/>
      </w:pPr>
      <w:r>
        <w:t>Selected intent: card_arrival               Selected intent: card_arrival</w:t>
      </w:r>
    </w:p>
    <w:p>
      <w:pPr>
        <w:pStyle w:val="Code"/>
      </w:pPr>
      <w:r>
        <w:t>Correct: Yes                           Correct: Yes</w:t>
      </w:r>
    </w:p>
    <w:p>
      <w:pPr>
        <w:pStyle w:val="Code"/>
      </w:pPr>
      <w:r>
        <w:t>Latency: 780 ms                        Latency: 90 ms</w:t>
      </w:r>
    </w:p>
    <w:p>
      <w:pPr>
        <w:pStyle w:val="Code"/>
      </w:pPr>
      <w:r>
        <w:t>Estimated cost: $0.000x                Estimated cost: $0.000x</w:t>
      </w:r>
    </w:p>
    <w:p>
      <w:pPr>
        <w:pStyle w:val="Code"/>
      </w:pPr>
      <w:r>
        <w:t>Output valid: Yes                      Confidence: 0.96</w:t>
      </w:r>
    </w:p>
    <w:p>
      <w:r>
        <w:t>When the input comes from CLINC150, the interface should reveal the ground-truth exact intent only after both model calls complete, with the broader domain shown as supporting context. This prevents the expected answer from leaking into the model prompt and makes the result feel like an actual test. For user-authored inputs there is no objective ground truth, so the app should label the result as an open comparison rather than marking a winner.</w:t>
      </w:r>
    </w:p>
    <w:p>
      <w:pPr>
        <w:pStyle w:val="Heading2"/>
      </w:pPr>
      <w:r>
        <w:t>3.2 Trace View</w:t>
      </w:r>
    </w:p>
    <w:p>
      <w:r>
        <w:t>Each result card should expose a “View trace” control. The LLM trace should display the system instruction, permitted route labels, raw model response or structured-output object, validation result, selected route, input/output token counts, and timing. The Jev trace should display the typed question/schema supplied to Jev, available choices, returned decision, class probabilities or confidence if exposed by the API, and timing. Sensitive secrets, authorization headers, and server internals must never appear in the trace.</w:t>
      </w:r>
    </w:p>
    <w:p>
      <w:pPr>
        <w:pStyle w:val="Code"/>
      </w:pPr>
      <w:r>
        <w:t>Traditional LLM</w:t>
      </w:r>
    </w:p>
    <w:p>
      <w:pPr>
        <w:pStyle w:val="Code"/>
      </w:pPr>
      <w:r>
        <w:t>Input → prompt/schema → generative inference → structured response → validation → route</w:t>
      </w:r>
    </w:p>
    <w:p>
      <w:pPr>
        <w:pStyle w:val="Code"/>
      </w:pPr>
      <w:r/>
    </w:p>
    <w:p>
      <w:pPr>
        <w:pStyle w:val="Code"/>
      </w:pPr>
      <w:r>
        <w:t>Jev</w:t>
      </w:r>
    </w:p>
    <w:p>
      <w:pPr>
        <w:pStyle w:val="Code"/>
      </w:pPr>
      <w:r>
        <w:t>Input → typed decision definition → decision inference → probability/confidence → route</w:t>
      </w:r>
    </w:p>
    <w:p>
      <w:pPr>
        <w:pStyle w:val="Heading2"/>
      </w:pPr>
      <w:r>
        <w:t>3.3 Benchmark Mode</w:t>
      </w:r>
    </w:p>
    <w:p>
      <w:r>
        <w:t>Benchmark Mode lets a visitor choose a predefined sample size such as 25, 50, or 100 held-out examples. For public cost control, the UI should not expose an unlimited run size. The server should sample deterministically from the test set using a visible seed so that runs can be reproduced. Both models process the identical sample.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rFonts w:ascii="Aptos" w:hAnsi="Aptos"/>
                <w:b/>
                <w:sz w:val="19"/>
              </w:rPr>
              <w:t>Metric</w:t>
            </w:r>
          </w:p>
        </w:tc>
        <w:tc>
          <w:tcPr>
            <w:tcW w:type="dxa" w:w="6912"/>
            <w:vAlign w:val="center"/>
            <w:shd w:fill="D9EAF7"/>
          </w:tcPr>
          <w:p>
            <w:r/>
            <w:r>
              <w:rPr>
                <w:rFonts w:ascii="Aptos" w:hAnsi="Aptos"/>
                <w:b/>
                <w:sz w:val="19"/>
              </w:rPr>
              <w:t>Definition</w:t>
            </w:r>
          </w:p>
        </w:tc>
      </w:tr>
      <w:tr>
        <w:tc>
          <w:tcPr>
            <w:tcW w:type="dxa" w:w="2880"/>
            <w:vAlign w:val="center"/>
          </w:tcPr>
          <w:p>
            <w:r/>
            <w:r>
              <w:rPr>
                <w:rFonts w:ascii="Aptos" w:hAnsi="Aptos"/>
                <w:b w:val="0"/>
                <w:sz w:val="18"/>
              </w:rPr>
              <w:t>Routing accuracy</w:t>
            </w:r>
          </w:p>
        </w:tc>
        <w:tc>
          <w:tcPr>
            <w:tcW w:type="dxa" w:w="6912"/>
            <w:vAlign w:val="center"/>
          </w:tcPr>
          <w:p>
            <w:r>
              <w:t>Percentage of examples assigned to the exact canonical CLINC intent. Domain-level correctness is diagnostic only.</w:t>
            </w:r>
          </w:p>
        </w:tc>
      </w:tr>
      <w:tr>
        <w:tc>
          <w:tcPr>
            <w:tcW w:type="dxa" w:w="2880"/>
            <w:vAlign w:val="center"/>
          </w:tcPr>
          <w:p>
            <w:r/>
            <w:r>
              <w:rPr>
                <w:rFonts w:ascii="Aptos" w:hAnsi="Aptos"/>
                <w:b w:val="0"/>
                <w:sz w:val="18"/>
              </w:rPr>
              <w:t>Average latency</w:t>
            </w:r>
          </w:p>
        </w:tc>
        <w:tc>
          <w:tcPr>
            <w:tcW w:type="dxa" w:w="6912"/>
            <w:vAlign w:val="center"/>
          </w:tcPr>
          <w:p>
            <w:r/>
            <w:r>
              <w:rPr>
                <w:rFonts w:ascii="Aptos" w:hAnsi="Aptos"/>
                <w:b w:val="0"/>
                <w:sz w:val="18"/>
              </w:rPr>
              <w:t>Mean server-observed model-call duration, measured separately for each provider.</w:t>
            </w:r>
          </w:p>
        </w:tc>
      </w:tr>
      <w:tr>
        <w:tc>
          <w:tcPr>
            <w:tcW w:type="dxa" w:w="2880"/>
            <w:vAlign w:val="center"/>
          </w:tcPr>
          <w:p>
            <w:r/>
            <w:r>
              <w:rPr>
                <w:rFonts w:ascii="Aptos" w:hAnsi="Aptos"/>
                <w:b w:val="0"/>
                <w:sz w:val="18"/>
              </w:rPr>
              <w:t>p95 latency</w:t>
            </w:r>
          </w:p>
        </w:tc>
        <w:tc>
          <w:tcPr>
            <w:tcW w:type="dxa" w:w="6912"/>
            <w:vAlign w:val="center"/>
          </w:tcPr>
          <w:p>
            <w:r/>
            <w:r>
              <w:rPr>
                <w:rFonts w:ascii="Aptos" w:hAnsi="Aptos"/>
                <w:b w:val="0"/>
                <w:sz w:val="18"/>
              </w:rPr>
              <w:t>95th percentile call duration across the benchmark sample.</w:t>
            </w:r>
          </w:p>
        </w:tc>
      </w:tr>
      <w:tr>
        <w:tc>
          <w:tcPr>
            <w:tcW w:type="dxa" w:w="2880"/>
            <w:vAlign w:val="center"/>
          </w:tcPr>
          <w:p>
            <w:r/>
            <w:r>
              <w:rPr>
                <w:rFonts w:ascii="Aptos" w:hAnsi="Aptos"/>
                <w:b w:val="0"/>
                <w:sz w:val="18"/>
              </w:rPr>
              <w:t>Estimated model cost</w:t>
            </w:r>
          </w:p>
        </w:tc>
        <w:tc>
          <w:tcPr>
            <w:tcW w:type="dxa" w:w="6912"/>
            <w:vAlign w:val="center"/>
          </w:tcPr>
          <w:p>
            <w:r/>
            <w:r>
              <w:rPr>
                <w:rFonts w:ascii="Aptos" w:hAnsi="Aptos"/>
                <w:b w:val="0"/>
                <w:sz w:val="18"/>
              </w:rPr>
              <w:t>Calculated from actual model usage and the provider price configured on the server.</w:t>
            </w:r>
          </w:p>
        </w:tc>
      </w:tr>
      <w:tr>
        <w:tc>
          <w:tcPr>
            <w:tcW w:type="dxa" w:w="2880"/>
            <w:vAlign w:val="center"/>
          </w:tcPr>
          <w:p>
            <w:r/>
            <w:r>
              <w:rPr>
                <w:rFonts w:ascii="Aptos" w:hAnsi="Aptos"/>
                <w:b w:val="0"/>
                <w:sz w:val="18"/>
              </w:rPr>
              <w:t>Output validity</w:t>
            </w:r>
          </w:p>
        </w:tc>
        <w:tc>
          <w:tcPr>
            <w:tcW w:type="dxa" w:w="6912"/>
            <w:vAlign w:val="center"/>
          </w:tcPr>
          <w:p>
            <w:r/>
            <w:r>
              <w:rPr>
                <w:rFonts w:ascii="Aptos" w:hAnsi="Aptos"/>
                <w:b w:val="0"/>
                <w:sz w:val="18"/>
              </w:rPr>
              <w:t>For the LLM path, percentage of responses that satisfy the required structured contract without repair/retry.</w:t>
            </w:r>
          </w:p>
        </w:tc>
      </w:tr>
      <w:tr>
        <w:tc>
          <w:tcPr>
            <w:tcW w:type="dxa" w:w="2880"/>
            <w:vAlign w:val="center"/>
          </w:tcPr>
          <w:p>
            <w:r/>
            <w:r>
              <w:rPr>
                <w:rFonts w:ascii="Aptos" w:hAnsi="Aptos"/>
                <w:b w:val="0"/>
                <w:sz w:val="18"/>
              </w:rPr>
              <w:t>Abstention / OOS quality</w:t>
            </w:r>
          </w:p>
        </w:tc>
        <w:tc>
          <w:tcPr>
            <w:tcW w:type="dxa" w:w="6912"/>
            <w:vAlign w:val="center"/>
          </w:tcPr>
          <w:p>
            <w:r/>
            <w:r>
              <w:rPr>
                <w:rFonts w:ascii="Aptos" w:hAnsi="Aptos"/>
                <w:b w:val="0"/>
                <w:sz w:val="18"/>
              </w:rPr>
              <w:t>How well the router handles out-of-scope examples when OOS is enabled.</w:t>
            </w:r>
          </w:p>
        </w:tc>
      </w:tr>
      <w:tr>
        <w:tc>
          <w:tcPr>
            <w:tcW w:type="dxa" w:w="2880"/>
            <w:vAlign w:val="center"/>
          </w:tcPr>
          <w:p>
            <w:r/>
            <w:r>
              <w:rPr>
                <w:rFonts w:ascii="Aptos" w:hAnsi="Aptos"/>
                <w:b w:val="0"/>
                <w:sz w:val="18"/>
              </w:rPr>
              <w:t>Confidence quality</w:t>
            </w:r>
          </w:p>
        </w:tc>
        <w:tc>
          <w:tcPr>
            <w:tcW w:type="dxa" w:w="6912"/>
            <w:vAlign w:val="center"/>
          </w:tcPr>
          <w:p>
            <w:r/>
            <w:r>
              <w:rPr>
                <w:rFonts w:ascii="Aptos" w:hAnsi="Aptos"/>
                <w:b w:val="0"/>
                <w:sz w:val="18"/>
              </w:rPr>
              <w:t>For Jev, display confidence/probability behavior; later add calibration metrics such as ECE/Brier where appropriate.</w:t>
            </w:r>
          </w:p>
        </w:tc>
      </w:tr>
      <w:tr>
        <w:tc>
          <w:tcPr>
            <w:tcW w:type="dxa" w:w="2880"/>
            <w:vAlign w:val="center"/>
          </w:tcPr>
          <w:p>
            <w:r/>
            <w:r>
              <w:rPr>
                <w:rFonts w:ascii="Aptos" w:hAnsi="Aptos"/>
                <w:b w:val="0"/>
                <w:sz w:val="18"/>
              </w:rPr>
              <w:t>Disagreement rate</w:t>
            </w:r>
          </w:p>
        </w:tc>
        <w:tc>
          <w:tcPr>
            <w:tcW w:type="dxa" w:w="6912"/>
            <w:vAlign w:val="center"/>
          </w:tcPr>
          <w:p>
            <w:r/>
            <w:r>
              <w:rPr>
                <w:rFonts w:ascii="Aptos" w:hAnsi="Aptos"/>
                <w:b w:val="0"/>
                <w:sz w:val="18"/>
              </w:rPr>
              <w:t>Percentage of examples on which Jev and the LLM choose different routes.</w:t>
            </w:r>
          </w:p>
        </w:tc>
      </w:tr>
    </w:tbl>
    <w:p/>
    <w:p>
      <w:r>
        <w:t>Benchmark results should be descriptive. Do not present a single overall “winner” score because latency, accuracy, cost, calibration, and robustness are separate properties. The user should be able to inspect where the systems disagreed.</w:t>
      </w:r>
    </w:p>
    <w:p>
      <w:pPr>
        <w:pStyle w:val="Heading1"/>
      </w:pPr>
      <w:r>
        <w:t>4. Dataset Design</w:t>
      </w:r>
    </w:p>
    <w:p>
      <w:pPr>
        <w:pStyle w:val="Heading2"/>
      </w:pPr>
      <w:r>
        <w:t>4.1 CLINC150 Source and Splits</w:t>
      </w:r>
    </w:p>
    <w:p>
      <w:r>
        <w:t>Use the original CLINC out-of-scope evaluation dataset as the authoritative source for benchmark splits. The full configuration contains 150 in-scope intents, each with 100 train, 20 validation, and 30 test utterances, plus 100 out-of-scope train examples, 100 out-of-scope validation examples, and 1,000 out-of-scope test examples. The public app should bundle a normalized copy of the data with attribution and the applicable license notice.</w:t>
      </w:r>
    </w:p>
    <w:p>
      <w:r>
        <w:t>A commonly used domain-organized derivative represents CLINC150 as 10 domains and 150 intents. The application should preserve the original intent label as canonical ground truth and use it as the primary scored routing target. Store both intent and domain on each record, but treat domain as secondary metadata for UI grouping, filtering, and error analysis. The domain mapping should be committed as a versioned data asset so those views remain reproducible.</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rFonts w:ascii="Aptos" w:hAnsi="Aptos"/>
                <w:b/>
                <w:sz w:val="19"/>
              </w:rPr>
              <w:t>Field</w:t>
            </w:r>
          </w:p>
        </w:tc>
        <w:tc>
          <w:tcPr>
            <w:tcW w:type="dxa" w:w="2880"/>
            <w:vAlign w:val="center"/>
            <w:shd w:fill="D9EAF7"/>
          </w:tcPr>
          <w:p>
            <w:r/>
            <w:r>
              <w:rPr>
                <w:rFonts w:ascii="Aptos" w:hAnsi="Aptos"/>
                <w:b/>
                <w:sz w:val="19"/>
              </w:rPr>
              <w:t>Example</w:t>
            </w:r>
          </w:p>
        </w:tc>
        <w:tc>
          <w:tcPr>
            <w:tcW w:type="dxa" w:w="5040"/>
            <w:vAlign w:val="center"/>
            <w:shd w:fill="D9EAF7"/>
          </w:tcPr>
          <w:p>
            <w:r/>
            <w:r>
              <w:rPr>
                <w:rFonts w:ascii="Aptos" w:hAnsi="Aptos"/>
                <w:b/>
                <w:sz w:val="19"/>
              </w:rPr>
              <w:t>Purpose</w:t>
            </w:r>
          </w:p>
        </w:tc>
      </w:tr>
      <w:tr>
        <w:tc>
          <w:tcPr>
            <w:tcW w:type="dxa" w:w="1872"/>
            <w:vAlign w:val="center"/>
          </w:tcPr>
          <w:p>
            <w:r/>
            <w:r>
              <w:rPr>
                <w:rFonts w:ascii="Aptos" w:hAnsi="Aptos"/>
                <w:b w:val="0"/>
                <w:sz w:val="18"/>
              </w:rPr>
              <w:t>id</w:t>
            </w:r>
          </w:p>
        </w:tc>
        <w:tc>
          <w:tcPr>
            <w:tcW w:type="dxa" w:w="2880"/>
            <w:vAlign w:val="center"/>
          </w:tcPr>
          <w:p>
            <w:r/>
            <w:r>
              <w:rPr>
                <w:rFonts w:ascii="Aptos" w:hAnsi="Aptos"/>
                <w:b w:val="0"/>
                <w:sz w:val="18"/>
              </w:rPr>
              <w:t>clinc-test-00421</w:t>
            </w:r>
          </w:p>
        </w:tc>
        <w:tc>
          <w:tcPr>
            <w:tcW w:type="dxa" w:w="5040"/>
            <w:vAlign w:val="center"/>
          </w:tcPr>
          <w:p>
            <w:r/>
            <w:r>
              <w:rPr>
                <w:rFonts w:ascii="Aptos" w:hAnsi="Aptos"/>
                <w:b w:val="0"/>
                <w:sz w:val="18"/>
              </w:rPr>
              <w:t>Stable record identifier</w:t>
            </w:r>
          </w:p>
        </w:tc>
      </w:tr>
      <w:tr>
        <w:tc>
          <w:tcPr>
            <w:tcW w:type="dxa" w:w="1872"/>
            <w:vAlign w:val="center"/>
          </w:tcPr>
          <w:p>
            <w:r/>
            <w:r>
              <w:rPr>
                <w:rFonts w:ascii="Aptos" w:hAnsi="Aptos"/>
                <w:b w:val="0"/>
                <w:sz w:val="18"/>
              </w:rPr>
              <w:t>split</w:t>
            </w:r>
          </w:p>
        </w:tc>
        <w:tc>
          <w:tcPr>
            <w:tcW w:type="dxa" w:w="2880"/>
            <w:vAlign w:val="center"/>
          </w:tcPr>
          <w:p>
            <w:r/>
            <w:r>
              <w:rPr>
                <w:rFonts w:ascii="Aptos" w:hAnsi="Aptos"/>
                <w:b w:val="0"/>
                <w:sz w:val="18"/>
              </w:rPr>
              <w:t>test</w:t>
            </w:r>
          </w:p>
        </w:tc>
        <w:tc>
          <w:tcPr>
            <w:tcW w:type="dxa" w:w="5040"/>
            <w:vAlign w:val="center"/>
          </w:tcPr>
          <w:p>
            <w:r/>
            <w:r>
              <w:rPr>
                <w:rFonts w:ascii="Aptos" w:hAnsi="Aptos"/>
                <w:b w:val="0"/>
                <w:sz w:val="18"/>
              </w:rPr>
              <w:t>Protect benchmark integrity</w:t>
            </w:r>
          </w:p>
        </w:tc>
      </w:tr>
      <w:tr>
        <w:tc>
          <w:tcPr>
            <w:tcW w:type="dxa" w:w="1872"/>
            <w:vAlign w:val="center"/>
          </w:tcPr>
          <w:p>
            <w:r/>
            <w:r>
              <w:rPr>
                <w:rFonts w:ascii="Aptos" w:hAnsi="Aptos"/>
                <w:b w:val="0"/>
                <w:sz w:val="18"/>
              </w:rPr>
              <w:t>utterance</w:t>
            </w:r>
          </w:p>
        </w:tc>
        <w:tc>
          <w:tcPr>
            <w:tcW w:type="dxa" w:w="2880"/>
            <w:vAlign w:val="center"/>
          </w:tcPr>
          <w:p>
            <w:r/>
            <w:r>
              <w:rPr>
                <w:rFonts w:ascii="Aptos" w:hAnsi="Aptos"/>
                <w:b w:val="0"/>
                <w:sz w:val="18"/>
              </w:rPr>
              <w:t>how do I freeze my card</w:t>
            </w:r>
          </w:p>
        </w:tc>
        <w:tc>
          <w:tcPr>
            <w:tcW w:type="dxa" w:w="5040"/>
            <w:vAlign w:val="center"/>
          </w:tcPr>
          <w:p>
            <w:r/>
            <w:r>
              <w:rPr>
                <w:rFonts w:ascii="Aptos" w:hAnsi="Aptos"/>
                <w:b w:val="0"/>
                <w:sz w:val="18"/>
              </w:rPr>
              <w:t>Model input</w:t>
            </w:r>
          </w:p>
        </w:tc>
      </w:tr>
      <w:tr>
        <w:tc>
          <w:tcPr>
            <w:tcW w:type="dxa" w:w="1872"/>
            <w:vAlign w:val="center"/>
          </w:tcPr>
          <w:p>
            <w:r/>
            <w:r>
              <w:rPr>
                <w:rFonts w:ascii="Aptos" w:hAnsi="Aptos"/>
                <w:b w:val="0"/>
                <w:sz w:val="18"/>
              </w:rPr>
              <w:t>intent</w:t>
            </w:r>
          </w:p>
        </w:tc>
        <w:tc>
          <w:tcPr>
            <w:tcW w:type="dxa" w:w="2880"/>
            <w:vAlign w:val="center"/>
          </w:tcPr>
          <w:p>
            <w:r/>
            <w:r>
              <w:rPr>
                <w:rFonts w:ascii="Aptos" w:hAnsi="Aptos"/>
                <w:b w:val="0"/>
                <w:sz w:val="18"/>
              </w:rPr>
              <w:t>card_swallowed</w:t>
            </w:r>
          </w:p>
        </w:tc>
        <w:tc>
          <w:tcPr>
            <w:tcW w:type="dxa" w:w="5040"/>
            <w:vAlign w:val="center"/>
          </w:tcPr>
          <w:p>
            <w:r/>
            <w:r>
              <w:rPr>
                <w:rFonts w:ascii="Aptos" w:hAnsi="Aptos"/>
                <w:b w:val="0"/>
                <w:sz w:val="18"/>
              </w:rPr>
              <w:t>Canonical CLINC intent</w:t>
            </w:r>
          </w:p>
        </w:tc>
      </w:tr>
      <w:tr>
        <w:tc>
          <w:tcPr>
            <w:tcW w:type="dxa" w:w="1872"/>
            <w:vAlign w:val="center"/>
          </w:tcPr>
          <w:p>
            <w:r/>
            <w:r>
              <w:rPr>
                <w:rFonts w:ascii="Aptos" w:hAnsi="Aptos"/>
                <w:b w:val="0"/>
                <w:sz w:val="18"/>
              </w:rPr>
              <w:t>domain</w:t>
            </w:r>
          </w:p>
        </w:tc>
        <w:tc>
          <w:tcPr>
            <w:tcW w:type="dxa" w:w="2880"/>
            <w:vAlign w:val="center"/>
          </w:tcPr>
          <w:p>
            <w:r/>
            <w:r>
              <w:rPr>
                <w:rFonts w:ascii="Aptos" w:hAnsi="Aptos"/>
                <w:b w:val="0"/>
                <w:sz w:val="18"/>
              </w:rPr>
              <w:t>banking</w:t>
            </w:r>
          </w:p>
        </w:tc>
        <w:tc>
          <w:tcPr>
            <w:tcW w:type="dxa" w:w="5040"/>
            <w:vAlign w:val="center"/>
          </w:tcPr>
          <w:p>
            <w:r>
              <w:t>Secondary grouping / UI context</w:t>
            </w:r>
          </w:p>
        </w:tc>
      </w:tr>
      <w:tr>
        <w:tc>
          <w:tcPr>
            <w:tcW w:type="dxa" w:w="1872"/>
            <w:vAlign w:val="center"/>
          </w:tcPr>
          <w:p>
            <w:r/>
            <w:r>
              <w:rPr>
                <w:rFonts w:ascii="Aptos" w:hAnsi="Aptos"/>
                <w:b w:val="0"/>
                <w:sz w:val="18"/>
              </w:rPr>
              <w:t>is_oos</w:t>
            </w:r>
          </w:p>
        </w:tc>
        <w:tc>
          <w:tcPr>
            <w:tcW w:type="dxa" w:w="2880"/>
            <w:vAlign w:val="center"/>
          </w:tcPr>
          <w:p>
            <w:r/>
            <w:r>
              <w:rPr>
                <w:rFonts w:ascii="Aptos" w:hAnsi="Aptos"/>
                <w:b w:val="0"/>
                <w:sz w:val="18"/>
              </w:rPr>
              <w:t>false</w:t>
            </w:r>
          </w:p>
        </w:tc>
        <w:tc>
          <w:tcPr>
            <w:tcW w:type="dxa" w:w="5040"/>
            <w:vAlign w:val="center"/>
          </w:tcPr>
          <w:p>
            <w:r/>
            <w:r>
              <w:rPr>
                <w:rFonts w:ascii="Aptos" w:hAnsi="Aptos"/>
                <w:b w:val="0"/>
                <w:sz w:val="18"/>
              </w:rPr>
              <w:t>Out-of-scope evaluation</w:t>
            </w:r>
          </w:p>
        </w:tc>
      </w:tr>
      <w:tr>
        <w:tc>
          <w:tcPr>
            <w:tcW w:type="dxa" w:w="1872"/>
            <w:vAlign w:val="center"/>
          </w:tcPr>
          <w:p>
            <w:r/>
            <w:r>
              <w:rPr>
                <w:rFonts w:ascii="Aptos" w:hAnsi="Aptos"/>
                <w:b w:val="0"/>
                <w:sz w:val="18"/>
              </w:rPr>
              <w:t>source</w:t>
            </w:r>
          </w:p>
        </w:tc>
        <w:tc>
          <w:tcPr>
            <w:tcW w:type="dxa" w:w="2880"/>
            <w:vAlign w:val="center"/>
          </w:tcPr>
          <w:p>
            <w:r/>
            <w:r>
              <w:rPr>
                <w:rFonts w:ascii="Aptos" w:hAnsi="Aptos"/>
                <w:b w:val="0"/>
                <w:sz w:val="18"/>
              </w:rPr>
              <w:t>CLINC150</w:t>
            </w:r>
          </w:p>
        </w:tc>
        <w:tc>
          <w:tcPr>
            <w:tcW w:type="dxa" w:w="5040"/>
            <w:vAlign w:val="center"/>
          </w:tcPr>
          <w:p>
            <w:r/>
            <w:r>
              <w:rPr>
                <w:rFonts w:ascii="Aptos" w:hAnsi="Aptos"/>
                <w:b w:val="0"/>
                <w:sz w:val="18"/>
              </w:rPr>
              <w:t>Attribution/provenance</w:t>
            </w:r>
          </w:p>
        </w:tc>
      </w:tr>
    </w:tbl>
    <w:p/>
    <w:p>
      <w:pPr>
        <w:pStyle w:val="Heading2"/>
      </w:pPr>
      <w:r>
        <w:t>4.2 How the Dataset Lives in the Hosted App</w:t>
      </w:r>
    </w:p>
    <w:p>
      <w:r>
        <w:t>Do not depend on the developer’s local machine. Normalize the dataset during development and commit the resulting small JSON or Parquet asset to the application repository, or include it in the backend deployment image. At this scale, no database is required simply to serve benchmark records. The server loads the file at startup and keeps it in memory or reads it on demand.</w:t>
      </w:r>
    </w:p>
    <w:p>
      <w:r>
        <w:t>If analytics, saved benchmark runs, abuse monitoring, or public leaderboards are later added, store those run records in a database; the immutable benchmark corpus should still remain a versioned static asset. This separation makes it easy to prove exactly which dataset revision produced a result.</w:t>
      </w:r>
    </w:p>
    <w:p>
      <w:pPr>
        <w:pStyle w:val="Heading2"/>
      </w:pPr>
      <w:r>
        <w:t>4.3 Evaluation Split Rules</w:t>
      </w:r>
    </w:p>
    <w:p>
      <w:r>
        <w:t>Headline benchmark accuracy must use only held-out test records and exact match against the canonical CLINC intent label. Training examples may be used for development, prompt experimentation, or an optional few-shot setup, but those choices must be documented and frozen before test evaluation. Validation data should be used for prompt/schema tuning and threshold selection. The app should record benchmark configuration with each run: dataset version, split, target granularity (150 intents, or 151 choices when OOS is enabled), sample size, seed, model identifiers, prompt version, and OOS setting.</w:t>
      </w:r>
    </w:p>
    <w:p>
      <w:pPr>
        <w:pStyle w:val="Heading1"/>
      </w:pPr>
      <w:r>
        <w:t>5. Routing Taxonomy</w:t>
      </w:r>
    </w:p>
    <w:p>
      <w:r>
        <w:t>Version 1 should route directly to the full set of 150 canonical CLINC intents. Each intent represents the exact workflow/action destination being selected. This is intentionally a difficult 150-way decision problem: the benchmark should preserve the fine-grained distinctions in CLINC rather than collapse them into easier domain-level categories. The same 150 canonical identifiers must be supplied to both Jev and the LLM.</w:t>
      </w:r>
    </w:p>
    <w:p>
      <w:r>
        <w:t>For the UI, display a human-readable label for the selected intent while preserving the canonical CLINC identifier used for scoring. The broader domain can appear above or beside the intent to make the result easier to understand; for example, “Banking / card_arrival.” Domains must never substitute for intent labels in the primary accuracy metric. The allowed intent list must be identical for Jev and the LLM.</w:t>
      </w:r>
    </w:p>
    <w:p>
      <w:r>
        <w:t>An optional secondary view may aggregate results by the 10 broader domains to help users understand where errors cluster. This is diagnostic only. It must not replace or dilute the primary 150-intent benchmark.</w:t>
      </w:r>
    </w:p>
    <w:p>
      <w:pPr>
        <w:pStyle w:val="Heading1"/>
      </w:pPr>
      <w:r>
        <w:t>6. Model Paths</w:t>
      </w:r>
    </w:p>
    <w:p>
      <w:pPr>
        <w:pStyle w:val="Heading2"/>
      </w:pPr>
      <w:r>
        <w:t>6.1 Traditional LLM Router</w:t>
      </w:r>
    </w:p>
    <w:p>
      <w:r>
        <w:t>Choose one fixed production LLM model for the public benchmark. The prompt should contain the user utterance, all 150 permitted canonical intent labels, concise intent descriptions or examples if the benchmark configuration uses them, and a strict structured-output schema. Set generation parameters for deterministic classification behavior where the provider supports them. The response should be validated server-side against the schema and against the allowed intent set before it is accepted as a route.</w:t>
      </w:r>
    </w:p>
    <w:p>
      <w:pPr>
        <w:pStyle w:val="Code"/>
      </w:pPr>
      <w:r>
        <w:t>Conceptual response contract:</w:t>
      </w:r>
    </w:p>
    <w:p>
      <w:pPr>
        <w:pStyle w:val="Code"/>
      </w:pPr>
      <w:r>
        <w:t>{</w:t>
      </w:r>
    </w:p>
    <w:p>
      <w:pPr>
        <w:pStyle w:val="Code"/>
      </w:pPr>
      <w:r>
        <w:t xml:space="preserve">  "route": "card_arrival",</w:t>
      </w:r>
    </w:p>
    <w:p>
      <w:pPr>
        <w:pStyle w:val="Code"/>
      </w:pPr>
      <w:r>
        <w:t xml:space="preserve">  "reason": "optional short diagnostic text"</w:t>
      </w:r>
    </w:p>
    <w:p>
      <w:pPr>
        <w:pStyle w:val="Code"/>
      </w:pPr>
      <w:r>
        <w:t>}</w:t>
      </w:r>
    </w:p>
    <w:p>
      <w:r>
        <w:t>The benchmark should count schema failures and retries rather than hiding them. If the provider offers native constrained/structured output, use it; the point is not to artificially handicap the LLM. The comparison should represent a competent contemporary LLM implementation.</w:t>
      </w:r>
    </w:p>
    <w:p>
      <w:pPr>
        <w:pStyle w:val="Heading2"/>
      </w:pPr>
      <w:r>
        <w:t>6.2 Jev Router</w:t>
      </w:r>
    </w:p>
    <w:p>
      <w:r>
        <w:t>Use Jev as a constrained decision model. Define the same 150 canonical CLINC intents as the allowed choices in Jev’s typed decision interface, pass the utterance as input/context, and return the selected intent plus probability/confidence information exposed by the API. TypeSafe describes Jev as accepting structured questions and returning typed decisions with probabilities and confidence. The implementation agent should use the current official Jev API/SDK documentation for exact syntax rather than hard-coding examples from this specification.</w:t>
      </w:r>
    </w:p>
    <w:p>
      <w:r>
        <w:t>Jev’s public pricing and API behavior may change. Keep provider pricing, model identifiers, and endpoint configuration outside application logic. The UI should show the model/version actually used on a given run.</w:t>
      </w:r>
    </w:p>
    <w:p>
      <w:pPr>
        <w:pStyle w:val="Heading2"/>
      </w:pPr>
      <w:r>
        <w:t>6.3 Equal-Task Constraint</w:t>
      </w:r>
    </w:p>
    <w:p>
      <w:r>
        <w:t>Both systems must solve the same classification problem. They must see the same utterance, route set, and route descriptions. Neither path should receive the ground-truth label. Do not give one system examples that the other does not receive unless the experiment is explicitly labeled as a separate few-shot configuration.</w:t>
      </w:r>
    </w:p>
    <w:p>
      <w:pPr>
        <w:pStyle w:val="Heading1"/>
      </w:pPr>
      <w:r>
        <w:t>7. Recommended Architecture</w:t>
      </w:r>
    </w:p>
    <w:p>
      <w:pPr>
        <w:pStyle w:val="Code"/>
      </w:pPr>
      <w:r>
        <w:t>Public Browser</w:t>
      </w:r>
    </w:p>
    <w:p>
      <w:pPr>
        <w:pStyle w:val="Code"/>
      </w:pPr>
      <w:r>
        <w:t xml:space="preserve">    ↓</w:t>
      </w:r>
    </w:p>
    <w:p>
      <w:pPr>
        <w:pStyle w:val="Code"/>
      </w:pPr>
      <w:r>
        <w:t>Web UI (Compare / Benchmark / How It Works)</w:t>
      </w:r>
    </w:p>
    <w:p>
      <w:pPr>
        <w:pStyle w:val="Code"/>
      </w:pPr>
      <w:r>
        <w:t xml:space="preserve">    ↓</w:t>
      </w:r>
    </w:p>
    <w:p>
      <w:pPr>
        <w:pStyle w:val="Code"/>
      </w:pPr>
      <w:r>
        <w:t>Server API</w:t>
      </w:r>
    </w:p>
    <w:p>
      <w:pPr>
        <w:pStyle w:val="Code"/>
      </w:pPr>
      <w:r>
        <w:t xml:space="preserve">    ├── Dataset service (bundled CLINC data)</w:t>
      </w:r>
    </w:p>
    <w:p>
      <w:pPr>
        <w:pStyle w:val="Code"/>
      </w:pPr>
      <w:r>
        <w:t xml:space="preserve">    ├── Benchmark runner</w:t>
      </w:r>
    </w:p>
    <w:p>
      <w:pPr>
        <w:pStyle w:val="Code"/>
      </w:pPr>
      <w:r>
        <w:t xml:space="preserve">    ├── LLM adapter → LLM provider API</w:t>
      </w:r>
    </w:p>
    <w:p>
      <w:pPr>
        <w:pStyle w:val="Code"/>
      </w:pPr>
      <w:r>
        <w:t xml:space="preserve">    ├── Jev adapter → TypeSafe AI API</w:t>
      </w:r>
    </w:p>
    <w:p>
      <w:pPr>
        <w:pStyle w:val="Code"/>
      </w:pPr>
      <w:r>
        <w:t xml:space="preserve">    ├── Metrics/cost calculator</w:t>
      </w:r>
    </w:p>
    <w:p>
      <w:pPr>
        <w:pStyle w:val="Code"/>
      </w:pPr>
      <w:r>
        <w:t xml:space="preserve">    └── Rate limiting + optional analytics store</w:t>
      </w:r>
    </w:p>
    <w:p>
      <w:r>
        <w:t>A straightforward implementation is a Next.js or similar full-stack web application deployed to Vercel, with all provider calls executed server-side. A separate FastAPI backend is also acceptable if the builder prefers Python for benchmarking and dataset handling. The architectural requirement is more important than the framework: API credentials remain server-side, benchmark logic is centralized, and the browser never calls model providers directly with secret keys.</w:t>
      </w:r>
    </w:p>
    <w:p>
      <w:r>
        <w:t>The model integration layer should expose a common internal interface so that the UI and benchmark runner do not care which provider is behind each path. A normalized result object should contain the selected canonical intent, success/failure, latency_ms, model identifier, usage data, estimated cost, raw/trace-safe metadata, and Jev confidence/probabilities where available.</w:t>
      </w:r>
    </w:p>
    <w:p>
      <w:pPr>
        <w:pStyle w:val="Code"/>
      </w:pPr>
      <w:r>
        <w:t>Normalized result (conceptual):</w:t>
      </w:r>
    </w:p>
    <w:p>
      <w:pPr>
        <w:pStyle w:val="Code"/>
      </w:pPr>
      <w:r>
        <w:t>{</w:t>
      </w:r>
    </w:p>
    <w:p>
      <w:pPr>
        <w:pStyle w:val="Code"/>
      </w:pPr>
      <w:r>
        <w:t xml:space="preserve">  "provider": "jev | llm",</w:t>
      </w:r>
    </w:p>
    <w:p>
      <w:pPr>
        <w:pStyle w:val="Code"/>
      </w:pPr>
      <w:r>
        <w:t xml:space="preserve">  "route": "card_arrival",</w:t>
      </w:r>
    </w:p>
    <w:p>
      <w:pPr>
        <w:pStyle w:val="Code"/>
      </w:pPr>
      <w:r>
        <w:t xml:space="preserve">  "valid": true,</w:t>
      </w:r>
    </w:p>
    <w:p>
      <w:pPr>
        <w:pStyle w:val="Code"/>
      </w:pPr>
      <w:r>
        <w:t xml:space="preserve">  "latency_ms": 123,</w:t>
      </w:r>
    </w:p>
    <w:p>
      <w:pPr>
        <w:pStyle w:val="Code"/>
      </w:pPr>
      <w:r>
        <w:t xml:space="preserve">  "estimated_cost_usd": 0.00001,</w:t>
      </w:r>
    </w:p>
    <w:p>
      <w:pPr>
        <w:pStyle w:val="Code"/>
      </w:pPr>
      <w:r>
        <w:t xml:space="preserve">  "confidence": 0.94,</w:t>
      </w:r>
    </w:p>
    <w:p>
      <w:pPr>
        <w:pStyle w:val="Code"/>
      </w:pPr>
      <w:r>
        <w:t xml:space="preserve">  "usage": {...},</w:t>
      </w:r>
    </w:p>
    <w:p>
      <w:pPr>
        <w:pStyle w:val="Code"/>
      </w:pPr>
      <w:r>
        <w:t xml:space="preserve">  "error": null</w:t>
      </w:r>
    </w:p>
    <w:p>
      <w:pPr>
        <w:pStyle w:val="Code"/>
      </w:pPr>
      <w:r>
        <w:t>}</w:t>
      </w:r>
    </w:p>
    <w:p>
      <w:pPr>
        <w:pStyle w:val="Heading1"/>
      </w:pPr>
      <w:r>
        <w:t>8. Suggested Server Endpoints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rFonts w:ascii="Aptos" w:hAnsi="Aptos"/>
                <w:b/>
                <w:sz w:val="19"/>
              </w:rPr>
              <w:t>Endpoint</w:t>
            </w:r>
          </w:p>
        </w:tc>
        <w:tc>
          <w:tcPr>
            <w:tcW w:type="dxa" w:w="7344"/>
            <w:vAlign w:val="center"/>
            <w:shd w:fill="D9EAF7"/>
          </w:tcPr>
          <w:p>
            <w:r/>
            <w:r>
              <w:rPr>
                <w:rFonts w:ascii="Aptos" w:hAnsi="Aptos"/>
                <w:b/>
                <w:sz w:val="19"/>
              </w:rPr>
              <w:t>Purpose</w:t>
            </w:r>
          </w:p>
        </w:tc>
      </w:tr>
      <w:tr>
        <w:tc>
          <w:tcPr>
            <w:tcW w:type="dxa" w:w="2448"/>
            <w:vAlign w:val="center"/>
          </w:tcPr>
          <w:p>
            <w:r/>
            <w:r>
              <w:rPr>
                <w:rFonts w:ascii="Aptos" w:hAnsi="Aptos"/>
                <w:b w:val="0"/>
                <w:sz w:val="18"/>
              </w:rPr>
              <w:t>POST /api/compare</w:t>
            </w:r>
          </w:p>
        </w:tc>
        <w:tc>
          <w:tcPr>
            <w:tcW w:type="dxa" w:w="7344"/>
            <w:vAlign w:val="center"/>
          </w:tcPr>
          <w:p>
            <w:r/>
            <w:r>
              <w:rPr>
                <w:rFonts w:ascii="Aptos" w:hAnsi="Aptos"/>
                <w:b w:val="0"/>
                <w:sz w:val="18"/>
              </w:rPr>
              <w:t>Run one utterance through Jev and the LLM concurrently and return normalized results.</w:t>
            </w:r>
          </w:p>
        </w:tc>
      </w:tr>
      <w:tr>
        <w:tc>
          <w:tcPr>
            <w:tcW w:type="dxa" w:w="2448"/>
            <w:vAlign w:val="center"/>
          </w:tcPr>
          <w:p>
            <w:r/>
            <w:r>
              <w:rPr>
                <w:rFonts w:ascii="Aptos" w:hAnsi="Aptos"/>
                <w:b w:val="0"/>
                <w:sz w:val="18"/>
              </w:rPr>
              <w:t>GET /api/example</w:t>
            </w:r>
          </w:p>
        </w:tc>
        <w:tc>
          <w:tcPr>
            <w:tcW w:type="dxa" w:w="7344"/>
            <w:vAlign w:val="center"/>
          </w:tcPr>
          <w:p>
            <w:r/>
            <w:r>
              <w:rPr>
                <w:rFonts w:ascii="Aptos" w:hAnsi="Aptos"/>
                <w:b w:val="0"/>
                <w:sz w:val="18"/>
              </w:rPr>
              <w:t>Return a random or seeded CLINC example without revealing its ground truth until comparison execution.</w:t>
            </w:r>
          </w:p>
        </w:tc>
      </w:tr>
      <w:tr>
        <w:tc>
          <w:tcPr>
            <w:tcW w:type="dxa" w:w="2448"/>
            <w:vAlign w:val="center"/>
          </w:tcPr>
          <w:p>
            <w:r/>
            <w:r>
              <w:rPr>
                <w:rFonts w:ascii="Aptos" w:hAnsi="Aptos"/>
                <w:b w:val="0"/>
                <w:sz w:val="18"/>
              </w:rPr>
              <w:t>POST /api/benchmark</w:t>
            </w:r>
          </w:p>
        </w:tc>
        <w:tc>
          <w:tcPr>
            <w:tcW w:type="dxa" w:w="7344"/>
            <w:vAlign w:val="center"/>
          </w:tcPr>
          <w:p>
            <w:r/>
            <w:r>
              <w:rPr>
                <w:rFonts w:ascii="Aptos" w:hAnsi="Aptos"/>
                <w:b w:val="0"/>
                <w:sz w:val="18"/>
              </w:rPr>
              <w:t>Run a bounded, seeded sample from the test split and return aggregate metrics plus disagreement records.</w:t>
            </w:r>
          </w:p>
        </w:tc>
      </w:tr>
      <w:tr>
        <w:tc>
          <w:tcPr>
            <w:tcW w:type="dxa" w:w="2448"/>
            <w:vAlign w:val="center"/>
          </w:tcPr>
          <w:p>
            <w:r/>
            <w:r>
              <w:rPr>
                <w:rFonts w:ascii="Aptos" w:hAnsi="Aptos"/>
                <w:b w:val="0"/>
                <w:sz w:val="18"/>
              </w:rPr>
              <w:t>GET /api/config/public</w:t>
            </w:r>
          </w:p>
        </w:tc>
        <w:tc>
          <w:tcPr>
            <w:tcW w:type="dxa" w:w="7344"/>
            <w:vAlign w:val="center"/>
          </w:tcPr>
          <w:p>
            <w:r/>
            <w:r>
              <w:rPr>
                <w:rFonts w:ascii="Aptos" w:hAnsi="Aptos"/>
                <w:b w:val="0"/>
                <w:sz w:val="18"/>
              </w:rPr>
              <w:t>Return safe public metadata such as active model names, dataset version, max benchmark size, and pricing timestamp.</w:t>
            </w:r>
          </w:p>
        </w:tc>
      </w:tr>
      <w:tr>
        <w:tc>
          <w:tcPr>
            <w:tcW w:type="dxa" w:w="2448"/>
            <w:vAlign w:val="center"/>
          </w:tcPr>
          <w:p>
            <w:r/>
            <w:r>
              <w:rPr>
                <w:rFonts w:ascii="Aptos" w:hAnsi="Aptos"/>
                <w:b w:val="0"/>
                <w:sz w:val="18"/>
              </w:rPr>
              <w:t>GET /api/health</w:t>
            </w:r>
          </w:p>
        </w:tc>
        <w:tc>
          <w:tcPr>
            <w:tcW w:type="dxa" w:w="7344"/>
            <w:vAlign w:val="center"/>
          </w:tcPr>
          <w:p>
            <w:r/>
            <w:r>
              <w:rPr>
                <w:rFonts w:ascii="Aptos" w:hAnsi="Aptos"/>
                <w:b w:val="0"/>
                <w:sz w:val="18"/>
              </w:rPr>
              <w:t>Basic provider/configuration health check without exposing secrets.</w:t>
            </w:r>
          </w:p>
        </w:tc>
      </w:tr>
    </w:tbl>
    <w:p/>
    <w:p>
      <w:r>
        <w:t>The compare endpoint should launch Jev and LLM calls concurrently so wall-clock UX is not dominated by sequential execution. However, latency metrics must record each provider’s individual call duration, not simply the total request duration.</w:t>
      </w:r>
    </w:p>
    <w:p>
      <w:pPr>
        <w:pStyle w:val="Heading1"/>
      </w:pPr>
      <w:r>
        <w:t>9. Benchmark Fairness and Measurement</w:t>
      </w:r>
    </w:p>
    <w:p>
      <w:r>
        <w:t>Use server-side monotonic timing around each provider call. Record cold-start and network effects but make them visible rather than pretending they do not exist. If the same deployment region cannot be used for both providers, state that limitation in the methodology page. A public benchmark should be run multiple times before making strong latency claims because network variance can dominate small model-call differences.</w:t>
      </w:r>
    </w:p>
    <w:p>
      <w:r>
        <w:t>Cost should be calculated from actual input/output usage where the provider returns usage data. If Jev uses a different billing unit, normalize the displayed result to estimated USD per request and show the formula/source timestamp in the methodology. Do not hard-code a marketing multiple such as “200x cheaper”; calculate observed cost under the current configuration.</w:t>
      </w:r>
    </w:p>
    <w:p>
      <w:r>
        <w:t>Accuracy should be computed from exact match to the canonical 150-intent target identifier. Do not award primary-credit for selecting the correct broad domain when the exact intent is wrong. Any display aliases should be canonicalized back to the official intent identifier before scoring. If a request fails because of a provider error, timeout, schema error, or rate limit, record that as a failed run and report reliability separately from accuracy. Never silently drop failed examples from the denominator.</w:t>
      </w:r>
    </w:p>
    <w:p>
      <w:r>
        <w:t>For OOS evaluation, add a dedicated canonical route such as out_of_scope and configure both systems identically, producing a 151-choice benchmark when OOS is enabled. OOS may be shipped in the MVP or activated as a clearly labeled benchmark mode, but it should use the same exact-match discipline as in-scope testing. OOS is important because CLINC was explicitly created to evaluate intent systems in the presence of unsupported requests.</w:t>
      </w:r>
    </w:p>
    <w:p>
      <w:pPr>
        <w:pStyle w:val="Heading1"/>
      </w:pPr>
      <w:r>
        <w:t>10. Public-App Security and Cost Controls</w:t>
      </w:r>
    </w:p>
    <w:p>
      <w:r>
        <w:t>Store JEV_API_KEY and the LLM provider key only in server environment variables. Never embed them in client JavaScript. Add per-IP or session rate limits to Compare Mode and much stricter limits to Benchmark Mode. Apply a hard server-side maximum sample size even if the browser is manipulated. Set provider timeouts and concurrency caps so a single public request cannot spawn unbounded calls.</w:t>
      </w:r>
    </w:p>
    <w:p>
      <w:r>
        <w:t>Do not store arbitrary user text by default. If product analytics are desired, store event metadata without raw prompts, or explicitly disclose prompt retention. Sanitize trace data before returning it to the browser. Add abuse controls for extremely long inputs and reject inputs above a reasonable character/token threshold because this is a routing demo, not a general chat endpoint.</w:t>
      </w:r>
    </w:p>
    <w:p>
      <w:r>
        <w:t>To avoid surprise spend, maintain a daily usage ceiling and fail gracefully with a “demo limit reached” response. A cache can optionally store results for known CLINC test utterances keyed by model version and benchmark configuration; user-authored requests should usually remain live so the app still feels interactive.</w:t>
      </w:r>
    </w:p>
    <w:p>
      <w:pPr>
        <w:pStyle w:val="Heading1"/>
      </w:pPr>
      <w:r>
        <w:t>11. UI / Visual Specification</w:t>
      </w:r>
    </w:p>
    <w:p>
      <w:r>
        <w:t>The interface should feel like a technical lab rather than a chatbot. Use a neutral light or dark design with strong visual symmetry between the two lanes. Avoid visually favoring Jev or the LLM. Place model names and versions directly on the cards. The first screen should explain the task in one sentence: “Same request. Same routing choices. Two different model architectures.”</w:t>
      </w:r>
    </w:p>
    <w:p>
      <w:r>
        <w:t>For a dataset example, show the utterance first. During execution, animate both lanes independently. After completion, reveal the ground truth in a centered strip below the two cards. Correctness should be shown with simple status labels. The key metrics immediately visible should be route, correctness, latency, and cost; confidence and trace detail can sit one level deeper.</w:t>
      </w:r>
    </w:p>
    <w:p>
      <w:r>
        <w:t>Benchmark Mode should use a compact results table plus a small number of charts. Recommended charts are latency distribution, exact-intent accuracy grouped by domain, and Jev confidence vs correctness. A disagreement explorer should let the visitor inspect individual examples where the two systems differ, including cases where both land in the correct broad domain but choose different fine-grained intents.</w:t>
      </w:r>
    </w:p>
    <w:p>
      <w:pPr>
        <w:pStyle w:val="Heading1"/>
      </w:pPr>
      <w:r>
        <w:t>12. MVP Scope and Build Sequence</w:t>
      </w:r>
    </w:p>
    <w:p>
      <w:r>
        <w:t>Milestone 1 is dataset preparation. Download the authoritative CLINC source, normalize records to the schema in this document, preserve all 150 canonical intent labels, add the domain mapping as secondary metadata, preserve train/validation/test and OOS flags, add attribution/license files, and write automated checks for expected record counts, unique intent count, split integrity, and valid domain metadata.</w:t>
      </w:r>
    </w:p>
    <w:p>
      <w:r>
        <w:t>Milestone 2 is the model adapter layer. Implement the LLM router with native structured outputs where available and the full 150-intent choice set, implement the Jev decision call with the same 150 choices using current official TypeSafe documentation, normalize both into the same internal result shape, and write unit tests with mocked provider responses.</w:t>
      </w:r>
    </w:p>
    <w:p>
      <w:r>
        <w:t>Milestone 3 is Compare Mode. Build the one-input UI, dataset example selector, concurrent server call, result cards, ground-truth reveal, and trace drawer. At this point the product is already shareable.</w:t>
      </w:r>
    </w:p>
    <w:p>
      <w:r>
        <w:t>Milestone 4 is Benchmark Mode. Add deterministic seeded sampling from the held-out split, bounded concurrency, aggregate metrics, disagreement records, and downloadable JSON results if useful. Verify that failed provider calls remain visible in metrics.</w:t>
      </w:r>
    </w:p>
    <w:p>
      <w:r>
        <w:t>Milestone 5 is public deployment hardening. Add server-side secrets, rate limiting, input limits, cost ceilings, logging, error states, methodology/about page, dataset attribution, and provider/model version display. Deploy and run a fixed smoke-test suite before sharing the URL.</w:t>
      </w:r>
    </w:p>
    <w:p>
      <w:pPr>
        <w:pStyle w:val="Heading1"/>
      </w:pPr>
      <w:r>
        <w:t>13. MVP Acceptance Criteria</w:t>
      </w:r>
    </w:p>
    <w:p>
      <w:r>
        <w:t>A visitor can submit any short utterance and receive both Jev and LLM routing results in one interaction. A visitor can request a CLINC example and, after execution, see the hidden exact-intent ground truth, broader domain context, and correctness for both models. The app never exposes provider secrets. The same 150-intent route set is used across both paths. Every result displays model/version and measured latency. LLM output is schema-validated and restricted to canonical intent identifiers. Jev confidence/probability information is displayed when available from the active API. Test-set benchmarks are reproducible from a stored seed and configuration. Benchmark failures are counted rather than discarded. The deployed app includes CLINC attribution/license information and a methodology page that explains exactly what is being compared.</w:t>
      </w:r>
    </w:p>
    <w:p>
      <w:pPr>
        <w:pStyle w:val="Heading1"/>
      </w:pPr>
      <w:r>
        <w:t>14. Version 2 Extensions</w:t>
      </w:r>
    </w:p>
    <w:p>
      <w:r>
        <w:t>Add OOS detection as a first-class extension to the 150-intent benchmark and measure false accepts/false rejects. Add confidence-threshold routing in which Jev can automatically route high-confidence requests and fall back to an LLM or human-review mock path below a threshold. A further extension can turn the exact intent into an executable mock workflow, so the 150-way classifier becomes the control layer for a larger agentic system.</w:t>
      </w:r>
    </w:p>
    <w:p>
      <w:r>
        <w:t>The most compelling agentic extension is to attach mock or safe read-only tools to several routes. A weather request could call a weather mock, a banking request a synthetic account-data tool, and a knowledge request a small RAG corpus. The comparison then becomes not merely “which label was chosen?” but “how does the routing decision control a larger workflow?” Keep the actual downstream tool behavior identical so only routing differs.</w:t>
      </w:r>
    </w:p>
    <w:p>
      <w:r>
        <w:t>A further research mode could compare three systems: traditional LLM router, Jev router, and a small conventional classifier baseline. That would help distinguish “Jev vs LLM” from the broader question of when a specialized decision model is preferable to generative inference.</w:t>
      </w:r>
    </w:p>
    <w:p>
      <w:pPr>
        <w:pStyle w:val="Heading1"/>
      </w:pPr>
      <w:r>
        <w:t>15. Handoff Prompt for the Coding Agent</w:t>
      </w:r>
    </w:p>
    <w:p>
      <w:r>
        <w:t>Build a production-quality public web application called “Jev vs LLM Router Lab.” It compares a traditional structured-output LLM router with TypeSafe AI Jev on the same routing task. Use CLINC150 as the benchmark dataset. The primary task is exact 150-way intent routing: preserve all canonical intent labels and the held-out test split, and score both systems against the exact intent ground truth. Maintain the 10-domain mapping only as secondary metadata for UI grouping and error analysis. Bundle the normalized dataset with the server deployment; do not rely on a developer machine or runtime Hugging Face download.</w:t>
      </w:r>
    </w:p>
    <w:p>
      <w:r>
        <w:t>Implement Compare, Benchmark, and How It Works views. Compare accepts a user utterance or a hidden-ground-truth CLINC example, runs Jev and the LLM concurrently against the same 150 allowed intents, and displays selected exact intent, broader domain context, correctness when known, latency, estimated cost, validity/reliability information, and Jev confidence/probabilities. Provide trace drawers that explain each path without exposing secrets. Benchmark runs a bounded seeded sample from the held-out test split and reports exact-intent accuracy, average/p95 latency, estimated cost, failure/schema-validity rate, disagreement rate, accuracy grouped by domain, and OOS metrics when enabled.</w:t>
      </w:r>
    </w:p>
    <w:p>
      <w:r>
        <w:t>Keep API keys strictly server-side. Add rate limiting, input-length limits, concurrency limits, timeouts, daily cost protection, robust error handling, and model/version metadata. Use current official TypeSafe Jev documentation for the exact API schema and current provider documentation for the LLM structured-output implementation. Do not intentionally weaken either system. The same 150 canonical intents and same input must be used for both paths. Add automated tests for dataset integrity, 150-intent label integrity, secondary domain mapping, result normalization, exact-match scoring, and failed-call handling. Deploy the finished app to a public host and include a clear methodology and attribution page.</w:t>
      </w:r>
    </w:p>
    <w:p>
      <w:pPr>
        <w:pStyle w:val="Heading1"/>
      </w:pPr>
      <w:r>
        <w:t>16. Recommended Defaults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rFonts w:ascii="Aptos" w:hAnsi="Aptos"/>
                <w:b/>
                <w:sz w:val="19"/>
              </w:rPr>
              <w:t>Decision</w:t>
            </w:r>
          </w:p>
        </w:tc>
        <w:tc>
          <w:tcPr>
            <w:tcW w:type="dxa" w:w="6912"/>
            <w:vAlign w:val="center"/>
            <w:shd w:fill="D9EAF7"/>
          </w:tcPr>
          <w:p>
            <w:r/>
            <w:r>
              <w:rPr>
                <w:rFonts w:ascii="Aptos" w:hAnsi="Aptos"/>
                <w:b/>
                <w:sz w:val="19"/>
              </w:rPr>
              <w:t>Recommended default</w:t>
            </w:r>
          </w:p>
        </w:tc>
      </w:tr>
      <w:tr>
        <w:tc>
          <w:tcPr>
            <w:tcW w:type="dxa" w:w="2880"/>
            <w:vAlign w:val="center"/>
          </w:tcPr>
          <w:p>
            <w:r/>
            <w:r>
              <w:rPr>
                <w:rFonts w:ascii="Aptos" w:hAnsi="Aptos"/>
                <w:b w:val="0"/>
                <w:sz w:val="18"/>
              </w:rPr>
              <w:t>Frontend/full stack</w:t>
            </w:r>
          </w:p>
        </w:tc>
        <w:tc>
          <w:tcPr>
            <w:tcW w:type="dxa" w:w="6912"/>
            <w:vAlign w:val="center"/>
          </w:tcPr>
          <w:p>
            <w:r/>
            <w:r>
              <w:rPr>
                <w:rFonts w:ascii="Aptos" w:hAnsi="Aptos"/>
                <w:b w:val="0"/>
                <w:sz w:val="18"/>
              </w:rPr>
              <w:t>Next.js + TypeScript, unless the build agent has a strong reason to use a separate Python backend.</w:t>
            </w:r>
          </w:p>
        </w:tc>
      </w:tr>
      <w:tr>
        <w:tc>
          <w:tcPr>
            <w:tcW w:type="dxa" w:w="2880"/>
            <w:vAlign w:val="center"/>
          </w:tcPr>
          <w:p>
            <w:r/>
            <w:r>
              <w:rPr>
                <w:rFonts w:ascii="Aptos" w:hAnsi="Aptos"/>
                <w:b w:val="0"/>
                <w:sz w:val="18"/>
              </w:rPr>
              <w:t>Deployment</w:t>
            </w:r>
          </w:p>
        </w:tc>
        <w:tc>
          <w:tcPr>
            <w:tcW w:type="dxa" w:w="6912"/>
            <w:vAlign w:val="center"/>
          </w:tcPr>
          <w:p>
            <w:r/>
            <w:r>
              <w:rPr>
                <w:rFonts w:ascii="Aptos" w:hAnsi="Aptos"/>
                <w:b w:val="0"/>
                <w:sz w:val="18"/>
              </w:rPr>
              <w:t>Vercel for the app; use a separate backend only if required by Jev SDK/runtime or long benchmark jobs.</w:t>
            </w:r>
          </w:p>
        </w:tc>
      </w:tr>
      <w:tr>
        <w:tc>
          <w:tcPr>
            <w:tcW w:type="dxa" w:w="2880"/>
            <w:vAlign w:val="center"/>
          </w:tcPr>
          <w:p>
            <w:r/>
            <w:r>
              <w:rPr>
                <w:rFonts w:ascii="Aptos" w:hAnsi="Aptos"/>
                <w:b w:val="0"/>
                <w:sz w:val="18"/>
              </w:rPr>
              <w:t>Dataset storage</w:t>
            </w:r>
          </w:p>
        </w:tc>
        <w:tc>
          <w:tcPr>
            <w:tcW w:type="dxa" w:w="6912"/>
            <w:vAlign w:val="center"/>
          </w:tcPr>
          <w:p>
            <w:r/>
            <w:r>
              <w:rPr>
                <w:rFonts w:ascii="Aptos" w:hAnsi="Aptos"/>
                <w:b w:val="0"/>
                <w:sz w:val="18"/>
              </w:rPr>
              <w:t>Versioned JSON/Parquet bundled with server deployment.</w:t>
            </w:r>
          </w:p>
        </w:tc>
      </w:tr>
      <w:tr>
        <w:tc>
          <w:tcPr>
            <w:tcW w:type="dxa" w:w="2880"/>
            <w:vAlign w:val="center"/>
          </w:tcPr>
          <w:p>
            <w:r/>
            <w:r>
              <w:rPr>
                <w:rFonts w:ascii="Aptos" w:hAnsi="Aptos"/>
                <w:b w:val="0"/>
                <w:sz w:val="18"/>
              </w:rPr>
              <w:t>Primary benchmark target</w:t>
            </w:r>
          </w:p>
        </w:tc>
        <w:tc>
          <w:tcPr>
            <w:tcW w:type="dxa" w:w="6912"/>
            <w:vAlign w:val="center"/>
          </w:tcPr>
          <w:p>
            <w:r>
              <w:t>150 canonical CLINC intents (exact-match scoring).</w:t>
            </w:r>
          </w:p>
        </w:tc>
      </w:tr>
      <w:tr>
        <w:tc>
          <w:tcPr>
            <w:tcW w:type="dxa" w:w="2880"/>
            <w:vAlign w:val="center"/>
          </w:tcPr>
          <w:p>
            <w:r>
              <w:t>Secondary / advanced target</w:t>
            </w:r>
          </w:p>
        </w:tc>
        <w:tc>
          <w:tcPr>
            <w:tcW w:type="dxa" w:w="6912"/>
            <w:vAlign w:val="center"/>
          </w:tcPr>
          <w:p>
            <w:r>
              <w:t>OOS-enabled 151-choice benchmark; confidence-gated fallback and executable mock workflows.</w:t>
            </w:r>
          </w:p>
        </w:tc>
      </w:tr>
      <w:tr>
        <w:tc>
          <w:tcPr>
            <w:tcW w:type="dxa" w:w="2880"/>
            <w:vAlign w:val="center"/>
          </w:tcPr>
          <w:p>
            <w:r/>
            <w:r>
              <w:rPr>
                <w:rFonts w:ascii="Aptos" w:hAnsi="Aptos"/>
                <w:b w:val="0"/>
                <w:sz w:val="18"/>
              </w:rPr>
              <w:t>Benchmark split</w:t>
            </w:r>
          </w:p>
        </w:tc>
        <w:tc>
          <w:tcPr>
            <w:tcW w:type="dxa" w:w="6912"/>
            <w:vAlign w:val="center"/>
          </w:tcPr>
          <w:p>
            <w:r/>
            <w:r>
              <w:rPr>
                <w:rFonts w:ascii="Aptos" w:hAnsi="Aptos"/>
                <w:b w:val="0"/>
                <w:sz w:val="18"/>
              </w:rPr>
              <w:t>Held-out test only.</w:t>
            </w:r>
          </w:p>
        </w:tc>
      </w:tr>
      <w:tr>
        <w:tc>
          <w:tcPr>
            <w:tcW w:type="dxa" w:w="2880"/>
            <w:vAlign w:val="center"/>
          </w:tcPr>
          <w:p>
            <w:r/>
            <w:r>
              <w:rPr>
                <w:rFonts w:ascii="Aptos" w:hAnsi="Aptos"/>
                <w:b w:val="0"/>
                <w:sz w:val="18"/>
              </w:rPr>
              <w:t>Public sample sizes</w:t>
            </w:r>
          </w:p>
        </w:tc>
        <w:tc>
          <w:tcPr>
            <w:tcW w:type="dxa" w:w="6912"/>
            <w:vAlign w:val="center"/>
          </w:tcPr>
          <w:p>
            <w:r/>
            <w:r>
              <w:rPr>
                <w:rFonts w:ascii="Aptos" w:hAnsi="Aptos"/>
                <w:b w:val="0"/>
                <w:sz w:val="18"/>
              </w:rPr>
              <w:t>25 / 50 / 100, with server-side cap.</w:t>
            </w:r>
          </w:p>
        </w:tc>
      </w:tr>
      <w:tr>
        <w:tc>
          <w:tcPr>
            <w:tcW w:type="dxa" w:w="2880"/>
            <w:vAlign w:val="center"/>
          </w:tcPr>
          <w:p>
            <w:r/>
            <w:r>
              <w:rPr>
                <w:rFonts w:ascii="Aptos" w:hAnsi="Aptos"/>
                <w:b w:val="0"/>
                <w:sz w:val="18"/>
              </w:rPr>
              <w:t>Model execution</w:t>
            </w:r>
          </w:p>
        </w:tc>
        <w:tc>
          <w:tcPr>
            <w:tcW w:type="dxa" w:w="6912"/>
            <w:vAlign w:val="center"/>
          </w:tcPr>
          <w:p>
            <w:r/>
            <w:r>
              <w:rPr>
                <w:rFonts w:ascii="Aptos" w:hAnsi="Aptos"/>
                <w:b w:val="0"/>
                <w:sz w:val="18"/>
              </w:rPr>
              <w:t>Concurrent calls for Compare Mode; bounded parallelism for Benchmark Mode.</w:t>
            </w:r>
          </w:p>
        </w:tc>
      </w:tr>
      <w:tr>
        <w:tc>
          <w:tcPr>
            <w:tcW w:type="dxa" w:w="2880"/>
            <w:vAlign w:val="center"/>
          </w:tcPr>
          <w:p>
            <w:r/>
            <w:r>
              <w:rPr>
                <w:rFonts w:ascii="Aptos" w:hAnsi="Aptos"/>
                <w:b w:val="0"/>
                <w:sz w:val="18"/>
              </w:rPr>
              <w:t>Persistence</w:t>
            </w:r>
          </w:p>
        </w:tc>
        <w:tc>
          <w:tcPr>
            <w:tcW w:type="dxa" w:w="6912"/>
            <w:vAlign w:val="center"/>
          </w:tcPr>
          <w:p>
            <w:r/>
            <w:r>
              <w:rPr>
                <w:rFonts w:ascii="Aptos" w:hAnsi="Aptos"/>
                <w:b w:val="0"/>
                <w:sz w:val="18"/>
              </w:rPr>
              <w:t>None required for MVP; optional database for analytics/run history.</w:t>
            </w:r>
          </w:p>
        </w:tc>
      </w:tr>
      <w:tr>
        <w:tc>
          <w:tcPr>
            <w:tcW w:type="dxa" w:w="2880"/>
            <w:vAlign w:val="center"/>
          </w:tcPr>
          <w:p>
            <w:r/>
            <w:r>
              <w:rPr>
                <w:rFonts w:ascii="Aptos" w:hAnsi="Aptos"/>
                <w:b w:val="0"/>
                <w:sz w:val="18"/>
              </w:rPr>
              <w:t>Secrets</w:t>
            </w:r>
          </w:p>
        </w:tc>
        <w:tc>
          <w:tcPr>
            <w:tcW w:type="dxa" w:w="6912"/>
            <w:vAlign w:val="center"/>
          </w:tcPr>
          <w:p>
            <w:r/>
            <w:r>
              <w:rPr>
                <w:rFonts w:ascii="Aptos" w:hAnsi="Aptos"/>
                <w:b w:val="0"/>
                <w:sz w:val="18"/>
              </w:rPr>
              <w:t>Server environment variables only.</w:t>
            </w:r>
          </w:p>
        </w:tc>
      </w:tr>
      <w:tr>
        <w:tc>
          <w:tcPr>
            <w:tcW w:type="dxa" w:w="2880"/>
            <w:vAlign w:val="center"/>
          </w:tcPr>
          <w:p>
            <w:r/>
            <w:r>
              <w:rPr>
                <w:rFonts w:ascii="Aptos" w:hAnsi="Aptos"/>
                <w:b w:val="0"/>
                <w:sz w:val="18"/>
              </w:rPr>
              <w:t>Result philosophy</w:t>
            </w:r>
          </w:p>
        </w:tc>
        <w:tc>
          <w:tcPr>
            <w:tcW w:type="dxa" w:w="6912"/>
            <w:vAlign w:val="center"/>
          </w:tcPr>
          <w:p>
            <w:r/>
            <w:r>
              <w:rPr>
                <w:rFonts w:ascii="Aptos" w:hAnsi="Aptos"/>
                <w:b w:val="0"/>
                <w:sz w:val="18"/>
              </w:rPr>
              <w:t>Show multiple metrics; do not collapse them into a single winner score.</w:t>
            </w:r>
          </w:p>
        </w:tc>
      </w:tr>
    </w:tbl>
    <w:p/>
    <w:p>
      <w:pPr>
        <w:pStyle w:val="Heading1"/>
      </w:pPr>
      <w:r>
        <w:t>17. Source Notes</w:t>
      </w:r>
    </w:p>
    <w:p>
      <w:r>
        <w:t>CLINC / OOS evaluation repository: https://github.com/clinc/oos-eval — authoritative split counts and description of the out-of-scope evaluation task.</w:t>
      </w:r>
    </w:p>
    <w:p>
      <w:r>
        <w:t>Bavard NLU meta-dataset: https://github.com/bavard-ai/nlu-meta-dataset — documents a 10-domain / 150-intent organization for CLINC150 and identifies CLINC150 licensing as CC BY 3.0. Verify the exact license file in the dataset source used by the implementation and ship the required attribution.</w:t>
      </w:r>
    </w:p>
    <w:p>
      <w:r>
        <w:t>TypeSafe AI: https://typesafe.ai/ — describes Jev as a System One Model for typed decisions inside software, returning probabilities/confidence. API syntax, model identifiers, and pricing should be read from the current official TypeSafe documentation at implementation time because they may change.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Jev vs LLM Router App — Product &amp;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466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8"/>
    </w:pPr>
    <w:rPr>
      <w:rFonts w:ascii="Consolas" w:hAnsi="Consolas"/>
      <w:sz w:val="18"/>
    </w:rPr>
  </w:style>
  <w:style w:type="paragraph" w:customStyle="1" w:styleId="Callout">
    <w:name w:val="Callout"/>
    <w:pPr>
      <w:spacing w:before="100" w:after="160"/>
      <w:ind w:left="259" w:right="259"/>
    </w:pPr>
    <w:rPr>
      <w:rFonts w:ascii="Aptos" w:hAnsi="Aptos"/>
      <w:b/>
      <w:color w:val="19375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