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API Request–Response Lifecycle Diagram </w:t>
      </w:r>
      <w:r w:rsidDel="00000000" w:rsidR="00000000" w:rsidRPr="00000000">
        <w:rPr>
          <w:rtl w:val="0"/>
        </w:rPr>
        <w:br w:type="textWrapping"/>
        <w:br w:type="textWrapping"/>
        <w:t xml:space="preserve">                 API REQUEST–RESPONSE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Client (Browser)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| 1. Send HTTP Request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|    (GET / POST / PUT / PATCH / DELETE)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    API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(Web Server)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| 2. Validate Request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| 3. Authenticate User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| 4. Process Business Logic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| 5. Read/Write Database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   Database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| 6. Return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      API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| 7. Send HTTP Response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|    Status + Headers + Body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Client Receives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    Response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