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sz w:val="30"/>
          <w:szCs w:val="30"/>
        </w:rPr>
        <w:t xml:space="preserve">Reino Unido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8EEF7" w:color="auto" w:val="clear"/>
            <w:tcMar>
              <w:top w:type="dxa" w:w="80"/>
              <w:left w:type="dxa" w:w="100"/>
              <w:bottom w:type="dxa" w:w="80"/>
              <w:right w:type="dxa" w:w="100"/>
            </w:tcMar>
          </w:tcPr>
          <w:p>
            <w:pPr>
              <w:spacing w:after="60"/>
            </w:pPr>
            <w:r>
              <w:rPr>
                <w:b/>
                <w:bCs/>
                <w:sz w:val="19"/>
                <w:szCs w:val="19"/>
              </w:rPr>
              <w:t xml:space="preserve">1. País</w:t>
            </w:r>
          </w:p>
        </w:tc>
        <w:tc>
          <w:tcPr>
            <w:tcW w:type="dxa" w:w="6900"/>
            <w:tcMar>
              <w:top w:type="dxa" w:w="80"/>
              <w:left w:type="dxa" w:w="100"/>
              <w:bottom w:type="dxa" w:w="80"/>
              <w:right w:type="dxa" w:w="100"/>
            </w:tcMar>
          </w:tcPr>
          <w:p>
            <w:pPr>
              <w:spacing w:after="60"/>
            </w:pPr>
            <w:r>
              <w:rPr>
                <w:b w:val="false"/>
                <w:bCs w:val="false"/>
                <w:sz w:val="19"/>
                <w:szCs w:val="19"/>
              </w:rPr>
              <w:t xml:space="preserve">Reino Unido (Inglaterra, País de Gales, Escócia e Irlanda do Norte; regras de insolvência têm variações para a Escócia).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2. Regulador ou acreditador (nome oficial, sigla, URL)</w:t>
            </w:r>
          </w:p>
        </w:tc>
        <w:tc>
          <w:tcPr>
            <w:tcW w:type="dxa" w:w="6900"/>
            <w:tcMar>
              <w:top w:type="dxa" w:w="80"/>
              <w:left w:type="dxa" w:w="100"/>
              <w:bottom w:type="dxa" w:w="80"/>
              <w:right w:type="dxa" w:w="100"/>
            </w:tcMar>
          </w:tcPr>
          <w:p>
            <w:pPr>
              <w:spacing w:after="60"/>
            </w:pPr>
            <w:r>
              <w:rPr>
                <w:b w:val="false"/>
                <w:bCs w:val="false"/>
                <w:sz w:val="19"/>
                <w:szCs w:val="19"/>
              </w:rPr>
              <w:t xml:space="preserve">UK Visas and Immigration (UKVI), parte do Home Office, concede a Student sponsor licence (https://www.gov.uk/guidance/apply-for-a-student-sponsor-licence). Fiscalização educacional exigida do patrocinador: Quality Assurance Agency (QAA) no ensino superior e Independent Schools Inspectorate (ISI) em further education e escolas privadas. Credenciamento voluntário de qualidade para escolas de inglês, não obrigatório para o visto: Accreditation UK, esquema conjunto do British Council e da associação English UK (https://www.britishcouncil.org/education/accreditation, https://www.englishuk.com/en/agents/information-for-agents/about-accreditation-uk). Existe também o British Accreditation Council (BAC), acreditador privado alternativo e voluntário (https://www.the-bac.org/). Quem autoriza o visto é a licença de patrocinador da UKVI, não os acreditadores.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3. Base legal (lei ou regulamento)</w:t>
            </w:r>
          </w:p>
        </w:tc>
        <w:tc>
          <w:tcPr>
            <w:tcW w:type="dxa" w:w="6900"/>
            <w:tcMar>
              <w:top w:type="dxa" w:w="80"/>
              <w:left w:type="dxa" w:w="100"/>
              <w:bottom w:type="dxa" w:w="80"/>
              <w:right w:type="dxa" w:w="100"/>
            </w:tcMar>
          </w:tcPr>
          <w:p>
            <w:pPr>
              <w:spacing w:after="60"/>
            </w:pPr>
            <w:r>
              <w:rPr>
                <w:b w:val="false"/>
                <w:bCs w:val="false"/>
                <w:sz w:val="19"/>
                <w:szCs w:val="19"/>
              </w:rPr>
              <w:t xml:space="preserve">Immigration Act 1971 e as Immigration Rules, consolidadas em https://www.gov.uk/guidance/immigration-rules. Empresas: Companies Act 2006. Insolvência: Insolvency Act 1986 e Insolvency (England and Wales) Rules 2016.</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4. Registro obrigatório para receber estudante internacional (existe? nome e URL da lista pública)</w:t>
            </w:r>
          </w:p>
        </w:tc>
        <w:tc>
          <w:tcPr>
            <w:tcW w:type="dxa" w:w="6900"/>
            <w:tcMar>
              <w:top w:type="dxa" w:w="80"/>
              <w:left w:type="dxa" w:w="100"/>
              <w:bottom w:type="dxa" w:w="80"/>
              <w:right w:type="dxa" w:w="100"/>
            </w:tcMar>
          </w:tcPr>
          <w:p>
            <w:pPr>
              <w:spacing w:after="60"/>
            </w:pPr>
            <w:r>
              <w:rPr>
                <w:b w:val="false"/>
                <w:bCs w:val="false"/>
                <w:sz w:val="19"/>
                <w:szCs w:val="19"/>
              </w:rPr>
              <w:t xml:space="preserve">Sim. Nome oficial atual: Register of licensed sponsors: students. URL: https://www.gov.uk/government/publications/register-of-licensed-sponsors-students. O nome popular Home Office Student Sponsor Register não é o título oficial vigente.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5. Órgão de registro empresarial (nome oficial, URL de busca)</w:t>
            </w:r>
          </w:p>
        </w:tc>
        <w:tc>
          <w:tcPr>
            <w:tcW w:type="dxa" w:w="6900"/>
            <w:tcMar>
              <w:top w:type="dxa" w:w="80"/>
              <w:left w:type="dxa" w:w="100"/>
              <w:bottom w:type="dxa" w:w="80"/>
              <w:right w:type="dxa" w:w="100"/>
            </w:tcMar>
          </w:tcPr>
          <w:p>
            <w:pPr>
              <w:spacing w:after="60"/>
            </w:pPr>
            <w:r>
              <w:rPr>
                <w:b w:val="false"/>
                <w:bCs w:val="false"/>
                <w:sz w:val="19"/>
                <w:szCs w:val="19"/>
              </w:rPr>
              <w:t xml:space="preserve">Companies House, agência executiva do Department for Business and Trade. Busca: https://find-and-update.company-information.service.gov.uk/</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6. O que exatamente é público no registro (status e diretores, ou demonstrações financeiras completas; isenções)</w:t>
            </w:r>
          </w:p>
        </w:tc>
        <w:tc>
          <w:tcPr>
            <w:tcW w:type="dxa" w:w="6900"/>
            <w:tcMar>
              <w:top w:type="dxa" w:w="80"/>
              <w:left w:type="dxa" w:w="100"/>
              <w:bottom w:type="dxa" w:w="80"/>
              <w:right w:type="dxa" w:w="100"/>
            </w:tcMar>
          </w:tcPr>
          <w:p>
            <w:pPr>
              <w:spacing w:after="60"/>
            </w:pPr>
            <w:r>
              <w:rPr>
                <w:b w:val="false"/>
                <w:bCs w:val="false"/>
                <w:sz w:val="19"/>
                <w:szCs w:val="19"/>
              </w:rPr>
              <w:t xml:space="preserve">Público e gratuito: nome e número da empresa, endereço registrado, status, diretores atuais e anteriores, registro de Pessoas com Controle Significativo (PSC), histórico de arquivamentos e confirmation statement anual. ATENÇÃO: demonstrações financeiras completas (balanço detalhado e demonstração de resultado) não são obrigatoriamente públicas para micro entidades e small companies, que podem arquivar apenas balanço resumido, sem demonstração de resultado, com isenção de auditoria. Empresas dormentes arquivam contas mínimas equivalentes. A partir de abril de 2028, pela Economic Crime and Corporate Transparency Act 2023, pequenas empresas passarão a preparar a demonstração de resultado, mas poderão optar por não publicá-la.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7. Custo e necessidade de conta; defasagem entre fim do exercício e publicação das contas</w:t>
            </w:r>
          </w:p>
        </w:tc>
        <w:tc>
          <w:tcPr>
            <w:tcW w:type="dxa" w:w="6900"/>
            <w:tcMar>
              <w:top w:type="dxa" w:w="80"/>
              <w:left w:type="dxa" w:w="100"/>
              <w:bottom w:type="dxa" w:w="80"/>
              <w:right w:type="dxa" w:w="100"/>
            </w:tcMar>
          </w:tcPr>
          <w:p>
            <w:pPr>
              <w:spacing w:after="60"/>
            </w:pPr>
            <w:r>
              <w:rPr>
                <w:b w:val="false"/>
                <w:bCs w:val="false"/>
                <w:sz w:val="19"/>
                <w:szCs w:val="19"/>
              </w:rPr>
              <w:t xml:space="preserve">Consulta básica gratuita, sem conta. Cópias certificadas exigem conta e pagamento (valores não confirmados em fonte oficial nesta pesquisa). Prazo legal de entrega das contas: até 9 meses após o fim do exercício (21 meses para as primeiras contas após a incorporação). Atraso gera multa automática.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8. Registro de insolvência e diário oficial equivalente (URL)</w:t>
            </w:r>
          </w:p>
        </w:tc>
        <w:tc>
          <w:tcPr>
            <w:tcW w:type="dxa" w:w="6900"/>
            <w:tcMar>
              <w:top w:type="dxa" w:w="80"/>
              <w:left w:type="dxa" w:w="100"/>
              <w:bottom w:type="dxa" w:w="80"/>
              <w:right w:type="dxa" w:w="100"/>
            </w:tcMar>
          </w:tcPr>
          <w:p>
            <w:pPr>
              <w:spacing w:after="60"/>
            </w:pPr>
            <w:r>
              <w:rPr>
                <w:b w:val="false"/>
                <w:bCs w:val="false"/>
                <w:sz w:val="19"/>
                <w:szCs w:val="19"/>
              </w:rPr>
              <w:t xml:space="preserve">The Gazette, diário oficial do Reino Unido desde 1665 (TSO, HMSO, The National Archives), fonte primária de avisos de insolvência corporativa e pessoal: https://www.thegazette.co.uk/insolvency. Falência pessoal: Individual Insolvency Register, do Insolvency Service: https://www.insolvencydirect.bis.gov.uk/eiir/search. Liquidação compulsória (winding up) tramita na Companies Court, parte do HMCTS, e deve ser anunciada no The Gazette com pelo menos 7 dias úteis de antecedência da audiência.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9. Mecanismo de proteção financeira do aluno ou do agente (nome oficial, como acionar)</w:t>
            </w:r>
          </w:p>
        </w:tc>
        <w:tc>
          <w:tcPr>
            <w:tcW w:type="dxa" w:w="6900"/>
            <w:tcMar>
              <w:top w:type="dxa" w:w="80"/>
              <w:left w:type="dxa" w:w="100"/>
              <w:bottom w:type="dxa" w:w="80"/>
              <w:right w:type="dxa" w:w="100"/>
            </w:tcMar>
          </w:tcPr>
          <w:p>
            <w:pPr>
              <w:spacing w:after="60"/>
            </w:pPr>
            <w:r>
              <w:rPr>
                <w:b w:val="false"/>
                <w:bCs w:val="false"/>
                <w:sz w:val="19"/>
                <w:szCs w:val="19"/>
              </w:rPr>
              <w:t xml:space="preserve">Não existe fundo estatal obrigatório nem trust account regulado por lei equivalente ao ATOL do turismo para escolas de idiomas no Reino Unido. O único mecanismo identificado é voluntário, vinculado à Accreditation UK: o Student Emergency Support (SES), mantido pelo English UK, que ajuda a realocar o aluno em outro centro credenciado e cobre parcialmente acomodação e viagem em caso de fechamento inesperado do centro. Não é seguro nem garantia financeira integral, e só se aplica a escolas dentro do esquema Accreditation UK. Escolas fora do esquema não têm proteção formal equivalente identificada.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10. Substituto de análise financeira quando não há contas públicas</w:t>
            </w:r>
          </w:p>
        </w:tc>
        <w:tc>
          <w:tcPr>
            <w:tcW w:type="dxa" w:w="6900"/>
            <w:tcMar>
              <w:top w:type="dxa" w:w="80"/>
              <w:left w:type="dxa" w:w="100"/>
              <w:bottom w:type="dxa" w:w="80"/>
              <w:right w:type="dxa" w:w="100"/>
            </w:tcMar>
          </w:tcPr>
          <w:p>
            <w:pPr>
              <w:spacing w:after="60"/>
            </w:pPr>
            <w:r>
              <w:rPr>
                <w:b w:val="false"/>
                <w:bCs w:val="false"/>
                <w:sz w:val="19"/>
                <w:szCs w:val="19"/>
              </w:rPr>
              <w:t xml:space="preserve">Confirmation statement (só dados societários, sem dados financeiros); contas abreviadas/pequenas conforme arquivadas; histórico de filings no Companies House (atrasos, mudanças de diretor, avisos de dissolução ou strike off) como sinal indireto de risco; situação de credenciamento no British Council/Accreditation UK; agências de crédito privadas (Experian, Creditsafe, Dun &amp; Bradstreet), que são fontes comerciais, não oficiais.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11. Limitações: o que um agente brasileiro não consegue ver</w:t>
            </w:r>
          </w:p>
        </w:tc>
        <w:tc>
          <w:tcPr>
            <w:tcW w:type="dxa" w:w="6900"/>
            <w:tcMar>
              <w:top w:type="dxa" w:w="80"/>
              <w:left w:type="dxa" w:w="100"/>
              <w:bottom w:type="dxa" w:w="80"/>
              <w:right w:type="dxa" w:w="100"/>
            </w:tcMar>
          </w:tcPr>
          <w:p>
            <w:pPr>
              <w:spacing w:after="60"/>
            </w:pPr>
            <w:r>
              <w:rPr>
                <w:b w:val="false"/>
                <w:bCs w:val="false"/>
                <w:sz w:val="19"/>
                <w:szCs w:val="19"/>
              </w:rPr>
              <w:t xml:space="preserve">Sem demonstração de resultado pública de pequenas empresas e micro entidades até abril de 2028, e possivelmente depois; sem relatório de auditoria quando há isenção; sem visibilidade de fluxo de caixa, covenants bancários ou dívida não garantida por instrumento público; sem garantia estatal equivalente a bonding para escolas fora do Accreditation UK; rating do sponsor register reflete compliance migratório, não solvência; defasagem de até 9 (ou 21) meses entre fim do exercício e publicação das contas torna qualquer dado financeiro potencialmente desatualizado.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12. URL primária de cada afirmação e data da verificação</w:t>
            </w:r>
          </w:p>
        </w:tc>
        <w:tc>
          <w:tcPr>
            <w:tcW w:type="dxa" w:w="6900"/>
            <w:tcMar>
              <w:top w:type="dxa" w:w="80"/>
              <w:left w:type="dxa" w:w="100"/>
              <w:bottom w:type="dxa" w:w="80"/>
              <w:right w:type="dxa" w:w="100"/>
            </w:tcMar>
          </w:tcPr>
          <w:p>
            <w:pPr>
              <w:spacing w:after="60"/>
            </w:pPr>
            <w:r>
              <w:rPr>
                <w:b w:val="false"/>
                <w:bCs w:val="false"/>
                <w:sz w:val="19"/>
                <w:szCs w:val="19"/>
              </w:rPr>
              <w:t xml:space="preserve">URLs listadas em cada campo acima. Verificação em 12/09/2026, via busca indexada (WebSearch) com trecho e URL exata das páginas oficiais; o acesso direto (WebFetch) às páginas esteve bloqueado nesta sessão por política de rede do ambiente, sem carregamento independente completo da página.</w:t>
            </w:r>
          </w:p>
        </w:tc>
      </w:tr>
    </w:tbl>
    <w:p>
      <w:pPr>
        <w:pStyle w:val="Heading3"/>
        <w:spacing w:after="100" w:before="200"/>
      </w:pPr>
      <w:r>
        <w:rPr>
          <w:b/>
          <w:bCs/>
          <w:sz w:val="21"/>
          <w:szCs w:val="21"/>
        </w:rPr>
        <w:t xml:space="preserve">Notas</w:t>
      </w:r>
    </w:p>
    <w:p>
      <w:pPr>
        <w:pStyle w:val="ListParagraph"/>
        <w:numPr>
          <w:ilvl w:val="0"/>
          <w:numId w:val="1"/>
        </w:numPr>
        <w:spacing w:after="80"/>
      </w:pPr>
      <w:r>
        <w:rPr>
          <w:sz w:val="19"/>
          <w:szCs w:val="19"/>
        </w:rPr>
        <w:t xml:space="preserve">O nome Home Office Student Sponsor Register citado em listas de referência do setor não corresponde ao título oficial vigente; o nome oficial é Register of licensed sponsors: students.</w:t>
      </w:r>
    </w:p>
    <w:p>
      <w:pPr>
        <w:pStyle w:val="ListParagraph"/>
        <w:numPr>
          <w:ilvl w:val="0"/>
          <w:numId w:val="1"/>
        </w:numPr>
        <w:spacing w:after="80"/>
      </w:pPr>
      <w:r>
        <w:rPr>
          <w:sz w:val="19"/>
          <w:szCs w:val="19"/>
        </w:rPr>
        <w:t xml:space="preserve">Companies House e The Gazette seguem com nomes e funções corretos, sem indício de alteração recente.</w:t>
      </w:r>
    </w:p>
    <w:p>
      <w:pPr>
        <w:pStyle w:val="ListParagraph"/>
        <w:numPr>
          <w:ilvl w:val="0"/>
          <w:numId w:val="1"/>
        </w:numPr>
        <w:spacing w:after="80"/>
      </w:pPr>
      <w:r>
        <w:rPr>
          <w:sz w:val="19"/>
          <w:szCs w:val="19"/>
        </w:rPr>
        <w:t xml:space="preserve">HMCTS foi confirmado apenas como o órgão judicial que processa a petição de winding up via Companies Court; não mantém um registro de insolvência próprio e público no mesmo formato do Companies House ou do Individual Insolvency Register.</w:t>
      </w:r>
    </w:p>
    <w:p>
      <w:pPr>
        <w:pStyle w:val="ListParagraph"/>
        <w:numPr>
          <w:ilvl w:val="0"/>
          <w:numId w:val="1"/>
        </w:numPr>
        <w:spacing w:after="80"/>
      </w:pPr>
      <w:r>
        <w:rPr>
          <w:sz w:val="19"/>
          <w:szCs w:val="19"/>
        </w:rPr>
        <w:t xml:space="preserve">ATENÇÃO: demonstrações financeiras completas de empresas privadas pequenas ou micro não são públicas no Reino Unido hoje, e mesmo a reforma de abril de 2028 permite não publicar a demonstração de resultado.</w:t>
      </w:r>
    </w:p>
    <w:p>
      <w:pPr>
        <w:pStyle w:val="Heading1"/>
        <w:pageBreakBefore/>
        <w:spacing w:after="200" w:before="200"/>
      </w:pPr>
      <w:r>
        <w:rPr>
          <w:b/>
          <w:bCs/>
          <w:sz w:val="30"/>
          <w:szCs w:val="30"/>
        </w:rPr>
        <w:t xml:space="preserve">Irlanda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8EEF7" w:color="auto" w:val="clear"/>
            <w:tcMar>
              <w:top w:type="dxa" w:w="80"/>
              <w:left w:type="dxa" w:w="100"/>
              <w:bottom w:type="dxa" w:w="80"/>
              <w:right w:type="dxa" w:w="100"/>
            </w:tcMar>
          </w:tcPr>
          <w:p>
            <w:pPr>
              <w:spacing w:after="60"/>
            </w:pPr>
            <w:r>
              <w:rPr>
                <w:b/>
                <w:bCs/>
                <w:sz w:val="19"/>
                <w:szCs w:val="19"/>
              </w:rPr>
              <w:t xml:space="preserve">1. País</w:t>
            </w:r>
          </w:p>
        </w:tc>
        <w:tc>
          <w:tcPr>
            <w:tcW w:type="dxa" w:w="6900"/>
            <w:tcMar>
              <w:top w:type="dxa" w:w="80"/>
              <w:left w:type="dxa" w:w="100"/>
              <w:bottom w:type="dxa" w:w="80"/>
              <w:right w:type="dxa" w:w="100"/>
            </w:tcMar>
          </w:tcPr>
          <w:p>
            <w:pPr>
              <w:spacing w:after="60"/>
            </w:pPr>
            <w:r>
              <w:rPr>
                <w:b w:val="false"/>
                <w:bCs w:val="false"/>
                <w:sz w:val="19"/>
                <w:szCs w:val="19"/>
              </w:rPr>
              <w:t xml:space="preserve">Irlanda (Republic of Ireland).</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2. Regulador ou acreditador (nome oficial, sigla, URL)</w:t>
            </w:r>
          </w:p>
        </w:tc>
        <w:tc>
          <w:tcPr>
            <w:tcW w:type="dxa" w:w="6900"/>
            <w:tcMar>
              <w:top w:type="dxa" w:w="80"/>
              <w:left w:type="dxa" w:w="100"/>
              <w:bottom w:type="dxa" w:w="80"/>
              <w:right w:type="dxa" w:w="100"/>
            </w:tcMar>
          </w:tcPr>
          <w:p>
            <w:pPr>
              <w:spacing w:after="60"/>
            </w:pPr>
            <w:r>
              <w:rPr>
                <w:b w:val="false"/>
                <w:bCs w:val="false"/>
                <w:sz w:val="19"/>
                <w:szCs w:val="19"/>
              </w:rPr>
              <w:t xml:space="preserve">Quality and Qualifications Ireland (QQI), autarquia estatutária, autoriza o selo de Educação Internacional (International Education Mark, IEM), comercializado como TrustEd Ireland Quality Mark, para provedores de educação superior e de língua inglesa (https://www.qqi.ie/ ; https://www.qqi.ie/what-we-do/quality-assurance-of-education-and-training/what-is-trusted-ireland/ele). A ACELS (esquema voluntário de 1969) foi absorvida administrativamente pela QQI desde 2012, está fechada para novas inscrições e vem sendo substituída pelo IEM/TrustEd Ireland, de base estatutária. Para vistos, quem publica a lista de programas elegíveis é o Department of Justice, Immigration Service Delivery (ISD).</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3. Base legal (lei ou regulamento)</w:t>
            </w:r>
          </w:p>
        </w:tc>
        <w:tc>
          <w:tcPr>
            <w:tcW w:type="dxa" w:w="6900"/>
            <w:tcMar>
              <w:top w:type="dxa" w:w="80"/>
              <w:left w:type="dxa" w:w="100"/>
              <w:bottom w:type="dxa" w:w="80"/>
              <w:right w:type="dxa" w:w="100"/>
            </w:tcMar>
          </w:tcPr>
          <w:p>
            <w:pPr>
              <w:spacing w:after="60"/>
            </w:pPr>
            <w:r>
              <w:rPr>
                <w:b w:val="false"/>
                <w:bCs w:val="false"/>
                <w:sz w:val="19"/>
                <w:szCs w:val="19"/>
              </w:rPr>
              <w:t xml:space="preserve">Qualifications and Quality Assurance (Education and Training) Act 2012 (No. 28 de 2012), alterada pela lei de 2019. Parte 5 (artigos 60 a 63): selo IEM/TrustEd Ireland. Parte 6 (artigos 64 a 67, incluindo 66A): Proteção de Aprendizes Matriculados e Learner Protection Fund, versão em vigor desde 1/9/2024. https://revisedacts.lawreform.ie/eli/2012/act/28/revised/en/html</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4. Registro obrigatório para receber estudante internacional (existe? nome e URL da lista pública)</w:t>
            </w:r>
          </w:p>
        </w:tc>
        <w:tc>
          <w:tcPr>
            <w:tcW w:type="dxa" w:w="6900"/>
            <w:tcMar>
              <w:top w:type="dxa" w:w="80"/>
              <w:left w:type="dxa" w:w="100"/>
              <w:bottom w:type="dxa" w:w="80"/>
              <w:right w:type="dxa" w:w="100"/>
            </w:tcMar>
          </w:tcPr>
          <w:p>
            <w:pPr>
              <w:spacing w:after="60"/>
            </w:pPr>
            <w:r>
              <w:rPr>
                <w:b w:val="false"/>
                <w:bCs w:val="false"/>
                <w:sz w:val="19"/>
                <w:szCs w:val="19"/>
              </w:rPr>
              <w:t xml:space="preserve">Sim, em transição. Interim List of Eligible Programmes (ILEP), do Department of Justice/ISD, usada para decisões de visto, fechada a novos programas desde meados de 2025 (https://www.irishimmigration.ie/coming-to-study-in-ireland/what-are-my-study-options/interim-list-of-eligible-programmes-ilep/). TrustEd Ireland, selo estatutário publicado pela QQI, está substituindo o ILEP; segunda janela de candidatura fechou em 27/3/2026, decisões previstas para o fim de 2026 (https://www.qqi.ie/what-we-do/quality-assurance-of-education-and-training/what-is-trusted-ireland/ele). Recomenda-se checar as duas listas antes de considerar uma escola apta a receber aluno com visto.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5. Órgão de registro empresarial (nome oficial, URL de busca)</w:t>
            </w:r>
          </w:p>
        </w:tc>
        <w:tc>
          <w:tcPr>
            <w:tcW w:type="dxa" w:w="6900"/>
            <w:tcMar>
              <w:top w:type="dxa" w:w="80"/>
              <w:left w:type="dxa" w:w="100"/>
              <w:bottom w:type="dxa" w:w="80"/>
              <w:right w:type="dxa" w:w="100"/>
            </w:tcMar>
          </w:tcPr>
          <w:p>
            <w:pPr>
              <w:spacing w:after="60"/>
            </w:pPr>
            <w:r>
              <w:rPr>
                <w:b w:val="false"/>
                <w:bCs w:val="false"/>
                <w:sz w:val="19"/>
                <w:szCs w:val="19"/>
              </w:rPr>
              <w:t xml:space="preserve">Companies Registration Office (CRO), sob o Department of Enterprise, Trade and Employment. Busca via sistema CORE: https://cro.ie/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6. O que exatamente é público no registro (status e diretores, ou demonstrações financeiras completas; isenções)</w:t>
            </w:r>
          </w:p>
        </w:tc>
        <w:tc>
          <w:tcPr>
            <w:tcW w:type="dxa" w:w="6900"/>
            <w:tcMar>
              <w:top w:type="dxa" w:w="80"/>
              <w:left w:type="dxa" w:w="100"/>
              <w:bottom w:type="dxa" w:w="80"/>
              <w:right w:type="dxa" w:w="100"/>
            </w:tcMar>
          </w:tcPr>
          <w:p>
            <w:pPr>
              <w:spacing w:after="60"/>
            </w:pPr>
            <w:r>
              <w:rPr>
                <w:b w:val="false"/>
                <w:bCs w:val="false"/>
                <w:sz w:val="19"/>
                <w:szCs w:val="19"/>
              </w:rPr>
              <w:t xml:space="preserve">Público: nome, número CRO, tipo societário, situação (ativa, dissolvida, em liquidação, receivership, examinership ou strike off), data de constituição, endereço registrado, diretores/secretário e encargos registrados. ATENÇÃO: demonstrações financeiras completas não são necessariamente públicas. Small e micro companies podem usar Audit Exemption (isenção de auditoria, mas ainda exige contas não auditadas) e Small Company Abridgement Exemption (apenas balanço patrimonial resumido e notas, sem demonstração de resultado nem relatório de diretores). Critério de small company para exercícios a partir de 1/1/2024: não exceder dois de três limites (balanço total até 7,5 milhões de euros; faturamento líquido até 15 milhões de euros; até 50 empregados em média). Entidades do Fifth Schedule (majoritariamente financeiras) e companhias públicas não podem usar essas isenções.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7. Custo e necessidade de conta; defasagem entre fim do exercício e publicação das contas</w:t>
            </w:r>
          </w:p>
        </w:tc>
        <w:tc>
          <w:tcPr>
            <w:tcW w:type="dxa" w:w="6900"/>
            <w:tcMar>
              <w:top w:type="dxa" w:w="80"/>
              <w:left w:type="dxa" w:w="100"/>
              <w:bottom w:type="dxa" w:w="80"/>
              <w:right w:type="dxa" w:w="100"/>
            </w:tcMar>
          </w:tcPr>
          <w:p>
            <w:pPr>
              <w:spacing w:after="60"/>
            </w:pPr>
            <w:r>
              <w:rPr>
                <w:b w:val="false"/>
                <w:bCs w:val="false"/>
                <w:sz w:val="19"/>
                <w:szCs w:val="19"/>
              </w:rPr>
              <w:t xml:space="preserve">Busca de nome/status gratuita, sem conta. Download de documento arquivado exige conta gratuita (só e-mail) e pagamento por documento (referido como 3,50 euros, não confirmado em fonte oficial primária). Taxa de arquivamento do Annual Return, paga pela empresa: 20 euros. Defasagem típica: o prazo legal é o menor entre a Annual Return Date mais 56 dias, ou o fim do exercício mais 9 meses e 56 dias, ou seja, até aproximadamente 10 a 11 meses após o fim do exercício.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8. Registro de insolvência e diário oficial equivalente (URL)</w:t>
            </w:r>
          </w:p>
        </w:tc>
        <w:tc>
          <w:tcPr>
            <w:tcW w:type="dxa" w:w="6900"/>
            <w:tcMar>
              <w:top w:type="dxa" w:w="80"/>
              <w:left w:type="dxa" w:w="100"/>
              <w:bottom w:type="dxa" w:w="80"/>
              <w:right w:type="dxa" w:w="100"/>
            </w:tcMar>
          </w:tcPr>
          <w:p>
            <w:pPr>
              <w:spacing w:after="60"/>
            </w:pPr>
            <w:r>
              <w:rPr>
                <w:b w:val="false"/>
                <w:bCs w:val="false"/>
                <w:sz w:val="19"/>
                <w:szCs w:val="19"/>
              </w:rPr>
              <w:t xml:space="preserve">Iris Oifigiúil, diário oficial do Estado irlandês, publicado pelo Office of Public Works: https://www.irisoifigiuil.ie/. A própria CRO publica semanalmente, às quartas-feiras, o CRO Gazette, com notificações de liquidação, receivership, examinership e strike off: https://cro.ie/publications/cro-gazette/. O status de insolvência de uma empresa específica também aparece no cadastro público dela no CRO/CORE.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9. Mecanismo de proteção financeira do aluno ou do agente (nome oficial, como acionar)</w:t>
            </w:r>
          </w:p>
        </w:tc>
        <w:tc>
          <w:tcPr>
            <w:tcW w:type="dxa" w:w="6900"/>
            <w:tcMar>
              <w:top w:type="dxa" w:w="80"/>
              <w:left w:type="dxa" w:w="100"/>
              <w:bottom w:type="dxa" w:w="80"/>
              <w:right w:type="dxa" w:w="100"/>
            </w:tcMar>
          </w:tcPr>
          <w:p>
            <w:pPr>
              <w:spacing w:after="60"/>
            </w:pPr>
            <w:r>
              <w:rPr>
                <w:b w:val="false"/>
                <w:bCs w:val="false"/>
                <w:sz w:val="19"/>
                <w:szCs w:val="19"/>
              </w:rPr>
              <w:t xml:space="preserve">Learner Protection Fund, mecanismo estatutário centralizado (Parte 6 da lei de 2012 alterada), administrado pela QQI. Provedores autorizados (programas QQI de 3 meses ou mais, e agora também provedores de língua inglesa autorizados no TrustEd Ireland) pagam taxa anual obrigatória ao Fundo. Em caso de encerramento do provedor, a QQI busca realocar os alunos matriculados em outro provedor; quando isso não é possível, o aluno recebe reembolso das mensalidades mais recentemente pagas. O passo a passo exato de acionamento não foi confirmado em fonte oficial nesta pesquisa; consultar https://www.qqi.ie/what-we-do/quality-assurance-of-education-and-training/protection-of-enrolled-learners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10. Substituto de análise financeira quando não há contas públicas</w:t>
            </w:r>
          </w:p>
        </w:tc>
        <w:tc>
          <w:tcPr>
            <w:tcW w:type="dxa" w:w="6900"/>
            <w:tcMar>
              <w:top w:type="dxa" w:w="80"/>
              <w:left w:type="dxa" w:w="100"/>
              <w:bottom w:type="dxa" w:w="80"/>
              <w:right w:type="dxa" w:w="100"/>
            </w:tcMar>
          </w:tcPr>
          <w:p>
            <w:pPr>
              <w:spacing w:after="60"/>
            </w:pPr>
            <w:r>
              <w:rPr>
                <w:b w:val="false"/>
                <w:bCs w:val="false"/>
                <w:sz w:val="19"/>
                <w:szCs w:val="19"/>
              </w:rPr>
              <w:t xml:space="preserve">Status societário gratuito no CRO/CORE (empresa ativa, sem receiver, liquidator ou examiner nomeado, sem strike off em curso); histórico de cumprimento de prazos de Annual Return (atraso recorrente causa perda da isenção de auditoria); CRO Gazette e Iris Oifigiúil para avisos de insolvência; confirmação de autorização vigente no TrustEd Ireland/QQI e de que o provedor está em dia com o Learner Protection Fund, que por si reduz a criticidade de uma análise de balanço individual, desde que o provedor esteja autorizado e em dia.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11. Limitações: o que um agente brasileiro não consegue ver</w:t>
            </w:r>
          </w:p>
        </w:tc>
        <w:tc>
          <w:tcPr>
            <w:tcW w:type="dxa" w:w="6900"/>
            <w:tcMar>
              <w:top w:type="dxa" w:w="80"/>
              <w:left w:type="dxa" w:w="100"/>
              <w:bottom w:type="dxa" w:w="80"/>
              <w:right w:type="dxa" w:w="100"/>
            </w:tcMar>
          </w:tcPr>
          <w:p>
            <w:pPr>
              <w:spacing w:after="60"/>
            </w:pPr>
            <w:r>
              <w:rPr>
                <w:b w:val="false"/>
                <w:bCs w:val="false"/>
                <w:sz w:val="19"/>
                <w:szCs w:val="19"/>
              </w:rPr>
              <w:t xml:space="preserve">Sem demonstração de resultado completa, fluxo de caixa ou notas explicativas integrais de small ou micro companies; sem visão da posição de caixa corrente, pois o balanço arquivado é sempre uma foto do passado, com defasagem de até 10 a 11 meses; relatório de inspeção de qualidade da QQI só divulga o resultado, autorizado ou não, não o detalhe; valor da contribuição de um provedor específico ao Learner Protection Fund não é público nominalmente; demonstrações consolidadas de eventual controladora estrangeira normalmente não aparecem no CRO; acesso ao CORE pode exigir cadastro e cartão internacional.</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12. URL primária de cada afirmação e data da verificação</w:t>
            </w:r>
          </w:p>
        </w:tc>
        <w:tc>
          <w:tcPr>
            <w:tcW w:type="dxa" w:w="6900"/>
            <w:tcMar>
              <w:top w:type="dxa" w:w="80"/>
              <w:left w:type="dxa" w:w="100"/>
              <w:bottom w:type="dxa" w:w="80"/>
              <w:right w:type="dxa" w:w="100"/>
            </w:tcMar>
          </w:tcPr>
          <w:p>
            <w:pPr>
              <w:spacing w:after="60"/>
            </w:pPr>
            <w:r>
              <w:rPr>
                <w:b w:val="false"/>
                <w:bCs w:val="false"/>
                <w:sz w:val="19"/>
                <w:szCs w:val="19"/>
              </w:rPr>
              <w:t xml:space="preserve">URLs listadas em cada campo. Verificação em 12/09/2026, via busca indexada; o acesso direto (WebFetch) a qqi.ie, cro.ie e irisoifigiuil.ie esteve bloqueado nesta sessão.</w:t>
            </w:r>
          </w:p>
        </w:tc>
      </w:tr>
    </w:tbl>
    <w:p>
      <w:pPr>
        <w:pStyle w:val="Heading3"/>
        <w:spacing w:after="100" w:before="200"/>
      </w:pPr>
      <w:r>
        <w:rPr>
          <w:b/>
          <w:bCs/>
          <w:sz w:val="21"/>
          <w:szCs w:val="21"/>
        </w:rPr>
        <w:t xml:space="preserve">Notas</w:t>
      </w:r>
    </w:p>
    <w:p>
      <w:pPr>
        <w:pStyle w:val="ListParagraph"/>
        <w:numPr>
          <w:ilvl w:val="0"/>
          <w:numId w:val="1"/>
        </w:numPr>
        <w:spacing w:after="80"/>
      </w:pPr>
      <w:r>
        <w:rPr>
          <w:sz w:val="19"/>
          <w:szCs w:val="19"/>
        </w:rPr>
        <w:t xml:space="preserve">Valores monetários exatos de tarifas do CRO não puderam ser confirmados por leitura direta da tabela oficial nesta sessão; conferir em https://cro.ie/publications/fees/company/</w:t>
      </w:r>
    </w:p>
    <w:p>
      <w:pPr>
        <w:pStyle w:val="ListParagraph"/>
        <w:numPr>
          <w:ilvl w:val="0"/>
          <w:numId w:val="1"/>
        </w:numPr>
        <w:spacing w:after="80"/>
      </w:pPr>
      <w:r>
        <w:rPr>
          <w:sz w:val="19"/>
          <w:szCs w:val="19"/>
        </w:rPr>
        <w:t xml:space="preserve">O processo exato de acionamento do Learner Protection Fund não foi confirmado em fonte oficial nesta sessão.</w:t>
      </w:r>
    </w:p>
    <w:p>
      <w:pPr>
        <w:pStyle w:val="ListParagraph"/>
        <w:numPr>
          <w:ilvl w:val="0"/>
          <w:numId w:val="1"/>
        </w:numPr>
        <w:spacing w:after="80"/>
      </w:pPr>
      <w:r>
        <w:rPr>
          <w:sz w:val="19"/>
          <w:szCs w:val="19"/>
        </w:rPr>
        <w:t xml:space="preserve">Cenário regulatório da Irlanda em transição ativa em 12/09/2026: o ILEP, legado e em encerramento, coexiste com o TrustEd Ireland, novo selo estatutário da QQI, com decisões da segunda janela esperadas para o fim de 2026. Qualquer mapeamento feito hoje deve ser revalidado após esse marco.</w:t>
      </w:r>
    </w:p>
    <w:p>
      <w:pPr>
        <w:pStyle w:val="Heading1"/>
        <w:pageBreakBefore/>
        <w:spacing w:after="200" w:before="200"/>
      </w:pPr>
      <w:r>
        <w:rPr>
          <w:b/>
          <w:bCs/>
          <w:sz w:val="30"/>
          <w:szCs w:val="30"/>
        </w:rPr>
        <w:t xml:space="preserve">Malta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8EEF7" w:color="auto" w:val="clear"/>
            <w:tcMar>
              <w:top w:type="dxa" w:w="80"/>
              <w:left w:type="dxa" w:w="100"/>
              <w:bottom w:type="dxa" w:w="80"/>
              <w:right w:type="dxa" w:w="100"/>
            </w:tcMar>
          </w:tcPr>
          <w:p>
            <w:pPr>
              <w:spacing w:after="60"/>
            </w:pPr>
            <w:r>
              <w:rPr>
                <w:b/>
                <w:bCs/>
                <w:sz w:val="19"/>
                <w:szCs w:val="19"/>
              </w:rPr>
              <w:t xml:space="preserve">1. País</w:t>
            </w:r>
          </w:p>
        </w:tc>
        <w:tc>
          <w:tcPr>
            <w:tcW w:type="dxa" w:w="6900"/>
            <w:tcMar>
              <w:top w:type="dxa" w:w="80"/>
              <w:left w:type="dxa" w:w="100"/>
              <w:bottom w:type="dxa" w:w="80"/>
              <w:right w:type="dxa" w:w="100"/>
            </w:tcMar>
          </w:tcPr>
          <w:p>
            <w:pPr>
              <w:spacing w:after="60"/>
            </w:pPr>
            <w:r>
              <w:rPr>
                <w:b w:val="false"/>
                <w:bCs w:val="false"/>
                <w:sz w:val="19"/>
                <w:szCs w:val="19"/>
              </w:rPr>
              <w:t xml:space="preserve">Malta.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2. Regulador ou acreditador (nome oficial, sigla, URL)</w:t>
            </w:r>
          </w:p>
        </w:tc>
        <w:tc>
          <w:tcPr>
            <w:tcW w:type="dxa" w:w="6900"/>
            <w:tcMar>
              <w:top w:type="dxa" w:w="80"/>
              <w:left w:type="dxa" w:w="100"/>
              <w:bottom w:type="dxa" w:w="80"/>
              <w:right w:type="dxa" w:w="100"/>
            </w:tcMar>
          </w:tcPr>
          <w:p>
            <w:pPr>
              <w:spacing w:after="60"/>
            </w:pPr>
            <w:r>
              <w:rPr>
                <w:b w:val="false"/>
                <w:bCs w:val="false"/>
                <w:sz w:val="19"/>
                <w:szCs w:val="19"/>
              </w:rPr>
              <w:t xml:space="preserve">ELT Council (English Language Teaching Council), responsável por licenciar escolas de inglês como língua estrangeira (ELT/EFL) que recebem estudantes internacionais e por emitir os ELT Teaching Permits para professores, com inspeções anuais de qualidade. Opera sob o Ministério da Educação de Malta. https://eltcouncil.gov.mt/. Não confirmado em fonte oficial: existência de uma sigla oficial formalmente adotada e distinta de "ELT Council".</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3. Base legal (lei ou regulamento)</w:t>
            </w:r>
          </w:p>
        </w:tc>
        <w:tc>
          <w:tcPr>
            <w:tcW w:type="dxa" w:w="6900"/>
            <w:tcMar>
              <w:top w:type="dxa" w:w="80"/>
              <w:left w:type="dxa" w:w="100"/>
              <w:bottom w:type="dxa" w:w="80"/>
              <w:right w:type="dxa" w:w="100"/>
            </w:tcMar>
          </w:tcPr>
          <w:p>
            <w:pPr>
              <w:spacing w:after="60"/>
            </w:pPr>
            <w:r>
              <w:rPr>
                <w:b w:val="false"/>
                <w:bCs w:val="false"/>
                <w:sz w:val="19"/>
                <w:szCs w:val="19"/>
              </w:rPr>
              <w:t xml:space="preserve">Legal Notice 221 de 2015, English Language Teaching Council Regulations, 2015, registrada como Legislação Subsidiária 605.05, sob o Education Act (Cap. 605 das Leis de Malta). https://legislation.mt/eli/sl/605.5/eng. Acesso direto à página não confirmado nesta sessão por bloqueio de rede; a citação da L.N. 221/2015 aparece de forma consistente nas páginas do próprio ELT Council.</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4. Registro obrigatório para receber estudante internacional (existe? nome e URL da lista pública)</w:t>
            </w:r>
          </w:p>
        </w:tc>
        <w:tc>
          <w:tcPr>
            <w:tcW w:type="dxa" w:w="6900"/>
            <w:tcMar>
              <w:top w:type="dxa" w:w="80"/>
              <w:left w:type="dxa" w:w="100"/>
              <w:bottom w:type="dxa" w:w="80"/>
              <w:right w:type="dxa" w:w="100"/>
            </w:tcMar>
          </w:tcPr>
          <w:p>
            <w:pPr>
              <w:spacing w:after="60"/>
            </w:pPr>
            <w:r>
              <w:rPr>
                <w:b w:val="false"/>
                <w:bCs w:val="false"/>
                <w:sz w:val="19"/>
                <w:szCs w:val="19"/>
              </w:rPr>
              <w:t xml:space="preserve">Sim. List of Licensed ELT Schools in Malta, mantida pelo ELT Council: https://eltcouncil.gov.mt/list-of-licensed-elt-schools-in-malta/. Segundo conteúdo indexado, há atualmente 31 escolas licenciadas em Malta e Gozo; a licença de escola ELT é válida por 4 anos.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5. Órgão de registro empresarial (nome oficial, URL de busca)</w:t>
            </w:r>
          </w:p>
        </w:tc>
        <w:tc>
          <w:tcPr>
            <w:tcW w:type="dxa" w:w="6900"/>
            <w:tcMar>
              <w:top w:type="dxa" w:w="80"/>
              <w:left w:type="dxa" w:w="100"/>
              <w:bottom w:type="dxa" w:w="80"/>
              <w:right w:type="dxa" w:w="100"/>
            </w:tcMar>
          </w:tcPr>
          <w:p>
            <w:pPr>
              <w:spacing w:after="60"/>
            </w:pPr>
            <w:r>
              <w:rPr>
                <w:b w:val="false"/>
                <w:bCs w:val="false"/>
                <w:sz w:val="19"/>
                <w:szCs w:val="19"/>
              </w:rPr>
              <w:t xml:space="preserve">Malta Business Registry (MBR), liderado pelo Registrar of Companies, sob a Legislação Subsidiária 595.27. https://www.mbr.mt/. Busca via portal BAROS (Business Automation Registry Online System), acessado a partir do site do MBR.</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6. O que exatamente é público no registro (status e diretores, ou demonstrações financeiras completas; isenções)</w:t>
            </w:r>
          </w:p>
        </w:tc>
        <w:tc>
          <w:tcPr>
            <w:tcW w:type="dxa" w:w="6900"/>
            <w:tcMar>
              <w:top w:type="dxa" w:w="80"/>
              <w:left w:type="dxa" w:w="100"/>
              <w:bottom w:type="dxa" w:w="80"/>
              <w:right w:type="dxa" w:w="100"/>
            </w:tcMar>
          </w:tcPr>
          <w:p>
            <w:pPr>
              <w:spacing w:after="60"/>
            </w:pPr>
            <w:r>
              <w:rPr>
                <w:b w:val="false"/>
                <w:bCs w:val="false"/>
                <w:sz w:val="19"/>
                <w:szCs w:val="19"/>
              </w:rPr>
              <w:t xml:space="preserve">Público: nome da empresa, forma jurídica, status (ativa, em dissolução, dissolvida), endereço registrado, capital social autorizado e emitido, diretores, secretário, representante legal e auditor indicado. Contas anuais, quando entregues, podem ser adquiridas mediante pagamento por documento. ATENÇÃO: nem toda empresa é obrigada a publicar demonstrações financeiras completas. Segundo o Companies Act (Cap. 386): micro company (não excedendo dois de três limites: ativos totais de 46.600 euros, faturamento de 93.000 euros, 2 empregados em média) pode ficar isenta de auditoria desde a Legal Notice 139 de 2025; small company que seja também private exempt company não precisa entregar Relatório dos Diretores nem Demonstração de Resultados, apenas Balanço Patrimonial, Notas e relatório do auditor quando aplicável. Os valores exatos dos limiares não puderam ser confirmados em fonte oficial primária nesta sessão, vindo de fontes secundárias especializadas.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7. Custo e necessidade de conta; defasagem entre fim do exercício e publicação das contas</w:t>
            </w:r>
          </w:p>
        </w:tc>
        <w:tc>
          <w:tcPr>
            <w:tcW w:type="dxa" w:w="6900"/>
            <w:tcMar>
              <w:top w:type="dxa" w:w="80"/>
              <w:left w:type="dxa" w:w="100"/>
              <w:bottom w:type="dxa" w:w="80"/>
              <w:right w:type="dxa" w:w="100"/>
            </w:tcMar>
          </w:tcPr>
          <w:p>
            <w:pPr>
              <w:spacing w:after="60"/>
            </w:pPr>
            <w:r>
              <w:rPr>
                <w:b w:val="false"/>
                <w:bCs w:val="false"/>
                <w:sz w:val="19"/>
                <w:szCs w:val="19"/>
              </w:rPr>
              <w:t xml:space="preserve">Busca básica no BAROS gratuita, mas desde 1/8/2025 exige conta gratuita registrada, deixando de ser anônima. Documentos certificados, incluindo contas quando disponíveis, têm custo por documento, valor exato não confirmado em fonte oficial (fontes secundárias mencionam entre 1 e 10 euros). Defasagem típica: aprovação das contas em até 10 meses após o fim do exercício e entrega ao Registrar em até 42 dias após esse prazo, total aproximado de 11 a 12 meses; empresas públicas têm prazo de aprovação de 7 meses. Não confirmado em fonte oficial primária.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8. Registro de insolvência e diário oficial equivalente (URL)</w:t>
            </w:r>
          </w:p>
        </w:tc>
        <w:tc>
          <w:tcPr>
            <w:tcW w:type="dxa" w:w="6900"/>
            <w:tcMar>
              <w:top w:type="dxa" w:w="80"/>
              <w:left w:type="dxa" w:w="100"/>
              <w:bottom w:type="dxa" w:w="80"/>
              <w:right w:type="dxa" w:w="100"/>
            </w:tcMar>
          </w:tcPr>
          <w:p>
            <w:pPr>
              <w:spacing w:after="60"/>
            </w:pPr>
            <w:r>
              <w:rPr>
                <w:b w:val="false"/>
                <w:bCs w:val="false"/>
                <w:sz w:val="19"/>
                <w:szCs w:val="19"/>
              </w:rPr>
              <w:t xml:space="preserve">Government Gazette de Malta (Gazzetta tal-Gvern ta Malta), publicado pelo Department of Information: https://www.gov.mt/en/Government/DOI/Government%20Gazette/Pages/default.aspx. O MBR também publica avisos estatutários de dissolução e liquidação após submissão da documentação de encerramento. Não confirmado em fonte oficial: página única e pesquisável do MBR listando avisos de insolvência por nome de empresa.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9. Mecanismo de proteção financeira do aluno ou do agente (nome oficial, como acionar)</w:t>
            </w:r>
          </w:p>
        </w:tc>
        <w:tc>
          <w:tcPr>
            <w:tcW w:type="dxa" w:w="6900"/>
            <w:tcMar>
              <w:top w:type="dxa" w:w="80"/>
              <w:left w:type="dxa" w:w="100"/>
              <w:bottom w:type="dxa" w:w="80"/>
              <w:right w:type="dxa" w:w="100"/>
            </w:tcMar>
          </w:tcPr>
          <w:p>
            <w:pPr>
              <w:spacing w:after="60"/>
            </w:pPr>
            <w:r>
              <w:rPr>
                <w:b w:val="false"/>
                <w:bCs w:val="false"/>
                <w:sz w:val="19"/>
                <w:szCs w:val="19"/>
              </w:rPr>
              <w:t xml:space="preserve">Não confirmado em fonte oficial. Não há, nas páginas institucionais do ELT Council nem no L.N. 221/2015, menção a bond, trust account, seguro de proteção de matrícula ou fundo setorial para estudantes de escolas ELT. Existe um Package Travel Insolvency Fund, administrado pela Malta Tourism Authority, mas protege consumidores de pacotes de viagem vendidos por agências licenciadas pela MTA, sem confirmação de que se aplique a matrículas em escolas ELT.</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10. Substituto de análise financeira quando não há contas públicas</w:t>
            </w:r>
          </w:p>
        </w:tc>
        <w:tc>
          <w:tcPr>
            <w:tcW w:type="dxa" w:w="6900"/>
            <w:tcMar>
              <w:top w:type="dxa" w:w="80"/>
              <w:left w:type="dxa" w:w="100"/>
              <w:bottom w:type="dxa" w:w="80"/>
              <w:right w:type="dxa" w:w="100"/>
            </w:tcMar>
          </w:tcPr>
          <w:p>
            <w:pPr>
              <w:spacing w:after="60"/>
            </w:pPr>
            <w:r>
              <w:rPr>
                <w:b w:val="false"/>
                <w:bCs w:val="false"/>
                <w:sz w:val="19"/>
                <w:szCs w:val="19"/>
              </w:rPr>
              <w:t xml:space="preserve">Status cadastral da empresa no MBR (ativa, em dissolução, struck off) e histórico de mudanças recentes de diretores/capital via BAROS; status atual da licença ELT na lista pública do ELT Council; balanço patrimonial e notas, quando entregues, já que mesmo pequenas empresas isentas devem entregar isso; busca por avisos de dissolução/liquidação no MBR e no Government Gazette.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11. Limitações: o que um agente brasileiro não consegue ver</w:t>
            </w:r>
          </w:p>
        </w:tc>
        <w:tc>
          <w:tcPr>
            <w:tcW w:type="dxa" w:w="6900"/>
            <w:tcMar>
              <w:top w:type="dxa" w:w="80"/>
              <w:left w:type="dxa" w:w="100"/>
              <w:bottom w:type="dxa" w:w="80"/>
              <w:right w:type="dxa" w:w="100"/>
            </w:tcMar>
          </w:tcPr>
          <w:p>
            <w:pPr>
              <w:spacing w:after="60"/>
            </w:pPr>
            <w:r>
              <w:rPr>
                <w:b w:val="false"/>
                <w:bCs w:val="false"/>
                <w:sz w:val="19"/>
                <w:szCs w:val="19"/>
              </w:rPr>
              <w:t xml:space="preserve">Sem Demonstração de Resultados nem Relatório dos Diretores de empresas pequenas isentas, apenas eventualmente um balanço resumido; sem fluxo de caixa, margens ou endividamento bancário específico; sem parecer de auditoria quando a empresa está isenta como micro company; sem garantias contratuais ou apólices privadas não registradas publicamente; sem reclamações de alunos ou disputas não judicializadas; sem confirmação de mecanismo formal de reembolso ao aluno em caso de insolvência da escola, pois não foi confirmado que exista.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12. URL primária de cada afirmação e data da verificação</w:t>
            </w:r>
          </w:p>
        </w:tc>
        <w:tc>
          <w:tcPr>
            <w:tcW w:type="dxa" w:w="6900"/>
            <w:tcMar>
              <w:top w:type="dxa" w:w="80"/>
              <w:left w:type="dxa" w:w="100"/>
              <w:bottom w:type="dxa" w:w="80"/>
              <w:right w:type="dxa" w:w="100"/>
            </w:tcMar>
          </w:tcPr>
          <w:p>
            <w:pPr>
              <w:spacing w:after="60"/>
            </w:pPr>
            <w:r>
              <w:rPr>
                <w:b w:val="false"/>
                <w:bCs w:val="false"/>
                <w:sz w:val="19"/>
                <w:szCs w:val="19"/>
              </w:rPr>
              <w:t xml:space="preserve">URLs listadas em cada campo acima. Verificação em 12/09/2026, via busca indexada; o acesso direto (WebFetch) a eltcouncil.gov.mt, mbr.mt, gov.mt e legislation.mt esteve bloqueado nesta sessão.</w:t>
            </w:r>
          </w:p>
        </w:tc>
      </w:tr>
    </w:tbl>
    <w:p>
      <w:pPr>
        <w:pStyle w:val="Heading3"/>
        <w:spacing w:after="100" w:before="200"/>
      </w:pPr>
      <w:r>
        <w:rPr>
          <w:b/>
          <w:bCs/>
          <w:sz w:val="21"/>
          <w:szCs w:val="21"/>
        </w:rPr>
        <w:t xml:space="preserve">Notas</w:t>
      </w:r>
    </w:p>
    <w:p>
      <w:pPr>
        <w:pStyle w:val="ListParagraph"/>
        <w:numPr>
          <w:ilvl w:val="0"/>
          <w:numId w:val="1"/>
        </w:numPr>
        <w:spacing w:after="80"/>
      </w:pPr>
      <w:r>
        <w:rPr>
          <w:sz w:val="19"/>
          <w:szCs w:val="19"/>
        </w:rPr>
        <w:t xml:space="preserve">ATENÇÃO: para a maioria das escolas de idiomas em Malta, tipicamente pequenas empresas privadas exempt, a Demonstração de Resultados e o Relatório dos Diretores tendem a não ser públicos.</w:t>
      </w:r>
    </w:p>
    <w:p>
      <w:pPr>
        <w:pStyle w:val="ListParagraph"/>
        <w:numPr>
          <w:ilvl w:val="0"/>
          <w:numId w:val="1"/>
        </w:numPr>
        <w:spacing w:after="80"/>
      </w:pPr>
      <w:r>
        <w:rPr>
          <w:sz w:val="19"/>
          <w:szCs w:val="19"/>
        </w:rPr>
        <w:t xml:space="preserve">Nenhuma fonte oficial primária confirmou a existência de bond, trust account, seguro de proteção de matrícula ou fundo setorial obrigatório específico para o estudante internacional de escolas ELT em Malta.</w:t>
      </w:r>
    </w:p>
    <w:p>
      <w:pPr>
        <w:pStyle w:val="Heading1"/>
        <w:pageBreakBefore/>
        <w:spacing w:after="200" w:before="200"/>
      </w:pPr>
      <w:r>
        <w:rPr>
          <w:b/>
          <w:bCs/>
          <w:sz w:val="30"/>
          <w:szCs w:val="30"/>
        </w:rPr>
        <w:t xml:space="preserve">Austrália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8EEF7" w:color="auto" w:val="clear"/>
            <w:tcMar>
              <w:top w:type="dxa" w:w="80"/>
              <w:left w:type="dxa" w:w="100"/>
              <w:bottom w:type="dxa" w:w="80"/>
              <w:right w:type="dxa" w:w="100"/>
            </w:tcMar>
          </w:tcPr>
          <w:p>
            <w:pPr>
              <w:spacing w:after="60"/>
            </w:pPr>
            <w:r>
              <w:rPr>
                <w:b/>
                <w:bCs/>
                <w:sz w:val="19"/>
                <w:szCs w:val="19"/>
              </w:rPr>
              <w:t xml:space="preserve">1. País</w:t>
            </w:r>
          </w:p>
        </w:tc>
        <w:tc>
          <w:tcPr>
            <w:tcW w:type="dxa" w:w="6900"/>
            <w:tcMar>
              <w:top w:type="dxa" w:w="80"/>
              <w:left w:type="dxa" w:w="100"/>
              <w:bottom w:type="dxa" w:w="80"/>
              <w:right w:type="dxa" w:w="100"/>
            </w:tcMar>
          </w:tcPr>
          <w:p>
            <w:pPr>
              <w:spacing w:after="60"/>
            </w:pPr>
            <w:r>
              <w:rPr>
                <w:b w:val="false"/>
                <w:bCs w:val="false"/>
                <w:sz w:val="19"/>
                <w:szCs w:val="19"/>
              </w:rPr>
              <w:t xml:space="preserve">Austrália.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2. Regulador ou acreditador (nome oficial, sigla, URL)</w:t>
            </w:r>
          </w:p>
        </w:tc>
        <w:tc>
          <w:tcPr>
            <w:tcW w:type="dxa" w:w="6900"/>
            <w:tcMar>
              <w:top w:type="dxa" w:w="80"/>
              <w:left w:type="dxa" w:w="100"/>
              <w:bottom w:type="dxa" w:w="80"/>
              <w:right w:type="dxa" w:w="100"/>
            </w:tcMar>
          </w:tcPr>
          <w:p>
            <w:pPr>
              <w:spacing w:after="60"/>
            </w:pPr>
            <w:r>
              <w:rPr>
                <w:b w:val="false"/>
                <w:bCs w:val="false"/>
                <w:sz w:val="19"/>
                <w:szCs w:val="19"/>
              </w:rPr>
              <w:t xml:space="preserve">Australian Skills Quality Authority (ASQA), regulador nacional para provedores VET e ELICOS (cursos intensivos de inglês para estudantes internacionais), incluindo os inscritos no CRICOS. https://www.asqa.gov.au/. ATENÇÃO: quando a escola é pathway ligado a universidade, o regulador é a Tertiary Education Quality and Standards Agency (TEQSA), https://www.teqsa.gov.au/; quando é ensino básico ou médio, a autoridade é estadual ou territorial, por exemplo a NESA em NSW. Para a maioria das escolas de idiomas comerciais (ELICOS autônomas), a ASQA é o órgão correto.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3. Base legal (lei ou regulamento)</w:t>
            </w:r>
          </w:p>
        </w:tc>
        <w:tc>
          <w:tcPr>
            <w:tcW w:type="dxa" w:w="6900"/>
            <w:tcMar>
              <w:top w:type="dxa" w:w="80"/>
              <w:left w:type="dxa" w:w="100"/>
              <w:bottom w:type="dxa" w:w="80"/>
              <w:right w:type="dxa" w:w="100"/>
            </w:tcMar>
          </w:tcPr>
          <w:p>
            <w:pPr>
              <w:spacing w:after="60"/>
            </w:pPr>
            <w:r>
              <w:rPr>
                <w:b w:val="false"/>
                <w:bCs w:val="false"/>
                <w:sz w:val="19"/>
                <w:szCs w:val="19"/>
              </w:rPr>
              <w:t xml:space="preserve">Education Services for Overseas Students Act 2000 (ESOS Act), Education Services for Overseas Students Regulations 2001, e National Code of Practice for Providers of Education and Training to Overseas Students 2018 (National Code 2018). Para ELICOS há ainda os ELICOS National Standards 2018. https://www.legislation.gov.au/Details/C2017C00292 (ESOS Act); https://www.legislation.gov.au/Details/F2017L01182 (National Code 2018).</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4. Registro obrigatório para receber estudante internacional (existe? nome e URL da lista pública)</w:t>
            </w:r>
          </w:p>
        </w:tc>
        <w:tc>
          <w:tcPr>
            <w:tcW w:type="dxa" w:w="6900"/>
            <w:tcMar>
              <w:top w:type="dxa" w:w="80"/>
              <w:left w:type="dxa" w:w="100"/>
              <w:bottom w:type="dxa" w:w="80"/>
              <w:right w:type="dxa" w:w="100"/>
            </w:tcMar>
          </w:tcPr>
          <w:p>
            <w:pPr>
              <w:spacing w:after="60"/>
            </w:pPr>
            <w:r>
              <w:rPr>
                <w:b w:val="false"/>
                <w:bCs w:val="false"/>
                <w:sz w:val="19"/>
                <w:szCs w:val="19"/>
              </w:rPr>
              <w:t xml:space="preserve">Sim, CRICOS (Commonwealth Register of Institutions and Courses for Overseas Students), pré-requisito legal para matricular estudante com visto. https://cricos.education.gov.au/. Administração compartilhada conforme o setor: ASQA (VET/ELICOS), TEQSA (educação superior) e autoridades estaduais/territoriais (escolas).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5. Órgão de registro empresarial (nome oficial, URL de busca)</w:t>
            </w:r>
          </w:p>
        </w:tc>
        <w:tc>
          <w:tcPr>
            <w:tcW w:type="dxa" w:w="6900"/>
            <w:tcMar>
              <w:top w:type="dxa" w:w="80"/>
              <w:left w:type="dxa" w:w="100"/>
              <w:bottom w:type="dxa" w:w="80"/>
              <w:right w:type="dxa" w:w="100"/>
            </w:tcMar>
          </w:tcPr>
          <w:p>
            <w:pPr>
              <w:spacing w:after="60"/>
            </w:pPr>
            <w:r>
              <w:rPr>
                <w:b w:val="false"/>
                <w:bCs w:val="false"/>
                <w:sz w:val="19"/>
                <w:szCs w:val="19"/>
              </w:rPr>
              <w:t xml:space="preserve">Australian Securities and Investments Commission (ASIC). https://www.asic.gov.au/online-services/search-asic-registers/company-and-organisation-registers ; portal https://connectonline.asic.gov.au/</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6. O que exatamente é público no registro (status e diretores, ou demonstrações financeiras completas; isenções)</w:t>
            </w:r>
          </w:p>
        </w:tc>
        <w:tc>
          <w:tcPr>
            <w:tcW w:type="dxa" w:w="6900"/>
            <w:tcMar>
              <w:top w:type="dxa" w:w="80"/>
              <w:left w:type="dxa" w:w="100"/>
              <w:bottom w:type="dxa" w:w="80"/>
              <w:right w:type="dxa" w:w="100"/>
            </w:tcMar>
          </w:tcPr>
          <w:p>
            <w:pPr>
              <w:spacing w:after="60"/>
            </w:pPr>
            <w:r>
              <w:rPr>
                <w:b w:val="false"/>
                <w:bCs w:val="false"/>
                <w:sz w:val="19"/>
                <w:szCs w:val="19"/>
              </w:rPr>
              <w:t xml:space="preserve">Público e gratuito: nome, ACN/ABN, status, tipo societário, data de registro, endereço registrado. Diretores e histórico completo normalmente exigem extrato pago (Current Company Extract). ATENÇÃO: demonstrações financeiras completas só são exigidas e públicas para large proprietary companies (2 de 3 critérios: receita consolidada igual ou superior a AUD 50 milhões, ativos consolidados iguais ou superiores a AUD 25 milhões, ou 100 ou mais empregados), companhias públicas e disclosing entities. Small proprietary companies, categoria da maioria das escolas de idioma independentes, não são obrigadas a depositar demonstrações financeiras no ASIC, portanto essas contas não estão disponíveis publicamente.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7. Custo e necessidade de conta; defasagem entre fim do exercício e publicação das contas</w:t>
            </w:r>
          </w:p>
        </w:tc>
        <w:tc>
          <w:tcPr>
            <w:tcW w:type="dxa" w:w="6900"/>
            <w:tcMar>
              <w:top w:type="dxa" w:w="80"/>
              <w:left w:type="dxa" w:w="100"/>
              <w:bottom w:type="dxa" w:w="80"/>
              <w:right w:type="dxa" w:w="100"/>
            </w:tcMar>
          </w:tcPr>
          <w:p>
            <w:pPr>
              <w:spacing w:after="60"/>
            </w:pPr>
            <w:r>
              <w:rPr>
                <w:b w:val="false"/>
                <w:bCs w:val="false"/>
                <w:sz w:val="19"/>
                <w:szCs w:val="19"/>
              </w:rPr>
              <w:t xml:space="preserve">Busca básica gratuita, sem conta. Extratos pagos têm custo, valor exato entre AUD 9 e 19 segundo fontes secundárias, não confirmado em fonte oficial primária nesta sessão. Quando exigido, o relatório financeiro deve ser depositado em até 4 meses após o fim do exercício (large proprietary companies) ou 3 meses (disclosing entities).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8. Registro de insolvência e diário oficial equivalente (URL)</w:t>
            </w:r>
          </w:p>
        </w:tc>
        <w:tc>
          <w:tcPr>
            <w:tcW w:type="dxa" w:w="6900"/>
            <w:tcMar>
              <w:top w:type="dxa" w:w="80"/>
              <w:left w:type="dxa" w:w="100"/>
              <w:bottom w:type="dxa" w:w="80"/>
              <w:right w:type="dxa" w:w="100"/>
            </w:tcMar>
          </w:tcPr>
          <w:p>
            <w:pPr>
              <w:spacing w:after="60"/>
            </w:pPr>
            <w:r>
              <w:rPr>
                <w:b w:val="false"/>
                <w:bCs w:val="false"/>
                <w:sz w:val="19"/>
                <w:szCs w:val="19"/>
              </w:rPr>
              <w:t xml:space="preserve">ASIC Published Notices, https://publishednotices.asic.gov.au/, reúne avisos de administração externa, liquidação e baixa de empresas exigidos pelo Corporations Act 2001, desde 1/7/2012, não cobrindo eventos anteriores. Não exige cadastro para navegar ou pesquisar.</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9. Mecanismo de proteção financeira do aluno ou do agente (nome oficial, como acionar)</w:t>
            </w:r>
          </w:p>
        </w:tc>
        <w:tc>
          <w:tcPr>
            <w:tcW w:type="dxa" w:w="6900"/>
            <w:tcMar>
              <w:top w:type="dxa" w:w="80"/>
              <w:left w:type="dxa" w:w="100"/>
              <w:bottom w:type="dxa" w:w="80"/>
              <w:right w:type="dxa" w:w="100"/>
            </w:tcMar>
          </w:tcPr>
          <w:p>
            <w:pPr>
              <w:spacing w:after="60"/>
            </w:pPr>
            <w:r>
              <w:rPr>
                <w:b w:val="false"/>
                <w:bCs w:val="false"/>
                <w:sz w:val="19"/>
                <w:szCs w:val="19"/>
              </w:rPr>
              <w:t xml:space="preserve">Tuition Protection Service (TPS), órgão do Departamento de Educação, dirigido por um TPS Director, cargo estatutário criado por emenda de 2012 ao ESOS Act. https://tps.gov.au/. Cobre o provider default, quando o provedor fecha, não inicia ou interrompe um curso: o provedor deve oferecer curso alternativo equivalente sem custo ou reembolso das mensalidades não utilizadas; se não cumprir, o TPS Director assume, oferecendo colocação alternativa ou pagamento via Overseas Student Tuition Fund (OSTF), alimentado por taxa paga pelos próprios provedores registrados. Acionamento feito pelo próprio aluno via portal do TPS após notificação de default, não pelo agente diretamente.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10. Substituto de análise financeira quando não há contas públicas</w:t>
            </w:r>
          </w:p>
        </w:tc>
        <w:tc>
          <w:tcPr>
            <w:tcW w:type="dxa" w:w="6900"/>
            <w:tcMar>
              <w:top w:type="dxa" w:w="80"/>
              <w:left w:type="dxa" w:w="100"/>
              <w:bottom w:type="dxa" w:w="80"/>
              <w:right w:type="dxa" w:w="100"/>
            </w:tcMar>
          </w:tcPr>
          <w:p>
            <w:pPr>
              <w:spacing w:after="60"/>
            </w:pPr>
            <w:r>
              <w:rPr>
                <w:b w:val="false"/>
                <w:bCs w:val="false"/>
                <w:sz w:val="19"/>
                <w:szCs w:val="19"/>
              </w:rPr>
              <w:t xml:space="preserve">Status e histórico no ASIC, onde o extrato pago mostra encargos (charges) registrados, indicando dívida garantida; ASIC Published Notices para sinal de administração externa ou liquidação; status do provedor no CRICOS (ativo, suspenso, cancelado) como indicador indireto; sector alerts publicados pela ASQA (https://www.asqa.gov.au/newsroom/sector-alerts) sobre ações de compliance; solicitação direta ao provedor de referências bancárias/comerciais e, quando aplicável, contas auditadas. Não há substituto público equivalente a um rating de crédito para pequenas empresas australianas nas fontes oficiais consultadas.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11. Limitações: o que um agente brasileiro não consegue ver</w:t>
            </w:r>
          </w:p>
        </w:tc>
        <w:tc>
          <w:tcPr>
            <w:tcW w:type="dxa" w:w="6900"/>
            <w:tcMar>
              <w:top w:type="dxa" w:w="80"/>
              <w:left w:type="dxa" w:w="100"/>
              <w:bottom w:type="dxa" w:w="80"/>
              <w:right w:type="dxa" w:w="100"/>
            </w:tcMar>
          </w:tcPr>
          <w:p>
            <w:pPr>
              <w:spacing w:after="60"/>
            </w:pPr>
            <w:r>
              <w:rPr>
                <w:b w:val="false"/>
                <w:bCs w:val="false"/>
                <w:sz w:val="19"/>
                <w:szCs w:val="19"/>
              </w:rPr>
              <w:t xml:space="preserve">Sem demonstrações financeiras completas da maioria das escolas de idioma, por serem small proprietary companies isentas; sem fluxo de caixa, inadimplência com fornecedores ou score de crédito público; o registro ASIC mostra apenas status jurídico e societário; o TPS só age depois que o default já ocorreu, sendo reativo e não preditivo; o CRICOS mostra status regulatório, não indicador financeiro; avisos de insolvência no Published Notices só aparecem após o processo formal já ter sido iniciado, tardiamente para prevenção de risco.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12. URL primária de cada afirmação e data da verificação</w:t>
            </w:r>
          </w:p>
        </w:tc>
        <w:tc>
          <w:tcPr>
            <w:tcW w:type="dxa" w:w="6900"/>
            <w:tcMar>
              <w:top w:type="dxa" w:w="80"/>
              <w:left w:type="dxa" w:w="100"/>
              <w:bottom w:type="dxa" w:w="80"/>
              <w:right w:type="dxa" w:w="100"/>
            </w:tcMar>
          </w:tcPr>
          <w:p>
            <w:pPr>
              <w:spacing w:after="60"/>
            </w:pPr>
            <w:r>
              <w:rPr>
                <w:b w:val="false"/>
                <w:bCs w:val="false"/>
                <w:sz w:val="19"/>
                <w:szCs w:val="19"/>
              </w:rPr>
              <w:t xml:space="preserve">URLs listadas em cada campo. Verificação em 12/09/2026, via busca indexada; o acesso direto (WebFetch/curl) a asqa.gov.au, cricos.education.gov.au, legislation.gov.au, tps.gov.au, asic.gov.au e education.gov.au esteve bloqueado nesta sessão, com erro de proxy 403/connect_rejected confirmado.</w:t>
            </w:r>
          </w:p>
        </w:tc>
      </w:tr>
    </w:tbl>
    <w:p>
      <w:pPr>
        <w:pStyle w:val="Heading3"/>
        <w:spacing w:after="100" w:before="200"/>
      </w:pPr>
      <w:r>
        <w:rPr>
          <w:b/>
          <w:bCs/>
          <w:sz w:val="21"/>
          <w:szCs w:val="21"/>
        </w:rPr>
        <w:t xml:space="preserve">Notas</w:t>
      </w:r>
    </w:p>
    <w:p>
      <w:pPr>
        <w:pStyle w:val="ListParagraph"/>
        <w:numPr>
          <w:ilvl w:val="0"/>
          <w:numId w:val="1"/>
        </w:numPr>
        <w:spacing w:after="80"/>
      </w:pPr>
      <w:r>
        <w:rPr>
          <w:sz w:val="19"/>
          <w:szCs w:val="19"/>
        </w:rPr>
        <w:t xml:space="preserve">ASQA, CRICOS, ESOS Act/National Code, ASIC e TPS foram confirmados como corretos e atuais nas buscas realizadas.</w:t>
      </w:r>
    </w:p>
    <w:p>
      <w:pPr>
        <w:pStyle w:val="ListParagraph"/>
        <w:numPr>
          <w:ilvl w:val="0"/>
          <w:numId w:val="1"/>
        </w:numPr>
        <w:spacing w:after="80"/>
      </w:pPr>
      <w:r>
        <w:rPr>
          <w:sz w:val="19"/>
          <w:szCs w:val="19"/>
        </w:rPr>
        <w:t xml:space="preserve">Para educação superior o regulador correto é a TEQSA, e para o setor escolar a autoridade é estadual ou territorial; checar caso a caso conforme o tipo de instituição parceira.</w:t>
      </w:r>
    </w:p>
    <w:p>
      <w:pPr>
        <w:pStyle w:val="ListParagraph"/>
        <w:numPr>
          <w:ilvl w:val="0"/>
          <w:numId w:val="1"/>
        </w:numPr>
        <w:spacing w:after="80"/>
      </w:pPr>
      <w:r>
        <w:rPr>
          <w:sz w:val="19"/>
          <w:szCs w:val="19"/>
        </w:rPr>
        <w:t xml:space="preserve">Valores exatos de taxas de busca no ASIC não foram confirmados em fonte oficial primária nesta sessão.</w:t>
      </w:r>
    </w:p>
    <w:p>
      <w:pPr>
        <w:pStyle w:val="Heading1"/>
        <w:pageBreakBefore/>
        <w:spacing w:after="200" w:before="200"/>
      </w:pPr>
      <w:r>
        <w:rPr>
          <w:b/>
          <w:bCs/>
          <w:sz w:val="30"/>
          <w:szCs w:val="30"/>
        </w:rPr>
        <w:t xml:space="preserve">Nova Zelândia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8EEF7" w:color="auto" w:val="clear"/>
            <w:tcMar>
              <w:top w:type="dxa" w:w="80"/>
              <w:left w:type="dxa" w:w="100"/>
              <w:bottom w:type="dxa" w:w="80"/>
              <w:right w:type="dxa" w:w="100"/>
            </w:tcMar>
          </w:tcPr>
          <w:p>
            <w:pPr>
              <w:spacing w:after="60"/>
            </w:pPr>
            <w:r>
              <w:rPr>
                <w:b/>
                <w:bCs/>
                <w:sz w:val="19"/>
                <w:szCs w:val="19"/>
              </w:rPr>
              <w:t xml:space="preserve">1. País</w:t>
            </w:r>
          </w:p>
        </w:tc>
        <w:tc>
          <w:tcPr>
            <w:tcW w:type="dxa" w:w="6900"/>
            <w:tcMar>
              <w:top w:type="dxa" w:w="80"/>
              <w:left w:type="dxa" w:w="100"/>
              <w:bottom w:type="dxa" w:w="80"/>
              <w:right w:type="dxa" w:w="100"/>
            </w:tcMar>
          </w:tcPr>
          <w:p>
            <w:pPr>
              <w:spacing w:after="60"/>
            </w:pPr>
            <w:r>
              <w:rPr>
                <w:b w:val="false"/>
                <w:bCs w:val="false"/>
                <w:sz w:val="19"/>
                <w:szCs w:val="19"/>
              </w:rPr>
              <w:t xml:space="preserve">Nova Zelândia.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2. Regulador ou acreditador (nome oficial, sigla, URL)</w:t>
            </w:r>
          </w:p>
        </w:tc>
        <w:tc>
          <w:tcPr>
            <w:tcW w:type="dxa" w:w="6900"/>
            <w:tcMar>
              <w:top w:type="dxa" w:w="80"/>
              <w:left w:type="dxa" w:w="100"/>
              <w:bottom w:type="dxa" w:w="80"/>
              <w:right w:type="dxa" w:w="100"/>
            </w:tcMar>
          </w:tcPr>
          <w:p>
            <w:pPr>
              <w:spacing w:after="60"/>
            </w:pPr>
            <w:r>
              <w:rPr>
                <w:b w:val="false"/>
                <w:bCs w:val="false"/>
                <w:sz w:val="19"/>
                <w:szCs w:val="19"/>
              </w:rPr>
              <w:t xml:space="preserve">New Zealand Qualifications Authority (NZQA), administra o Code de bem-estar de estudantes internacionais e o registro de Private Training Establishments (PTEs). https://www2.nzqa.govt.nz/tertiary/the-code/ ; https://www.nzqa.govt.nz/</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3. Base legal (lei ou regulamento)</w:t>
            </w:r>
          </w:p>
        </w:tc>
        <w:tc>
          <w:tcPr>
            <w:tcW w:type="dxa" w:w="6900"/>
            <w:tcMar>
              <w:top w:type="dxa" w:w="80"/>
              <w:left w:type="dxa" w:w="100"/>
              <w:bottom w:type="dxa" w:w="80"/>
              <w:right w:type="dxa" w:w="100"/>
            </w:tcMar>
          </w:tcPr>
          <w:p>
            <w:pPr>
              <w:spacing w:after="60"/>
            </w:pPr>
            <w:r>
              <w:rPr>
                <w:b w:val="false"/>
                <w:bCs w:val="false"/>
                <w:sz w:val="19"/>
                <w:szCs w:val="19"/>
              </w:rPr>
              <w:t xml:space="preserve">Education and Training Act 2020. Code específico: Education (Pastoral Care of Tertiary and International Learners) Code of Practice 2021, em vigor desde 1/1/2022, que substituiu o Education (Pastoral Care of International Students) Code of Practice 2016, sucessor do Code de 2003. https://www2.nzqa.govt.nz/assets/Tertiary/The-Code/pastoral-care-code-of-practice-2021-english.pdf. "Code of Pastoral Care" é o apelido curto usado pela própria NZQA, mas o título legal oficial vigente é Education (Pastoral Care of Tertiary and International Learners) Code of Practice 2021. Regras de registro de PTE (secção 452): Private Training Establishment Rules 2026, https://www2.nzqa.govt.nz/about-us/rules-fees-policies/nzqa-rules/pte-registration-rules/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4. Registro obrigatório para receber estudante internacional (existe? nome e URL da lista pública)</w:t>
            </w:r>
          </w:p>
        </w:tc>
        <w:tc>
          <w:tcPr>
            <w:tcW w:type="dxa" w:w="6900"/>
            <w:tcMar>
              <w:top w:type="dxa" w:w="80"/>
              <w:left w:type="dxa" w:w="100"/>
              <w:bottom w:type="dxa" w:w="80"/>
              <w:right w:type="dxa" w:w="100"/>
            </w:tcMar>
          </w:tcPr>
          <w:p>
            <w:pPr>
              <w:spacing w:after="60"/>
            </w:pPr>
            <w:r>
              <w:rPr>
                <w:b w:val="false"/>
                <w:bCs w:val="false"/>
                <w:sz w:val="19"/>
                <w:szCs w:val="19"/>
              </w:rPr>
              <w:t xml:space="preserve">Sim, em duas camadas: registro como PTE junto à NZQA (secção 348 do Education and Training Act 2020), obrigatório para operar; e status de signatário aprovado do Code, obrigatório especificamente para matricular estudantes internacionais. Ferramenta de consulta: Find Education Organisations, https://www.nzqa.govt.nz/providers/index.do. Página de signatários do Code: https://www.nzqa.govt.nz/providers-partners/tertiary-and-international-learners-code/providers-signatories/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5. Órgão de registro empresarial (nome oficial, URL de busca)</w:t>
            </w:r>
          </w:p>
        </w:tc>
        <w:tc>
          <w:tcPr>
            <w:tcW w:type="dxa" w:w="6900"/>
            <w:tcMar>
              <w:top w:type="dxa" w:w="80"/>
              <w:left w:type="dxa" w:w="100"/>
              <w:bottom w:type="dxa" w:w="80"/>
              <w:right w:type="dxa" w:w="100"/>
            </w:tcMar>
          </w:tcPr>
          <w:p>
            <w:pPr>
              <w:spacing w:after="60"/>
            </w:pPr>
            <w:r>
              <w:rPr>
                <w:b w:val="false"/>
                <w:bCs w:val="false"/>
                <w:sz w:val="19"/>
                <w:szCs w:val="19"/>
              </w:rPr>
              <w:t xml:space="preserve">New Zealand Companies Office, parte do Ministry of Business, Innovation and Employment (MBIE), que opera o New Zealand Companies Register. Busca: https://companies-register.companiesoffice.govt.nz/search/</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6. O que exatamente é público no registro (status e diretores, ou demonstrações financeiras completas; isenções)</w:t>
            </w:r>
          </w:p>
        </w:tc>
        <w:tc>
          <w:tcPr>
            <w:tcW w:type="dxa" w:w="6900"/>
            <w:tcMar>
              <w:top w:type="dxa" w:w="80"/>
              <w:left w:type="dxa" w:w="100"/>
              <w:bottom w:type="dxa" w:w="80"/>
              <w:right w:type="dxa" w:w="100"/>
            </w:tcMar>
          </w:tcPr>
          <w:p>
            <w:pPr>
              <w:spacing w:after="60"/>
            </w:pPr>
            <w:r>
              <w:rPr>
                <w:b w:val="false"/>
                <w:bCs w:val="false"/>
                <w:sz w:val="19"/>
                <w:szCs w:val="19"/>
              </w:rPr>
              <w:t xml:space="preserve">Público e gratuito: razão social, número de registro/NZBN, status (ativo, em liquidação, removido), endereço registrado, diretores, acionistas, constituição quando arquivada, histórico de registros e annual returns. ATENÇÃO: demonstrações financeiras completas só são exigidas e públicas para empresas large (ativos totais acima de NZD 66 milhões, ou receita total acima de NZD 33 milhões, em cada um dos 2 exercícios anteriores, conforme Financial Reporting Act 2013), overseas companies grandes, e FMC reporting entities. Empresas com menos de 10 acionistas não são obrigadas sequer a preparar demonstrações financeiras; com 10 ou mais podem optar por não prepará-las nem auditá-las via resolução de 95% dos votos. Como a maioria das escolas de idiomas privadas opera como companhia pequena de capital fechado, suas demonstrações completas normalmente não estão públicas.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7. Custo e necessidade de conta; defasagem entre fim do exercício e publicação das contas</w:t>
            </w:r>
          </w:p>
        </w:tc>
        <w:tc>
          <w:tcPr>
            <w:tcW w:type="dxa" w:w="6900"/>
            <w:tcMar>
              <w:top w:type="dxa" w:w="80"/>
              <w:left w:type="dxa" w:w="100"/>
              <w:bottom w:type="dxa" w:w="80"/>
              <w:right w:type="dxa" w:w="100"/>
            </w:tcMar>
          </w:tcPr>
          <w:p>
            <w:pPr>
              <w:spacing w:after="60"/>
            </w:pPr>
            <w:r>
              <w:rPr>
                <w:b w:val="false"/>
                <w:bCs w:val="false"/>
                <w:sz w:val="19"/>
                <w:szCs w:val="19"/>
              </w:rPr>
              <w:t xml:space="preserve">Busca básica e perfil da empresa gratuitos e sem login; conta RealMe só é exigida para a própria empresa apresentar ou alterar informações. Certidões e cópias certificadas têm custo. Defasagem típica entre fim do exercício e publicação de contas, quando aplicável, não confirmada em fonte oficial primária; fontes secundárias mencionam 4 a 5 meses após a data de balanço.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8. Registro de insolvência e diário oficial equivalente (URL)</w:t>
            </w:r>
          </w:p>
        </w:tc>
        <w:tc>
          <w:tcPr>
            <w:tcW w:type="dxa" w:w="6900"/>
            <w:tcMar>
              <w:top w:type="dxa" w:w="80"/>
              <w:left w:type="dxa" w:w="100"/>
              <w:bottom w:type="dxa" w:w="80"/>
              <w:right w:type="dxa" w:w="100"/>
            </w:tcMar>
          </w:tcPr>
          <w:p>
            <w:pPr>
              <w:spacing w:after="60"/>
            </w:pPr>
            <w:r>
              <w:rPr>
                <w:b w:val="false"/>
                <w:bCs w:val="false"/>
                <w:sz w:val="19"/>
                <w:szCs w:val="19"/>
              </w:rPr>
              <w:t xml:space="preserve">Insolvency and Trustee Service (ITS), do MBIE, atua como Official Assignee e administra o Insolvency Act 2006 para falência pessoal. https://www.insolvency.govt.nz/ ; avisos em https://www.insolvency.govt.nz/about/public-notices. Para liquidação da pessoa jurídica, sob o Companies Act 1993, o diário oficial equivalente é o New Zealand Gazette: https://gazette.govt.nz/, pesquisável em https://gazette.govt.nz/home/search. O Companies Register também reflete o status in liquidation ou removed na ficha da empresa.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9. Mecanismo de proteção financeira do aluno ou do agente (nome oficial, como acionar)</w:t>
            </w:r>
          </w:p>
        </w:tc>
        <w:tc>
          <w:tcPr>
            <w:tcW w:type="dxa" w:w="6900"/>
            <w:tcMar>
              <w:top w:type="dxa" w:w="80"/>
              <w:left w:type="dxa" w:w="100"/>
              <w:bottom w:type="dxa" w:w="80"/>
              <w:right w:type="dxa" w:w="100"/>
            </w:tcMar>
          </w:tcPr>
          <w:p>
            <w:pPr>
              <w:spacing w:after="60"/>
            </w:pPr>
            <w:r>
              <w:rPr>
                <w:b w:val="false"/>
                <w:bCs w:val="false"/>
                <w:sz w:val="19"/>
                <w:szCs w:val="19"/>
              </w:rPr>
              <w:t xml:space="preserve">Sim. As NZQA Student Fee Protection Rules, sob o Education and Training Act 2020, exigem que todo PTE registrado mantenha as mensalidades pré-pagas protegidas por mecanismo aprovado, seja trust account, seguro ou bond bancário. O operador dominante é a Public Trust, entidade estatal, com o produto Fee Protect: https://www.publictrust.co.nz/student-fee-protection/for-students/ ; regras da NZQA: https://www2.nzqa.govt.nz/about-us/protect-students/student-fee-protection/international-learners/. Como acionar: em caso de fechamento ou insolvência do provedor, o aluno, ou quem pagou, aciona diretamente a Public Trust ou o fiduciário designado no trust deed daquela escola para reembolso das mensalidades não utilizadas. Separadamente, para disputas contratuais existe o Education (Domestic Tertiary Student and International Student Contract Dispute Resolution Scheme) (DRS) 2023, operado por Study Complaints (Fair Way Resolution), sucessor do antigo iStudent Complaints: https://www.studycomplaints.org.nz/</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10. Substituto de análise financeira quando não há contas públicas</w:t>
            </w:r>
          </w:p>
        </w:tc>
        <w:tc>
          <w:tcPr>
            <w:tcW w:type="dxa" w:w="6900"/>
            <w:tcMar>
              <w:top w:type="dxa" w:w="80"/>
              <w:left w:type="dxa" w:w="100"/>
              <w:bottom w:type="dxa" w:w="80"/>
              <w:right w:type="dxa" w:w="100"/>
            </w:tcMar>
          </w:tcPr>
          <w:p>
            <w:pPr>
              <w:spacing w:after="60"/>
            </w:pPr>
            <w:r>
              <w:rPr>
                <w:b w:val="false"/>
                <w:bCs w:val="false"/>
                <w:sz w:val="19"/>
                <w:szCs w:val="19"/>
              </w:rPr>
              <w:t xml:space="preserve">Status de registro ativo e vigência de signatário do Code na ferramenta Find Education Organisations da NZQA; status da empresa no Companies Register, incluindo mudanças recentes de diretor ou endereço e flag in liquidation/removed; avisos no New Zealand Gazette; comprovação direta, solicitada à própria escola, de participação vigente e em dia no esquema de fee protection (Public Trust Fee Protect ou equivalente aprovado), o proxy mais próximo de solvência operacional corrente, por ser condição legal obrigatória de registro como PTE.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11. Limitações: o que um agente brasileiro não consegue ver</w:t>
            </w:r>
          </w:p>
        </w:tc>
        <w:tc>
          <w:tcPr>
            <w:tcW w:type="dxa" w:w="6900"/>
            <w:tcMar>
              <w:top w:type="dxa" w:w="80"/>
              <w:left w:type="dxa" w:w="100"/>
              <w:bottom w:type="dxa" w:w="80"/>
              <w:right w:type="dxa" w:w="100"/>
            </w:tcMar>
          </w:tcPr>
          <w:p>
            <w:pPr>
              <w:spacing w:after="60"/>
            </w:pPr>
            <w:r>
              <w:rPr>
                <w:b w:val="false"/>
                <w:bCs w:val="false"/>
                <w:sz w:val="19"/>
                <w:szCs w:val="19"/>
              </w:rPr>
              <w:t xml:space="preserve">Sem balanço ou demonstração de resultado completos da maioria das escolas de idioma, por serem empresas pequenas de capital fechado; sem rating de crédito público oficial; status de PTE ou de signatário do Code atesta compliance regulatório, não solvência; o trust account de fee protection garante apenas o reembolso das mensalidades já depositadas, não cobre outros passivos; avisos de liquidação no Gazette e mudança de status no Companies Register são reativos, não preditivos; avaliações de qualidade da NZQA (EER) medem qualidade acadêmica, não saúde financeira.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12. URL primária de cada afirmação e data da verificação</w:t>
            </w:r>
          </w:p>
        </w:tc>
        <w:tc>
          <w:tcPr>
            <w:tcW w:type="dxa" w:w="6900"/>
            <w:tcMar>
              <w:top w:type="dxa" w:w="80"/>
              <w:left w:type="dxa" w:w="100"/>
              <w:bottom w:type="dxa" w:w="80"/>
              <w:right w:type="dxa" w:w="100"/>
            </w:tcMar>
          </w:tcPr>
          <w:p>
            <w:pPr>
              <w:spacing w:after="60"/>
            </w:pPr>
            <w:r>
              <w:rPr>
                <w:b w:val="false"/>
                <w:bCs w:val="false"/>
                <w:sz w:val="19"/>
                <w:szCs w:val="19"/>
              </w:rPr>
              <w:t xml:space="preserve">URLs listadas em cada campo. Verificação em 12/09/2026, via busca indexada; o acesso direto (WebFetch) a nzqa.govt.nz, companiesoffice.govt.nz, insolvency.govt.nz, legislation.govt.nz e gazette.govt.nz esteve bloqueado nesta sessão.</w:t>
            </w:r>
          </w:p>
        </w:tc>
      </w:tr>
    </w:tbl>
    <w:p>
      <w:pPr>
        <w:pStyle w:val="Heading3"/>
        <w:spacing w:after="100" w:before="200"/>
      </w:pPr>
      <w:r>
        <w:rPr>
          <w:b/>
          <w:bCs/>
          <w:sz w:val="21"/>
          <w:szCs w:val="21"/>
        </w:rPr>
        <w:t xml:space="preserve">Notas</w:t>
      </w:r>
    </w:p>
    <w:p>
      <w:pPr>
        <w:pStyle w:val="ListParagraph"/>
        <w:numPr>
          <w:ilvl w:val="0"/>
          <w:numId w:val="1"/>
        </w:numPr>
        <w:spacing w:after="80"/>
      </w:pPr>
      <w:r>
        <w:rPr>
          <w:sz w:val="19"/>
          <w:szCs w:val="19"/>
        </w:rPr>
        <w:t xml:space="preserve">ATENÇÃO: demonstrações financeiras completas de empresas privadas pequenas, estrutura típica de escolas de idiomas na Nova Zelândia, não são públicas no Companies Register, exceto quando a empresa se enquadra como large, overseas company grande ou FMC reporting entity.</w:t>
      </w:r>
    </w:p>
    <w:p>
      <w:pPr>
        <w:pStyle w:val="ListParagraph"/>
        <w:numPr>
          <w:ilvl w:val="0"/>
          <w:numId w:val="1"/>
        </w:numPr>
        <w:spacing w:after="80"/>
      </w:pPr>
      <w:r>
        <w:rPr>
          <w:sz w:val="19"/>
          <w:szCs w:val="19"/>
        </w:rPr>
        <w:t xml:space="preserve">Há dois registros regulatórios distintos e cumulativos para operar com estudantes internacionais: registro como PTE junto à NZQA e status de signatário aprovado do Code de bem-estar. Nenhum dos dois substitui análise de saúde financeira.</w:t>
      </w:r>
    </w:p>
    <w:p>
      <w:pPr>
        <w:pStyle w:val="ListParagraph"/>
        <w:numPr>
          <w:ilvl w:val="0"/>
          <w:numId w:val="1"/>
        </w:numPr>
        <w:spacing w:after="80"/>
      </w:pPr>
      <w:r>
        <w:rPr>
          <w:sz w:val="19"/>
          <w:szCs w:val="19"/>
        </w:rPr>
        <w:t xml:space="preserve">O mecanismo de trust account via Public Trust Fee Protect é o item mais próximo de uma salvaguarda financeira formal, mas protege apenas os valores pagos antecipadamente.</w:t>
      </w:r>
    </w:p>
    <w:p>
      <w:pPr>
        <w:pStyle w:val="Heading1"/>
        <w:pageBreakBefore/>
        <w:spacing w:after="200" w:before="200"/>
      </w:pPr>
      <w:r>
        <w:rPr>
          <w:b/>
          <w:bCs/>
          <w:sz w:val="30"/>
          <w:szCs w:val="30"/>
        </w:rPr>
        <w:t xml:space="preserve">Canadá</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8EEF7" w:color="auto" w:val="clear"/>
            <w:tcMar>
              <w:top w:type="dxa" w:w="80"/>
              <w:left w:type="dxa" w:w="100"/>
              <w:bottom w:type="dxa" w:w="80"/>
              <w:right w:type="dxa" w:w="100"/>
            </w:tcMar>
          </w:tcPr>
          <w:p>
            <w:pPr>
              <w:spacing w:after="60"/>
            </w:pPr>
            <w:r>
              <w:rPr>
                <w:b/>
                <w:bCs/>
                <w:sz w:val="19"/>
                <w:szCs w:val="19"/>
              </w:rPr>
              <w:t xml:space="preserve">1. País</w:t>
            </w:r>
          </w:p>
        </w:tc>
        <w:tc>
          <w:tcPr>
            <w:tcW w:type="dxa" w:w="6900"/>
            <w:tcMar>
              <w:top w:type="dxa" w:w="80"/>
              <w:left w:type="dxa" w:w="100"/>
              <w:bottom w:type="dxa" w:w="80"/>
              <w:right w:type="dxa" w:w="100"/>
            </w:tcMar>
          </w:tcPr>
          <w:p>
            <w:pPr>
              <w:spacing w:after="60"/>
            </w:pPr>
            <w:r>
              <w:rPr>
                <w:b w:val="false"/>
                <w:bCs w:val="false"/>
                <w:sz w:val="19"/>
                <w:szCs w:val="19"/>
              </w:rPr>
              <w:t xml:space="preserve">Canadá. Não existe regulador federal único de educação; a regulação de instituições privadas de idiomas é provincial. A única camada federal relevante é a designação DLI (Designated Learning Institution) da IRCC, exigida para o visto de estudante, mas a designação em si é feita pela província ou território. Foco desta análise: Ontario, British Columbia e Quebec, as províncias mais relevantes para escolas de idiomas.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2. Regulador ou acreditador (nome oficial, sigla, URL)</w:t>
            </w:r>
          </w:p>
        </w:tc>
        <w:tc>
          <w:tcPr>
            <w:tcW w:type="dxa" w:w="6900"/>
            <w:tcMar>
              <w:top w:type="dxa" w:w="80"/>
              <w:left w:type="dxa" w:w="100"/>
              <w:bottom w:type="dxa" w:w="80"/>
              <w:right w:type="dxa" w:w="100"/>
            </w:tcMar>
          </w:tcPr>
          <w:p>
            <w:pPr>
              <w:spacing w:after="60"/>
            </w:pPr>
            <w:r>
              <w:rPr>
                <w:b w:val="false"/>
                <w:bCs w:val="false"/>
                <w:sz w:val="19"/>
                <w:szCs w:val="19"/>
              </w:rPr>
              <w:t xml:space="preserve">Federal (visto): Immigration, Refugees and Citizenship Canada (IRCC), administra a lista e o portal DLI: https://www.canada.ca/en/immigration-refugees-citizenship/services/study-canada/study-permit/prepare/designated-learning-institutions-list.html. Ontario: Ministry of Colleges, Universities, Research Excellence and Security (antigo Ministry of Colleges and Universities), Career Colleges Branch, regula os career colleges: https://www.ontario.ca/page/career-colleges. British Columbia: Private Training Institutions Regulatory Unit (PTIRU), dentro do Ministry of Post-Secondary Education and Future Skills, nome atual desde meados de 2024, substituindo o antigo Private Training Institutions Branch (PTIB): https://www.privatetraininginstitutions.gov.bc.ca/. Quebec: Ministère de l Éducation/Ministère de l Enseignement supérieur, sob a Loi sur l enseignement privé, para o permis de operação; e Ministère de l Immigration, de la Francisation et de l Intégration (MIFI), que designa os Établissements d enseignement désignés (EED) para fins de CAQ e imigração: https://www.quebec.ca/education/prescolaire-primaire-et-secondaire/administration-encadrements/obligations-etablissements-enseignement-prives. Languages Canada é associação e acreditadora setorial voluntária, sem poder estatutário, formada em 2008 pela fusão de CAPLS e CLC; não é órgão de governo e a adesão a ela não substitui nem garante registro regulatório provincial: https://www.languagescanada.ca/en/languages-canada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3. Base legal (lei ou regulamento)</w:t>
            </w:r>
          </w:p>
        </w:tc>
        <w:tc>
          <w:tcPr>
            <w:tcW w:type="dxa" w:w="6900"/>
            <w:tcMar>
              <w:top w:type="dxa" w:w="80"/>
              <w:left w:type="dxa" w:w="100"/>
              <w:bottom w:type="dxa" w:w="80"/>
              <w:right w:type="dxa" w:w="100"/>
            </w:tcMar>
          </w:tcPr>
          <w:p>
            <w:pPr>
              <w:spacing w:after="60"/>
            </w:pPr>
            <w:r>
              <w:rPr>
                <w:b w:val="false"/>
                <w:bCs w:val="false"/>
                <w:sz w:val="19"/>
                <w:szCs w:val="19"/>
              </w:rPr>
              <w:t xml:space="preserve">Federal: Immigration and Refugee Protection Regulations (IRPR), regras de study permit e DLI. Ontario: Ontario Career Colleges Act, 2005, S.O. 2005, c.28, Sched. L, renomeada desde 1/1/2024 a partir da antiga Private Career Colleges Act, 2005, mais regulamentos, incluindo O.Reg 467/16 sobre o Training Completion Assurance Fund. British Columbia: Private Training Act, SBC 2015, c.5, que substituiu a antiga Private Career Training Institutions Act, mais Private Training Regulation (BC Reg 153/2016) e Fees and Student Tuition Protection Fund Regulation (BC Reg 140/2016). Quebec: Loi sur l enseignement privé, RLRQ c E-9.1.</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4. Registro obrigatório para receber estudante internacional (existe? nome e URL da lista pública)</w:t>
            </w:r>
          </w:p>
        </w:tc>
        <w:tc>
          <w:tcPr>
            <w:tcW w:type="dxa" w:w="6900"/>
            <w:tcMar>
              <w:top w:type="dxa" w:w="80"/>
              <w:left w:type="dxa" w:w="100"/>
              <w:bottom w:type="dxa" w:w="80"/>
              <w:right w:type="dxa" w:w="100"/>
            </w:tcMar>
          </w:tcPr>
          <w:p>
            <w:pPr>
              <w:spacing w:after="60"/>
            </w:pPr>
            <w:r>
              <w:rPr>
                <w:b w:val="false"/>
                <w:bCs w:val="false"/>
                <w:sz w:val="19"/>
                <w:szCs w:val="19"/>
              </w:rPr>
              <w:t xml:space="preserve">Sim, para fins de visto federal: a instituição precisa constar na IRCC Designated Learning Institutions List, pesquisável por província, nome ou número DLI: https://www.canada.ca/en/immigration-refugees-citizenship/services/study-canada/study-permit/prepare/designated-learning-institutions-list.html. Pré-requisito: a instituição precisa primeiro ser designada ou registrada pela província (registro de career college em Ontario, certificado da PTIRU em BC, ou status de EED junto ao MIFI em Quebec) antes de aparecer na lista federal.</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5. Órgão de registro empresarial (nome oficial, URL de busca)</w:t>
            </w:r>
          </w:p>
        </w:tc>
        <w:tc>
          <w:tcPr>
            <w:tcW w:type="dxa" w:w="6900"/>
            <w:tcMar>
              <w:top w:type="dxa" w:w="80"/>
              <w:left w:type="dxa" w:w="100"/>
              <w:bottom w:type="dxa" w:w="80"/>
              <w:right w:type="dxa" w:w="100"/>
            </w:tcMar>
          </w:tcPr>
          <w:p>
            <w:pPr>
              <w:spacing w:after="60"/>
            </w:pPr>
            <w:r>
              <w:rPr>
                <w:b w:val="false"/>
                <w:bCs w:val="false"/>
                <w:sz w:val="19"/>
                <w:szCs w:val="19"/>
              </w:rPr>
              <w:t xml:space="preserve">Federal: Corporations Canada, parte do Innovation, Science and Economic Development Canada (ISED). Busca: https://ised-isde.canada.ca/cc/lgcy/fdrlCrpSrch.html, com agregador multi-jurisdicional em https://ised-isde.canada.ca/cbr-rec/en/search. Ontario: Ontario Business Registry (ONBIS): https://www.ontario.ca/page/ontario-business-registry. British Columbia: BC Registry Services/OrgBook BC: https://www.bcregistry.gov.bc.ca/ e https://orgbook.gov.bc.ca/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6. O que exatamente é público no registro (status e diretores, ou demonstrações financeiras completas; isenções)</w:t>
            </w:r>
          </w:p>
        </w:tc>
        <w:tc>
          <w:tcPr>
            <w:tcW w:type="dxa" w:w="6900"/>
            <w:tcMar>
              <w:top w:type="dxa" w:w="80"/>
              <w:left w:type="dxa" w:w="100"/>
              <w:bottom w:type="dxa" w:w="80"/>
              <w:right w:type="dxa" w:w="100"/>
            </w:tcMar>
          </w:tcPr>
          <w:p>
            <w:pPr>
              <w:spacing w:after="60"/>
            </w:pPr>
            <w:r>
              <w:rPr>
                <w:b w:val="false"/>
                <w:bCs w:val="false"/>
                <w:sz w:val="19"/>
                <w:szCs w:val="19"/>
              </w:rPr>
              <w:t xml:space="preserve">Público: nome da empresa, número de registro, status, endereço do escritório registrado, nomes de diretores e administradores, histórico de arquivamentos (annual return). ATENÇÃO: demonstrações financeiras completas não são públicas para a maioria das empresas privadas no Canadá, nem no nível federal nem em Ontario ou British Columbia. Sob a Canada Business Corporations Act (CBCA), a maioria das corporações não precisa depositar demonstrações financeiras junto à Corporations Canada, apenas fornecê-las aos acionistas com pelo menos 21 dias de antecedência da assembleia anual. Isentas de publicar contas: todas as corporações não distribuidoras (fechadas); apenas distributing corporations, ou seja, companhias abertas, devem depositar demonstrações financeiras e circulares de procuração. O mesmo padrão aparece descrito para a Ontario Business Corporations Act e a BC Business Corporations Act, confirmado apenas via fontes secundárias qualificadas, não por citação direta do texto legal provincial.</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7. Custo e necessidade de conta; defasagem entre fim do exercício e publicação das contas</w:t>
            </w:r>
          </w:p>
        </w:tc>
        <w:tc>
          <w:tcPr>
            <w:tcW w:type="dxa" w:w="6900"/>
            <w:tcMar>
              <w:top w:type="dxa" w:w="80"/>
              <w:left w:type="dxa" w:w="100"/>
              <w:bottom w:type="dxa" w:w="80"/>
              <w:right w:type="dxa" w:w="100"/>
            </w:tcMar>
          </w:tcPr>
          <w:p>
            <w:pPr>
              <w:spacing w:after="60"/>
            </w:pPr>
            <w:r>
              <w:rPr>
                <w:b w:val="false"/>
                <w:bCs w:val="false"/>
                <w:sz w:val="19"/>
                <w:szCs w:val="19"/>
              </w:rPr>
              <w:t xml:space="preserve">Corporations Canada: busca básica gratuita, sem conta; documentos e certidões têm taxa por item. Ontario Business Registry: busca de nome básica gratuita; relatório de perfil corporativo completo tem taxa e normalmente exige conta. BC Registries: busca básica gratuita; certificado ou relatório completo tem taxa e exige conta. Não há prazo de publicação de contas no sentido tradicional, pois não há obrigação de depósito; existe apenas o prazo do annual return não financeiro (CBCA: até 60 dias após a data-aniversário da constituição), que confirma só existência e diretoria, não dados financeiros.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8. Registro de insolvência e diário oficial equivalente (URL)</w:t>
            </w:r>
          </w:p>
        </w:tc>
        <w:tc>
          <w:tcPr>
            <w:tcW w:type="dxa" w:w="6900"/>
            <w:tcMar>
              <w:top w:type="dxa" w:w="80"/>
              <w:left w:type="dxa" w:w="100"/>
              <w:bottom w:type="dxa" w:w="80"/>
              <w:right w:type="dxa" w:w="100"/>
            </w:tcMar>
          </w:tcPr>
          <w:p>
            <w:pPr>
              <w:spacing w:after="60"/>
            </w:pPr>
            <w:r>
              <w:rPr>
                <w:b w:val="false"/>
                <w:bCs w:val="false"/>
                <w:sz w:val="19"/>
                <w:szCs w:val="19"/>
              </w:rPr>
              <w:t xml:space="preserve">Office of the Superintendent of Bankruptcy (OSB Canada), parte do ISED. Base de dados nacional Bankruptcy and Insolvency Records Search, com falências e propostas desde 1978, receiverships desde 1993, e processos sob a Companies Creditors Arrangement Act (CCAA) desde 18/9/2009: https://www.ic.gc.ca/app/scr/bsf-osb/ins/login.html. Busca paga, cerca de CAD 8 por lote de até 10 resultados, e exige conta ISED.</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9. Mecanismo de proteção financeira do aluno ou do agente (nome oficial, como acionar)</w:t>
            </w:r>
          </w:p>
        </w:tc>
        <w:tc>
          <w:tcPr>
            <w:tcW w:type="dxa" w:w="6900"/>
            <w:tcMar>
              <w:top w:type="dxa" w:w="80"/>
              <w:left w:type="dxa" w:w="100"/>
              <w:bottom w:type="dxa" w:w="80"/>
              <w:right w:type="dxa" w:w="100"/>
            </w:tcMar>
          </w:tcPr>
          <w:p>
            <w:pPr>
              <w:spacing w:after="60"/>
            </w:pPr>
            <w:r>
              <w:rPr>
                <w:b w:val="false"/>
                <w:bCs w:val="false"/>
                <w:sz w:val="19"/>
                <w:szCs w:val="19"/>
              </w:rPr>
              <w:t xml:space="preserve">Por província: Ontario mantém o Training Completion Assurance Fund (TCAF), participação obrigatória para todos os career colleges registrados; em caso de fechamento, garante conclusão do treinamento em outra instituição ou reembolso parcial das mensalidades não cursadas, sob O.Reg 467/16. Como acionar: reclamação junto ao Ministry via processo de career college closure: https://www.ontario.ca/page/training-completion-assurance-fund-financial-security. British Columbia mantém o Student Tuition Protection Fund (STF), sob a Fees and Student Tuition Protection Fund Regulation (BC Reg 140/2016); alunos podem reivindicar reembolso se a instituição perder o certificado ou fizer declarações enganosas. Como acionar: reclamação junto à PTIRU: https://www.privatetraininginstitutions.gov.bc.ca/students. Quebec: não confirmado em fonte oficial um fundo público equivalente de proteção de matrícula para alunos de escolas de idiomas ou instituições privadas; a Loi sur l enseignement privé prevê exigências financeiras para o permis, mas sem confirmação de mecanismo de reembolso ao estudante em caso de fechamento.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10. Substituto de análise financeira quando não há contas públicas</w:t>
            </w:r>
          </w:p>
        </w:tc>
        <w:tc>
          <w:tcPr>
            <w:tcW w:type="dxa" w:w="6900"/>
            <w:tcMar>
              <w:top w:type="dxa" w:w="80"/>
              <w:left w:type="dxa" w:w="100"/>
              <w:bottom w:type="dxa" w:w="80"/>
              <w:right w:type="dxa" w:w="100"/>
            </w:tcMar>
          </w:tcPr>
          <w:p>
            <w:pPr>
              <w:spacing w:after="60"/>
            </w:pPr>
            <w:r>
              <w:rPr>
                <w:b w:val="false"/>
                <w:bCs w:val="false"/>
                <w:sz w:val="19"/>
                <w:szCs w:val="19"/>
              </w:rPr>
              <w:t xml:space="preserve">Bankruptcy and Insolvency Records Search (OSB) para verificar processos de falência, proposta ou receivership em andamento contra a instituição ou seus diretores; status ativo e em dia no registro empresarial federal ou provincial, já que dissolução ou liquidação é sinal de alerta direto; status de registro ou designação junto ao regulador provincial e presença ativa na IRCC DLI list, pois suspensão ou perda de designação é o sinal regulatório mais direto disponível publicamente; para career colleges em Ontario, o valor da garantia financeira (surety bond ou letter of credit) depositada junto ao Ministry é proxy indireto do porte declarado da operação.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11. Limitações: o que um agente brasileiro não consegue ver</w:t>
            </w:r>
          </w:p>
        </w:tc>
        <w:tc>
          <w:tcPr>
            <w:tcW w:type="dxa" w:w="6900"/>
            <w:tcMar>
              <w:top w:type="dxa" w:w="80"/>
              <w:left w:type="dxa" w:w="100"/>
              <w:bottom w:type="dxa" w:w="80"/>
              <w:right w:type="dxa" w:w="100"/>
            </w:tcMar>
          </w:tcPr>
          <w:p>
            <w:pPr>
              <w:spacing w:after="60"/>
            </w:pPr>
            <w:r>
              <w:rPr>
                <w:b w:val="false"/>
                <w:bCs w:val="false"/>
                <w:sz w:val="19"/>
                <w:szCs w:val="19"/>
              </w:rPr>
              <w:t xml:space="preserve">Não é possível ver demonstrações financeiras completas de escolas de idiomas privadas em nenhum dos registros federais, de Ontario ou de British Columbia; não há visibilidade do saldo ou da exposição por escola dentro do TCAF ou do STF; a solvência corrente não é visível, pois apenas falências já formalmente processadas aparecem no registro do OSB; em Quebec, nenhum mecanismo público de reembolso ao estudante foi confirmado, lacuna relevante frente a Ontario e British Columbia; o selo Languages Canada não é garantia regulatória nem indica solidez financeira, é apenas acreditação voluntária de qualidade.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12. URL primária de cada afirmação e data da verificação</w:t>
            </w:r>
          </w:p>
        </w:tc>
        <w:tc>
          <w:tcPr>
            <w:tcW w:type="dxa" w:w="6900"/>
            <w:tcMar>
              <w:top w:type="dxa" w:w="80"/>
              <w:left w:type="dxa" w:w="100"/>
              <w:bottom w:type="dxa" w:w="80"/>
              <w:right w:type="dxa" w:w="100"/>
            </w:tcMar>
          </w:tcPr>
          <w:p>
            <w:pPr>
              <w:spacing w:after="60"/>
            </w:pPr>
            <w:r>
              <w:rPr>
                <w:b w:val="false"/>
                <w:bCs w:val="false"/>
                <w:sz w:val="19"/>
                <w:szCs w:val="19"/>
              </w:rPr>
              <w:t xml:space="preserve">URLs listadas em cada campo. Verificação em 12/09/2026, via busca indexada; o acesso direto (WebFetch) esteve bloqueado nesta sessão para qualquer domínio testado.</w:t>
            </w:r>
          </w:p>
        </w:tc>
      </w:tr>
    </w:tbl>
    <w:p>
      <w:pPr>
        <w:pStyle w:val="Heading3"/>
        <w:spacing w:after="100" w:before="200"/>
      </w:pPr>
      <w:r>
        <w:rPr>
          <w:b/>
          <w:bCs/>
          <w:sz w:val="21"/>
          <w:szCs w:val="21"/>
        </w:rPr>
        <w:t xml:space="preserve">Notas</w:t>
      </w:r>
    </w:p>
    <w:p>
      <w:pPr>
        <w:pStyle w:val="ListParagraph"/>
        <w:numPr>
          <w:ilvl w:val="0"/>
          <w:numId w:val="1"/>
        </w:numPr>
        <w:spacing w:after="80"/>
      </w:pPr>
      <w:r>
        <w:rPr>
          <w:sz w:val="19"/>
          <w:szCs w:val="19"/>
        </w:rPr>
        <w:t xml:space="preserve">A divisão federal e provincial deve ser tratada como real em qualquer due diligence: a DLI (IRCC) confirma elegibilidade para visto, não solidez financeira nem qualidade; o registro provincial confirma autorização para operar como escola vocacional ou privada; a Languages Canada confirma apenas adesão voluntária a padrões de qualidade setorial.</w:t>
      </w:r>
    </w:p>
    <w:p>
      <w:pPr>
        <w:pStyle w:val="ListParagraph"/>
        <w:numPr>
          <w:ilvl w:val="0"/>
          <w:numId w:val="1"/>
        </w:numPr>
        <w:spacing w:after="80"/>
      </w:pPr>
      <w:r>
        <w:rPr>
          <w:sz w:val="19"/>
          <w:szCs w:val="19"/>
        </w:rPr>
        <w:t xml:space="preserve">British Columbia: o nome Private Training Institutions Branch (PTIB) está desatualizado desde meados de 2024; o nome atual é Private Training Institutions Regulatory Unit (PTIRU).</w:t>
      </w:r>
    </w:p>
    <w:p>
      <w:pPr>
        <w:pStyle w:val="ListParagraph"/>
        <w:numPr>
          <w:ilvl w:val="0"/>
          <w:numId w:val="1"/>
        </w:numPr>
        <w:spacing w:after="80"/>
      </w:pPr>
      <w:r>
        <w:rPr>
          <w:sz w:val="19"/>
          <w:szCs w:val="19"/>
        </w:rPr>
        <w:t xml:space="preserve">Ontario: o nome Private Career Colleges Act está desatualizado desde 1/1/2024; o nome atual é Ontario Career Colleges Act, 2005.</w:t>
      </w:r>
    </w:p>
    <w:p>
      <w:pPr>
        <w:pStyle w:val="ListParagraph"/>
        <w:numPr>
          <w:ilvl w:val="0"/>
          <w:numId w:val="1"/>
        </w:numPr>
        <w:spacing w:after="80"/>
      </w:pPr>
      <w:r>
        <w:rPr>
          <w:sz w:val="19"/>
          <w:szCs w:val="19"/>
        </w:rPr>
        <w:t xml:space="preserve">Quebec é a lacuna mais relevante do mapeamento: não há fonte oficial primária confirmando um fundo de proteção de matrícula equivalente ao TCAF ou ao STF; verificar diretamente com o Ministério antes de qualquer decisão comercial.</w:t>
      </w:r>
    </w:p>
    <w:p>
      <w:pPr>
        <w:pStyle w:val="ListParagraph"/>
        <w:numPr>
          <w:ilvl w:val="0"/>
          <w:numId w:val="1"/>
        </w:numPr>
        <w:spacing w:after="80"/>
      </w:pPr>
      <w:r>
        <w:rPr>
          <w:sz w:val="19"/>
          <w:szCs w:val="19"/>
        </w:rPr>
        <w:t xml:space="preserve">Em British Columbia, o Private Training Act só se aplica a programas com tuition igual ou superior a CAD 4.000 e igual ou superior a 40 horas de instrução; em Ontario, programas de instrução exclusivamente de idioma, que não formam professores de idioma, parecem estar isentos de aprovação do Superintendent. Isso deve ser confirmado caso a caso junto ao regulador antes de assumir cobertura pelo fundo de proteção.</w:t>
      </w:r>
    </w:p>
    <w:p>
      <w:pPr>
        <w:pStyle w:val="Heading1"/>
        <w:pageBreakBefore/>
        <w:spacing w:after="200" w:before="200"/>
      </w:pPr>
      <w:r>
        <w:rPr>
          <w:b/>
          <w:bCs/>
          <w:sz w:val="30"/>
          <w:szCs w:val="30"/>
        </w:rPr>
        <w:t xml:space="preserve">Estados Unidos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8EEF7" w:color="auto" w:val="clear"/>
            <w:tcMar>
              <w:top w:type="dxa" w:w="80"/>
              <w:left w:type="dxa" w:w="100"/>
              <w:bottom w:type="dxa" w:w="80"/>
              <w:right w:type="dxa" w:w="100"/>
            </w:tcMar>
          </w:tcPr>
          <w:p>
            <w:pPr>
              <w:spacing w:after="60"/>
            </w:pPr>
            <w:r>
              <w:rPr>
                <w:b/>
                <w:bCs/>
                <w:sz w:val="19"/>
                <w:szCs w:val="19"/>
              </w:rPr>
              <w:t xml:space="preserve">1. País</w:t>
            </w:r>
          </w:p>
        </w:tc>
        <w:tc>
          <w:tcPr>
            <w:tcW w:type="dxa" w:w="6900"/>
            <w:tcMar>
              <w:top w:type="dxa" w:w="80"/>
              <w:left w:type="dxa" w:w="100"/>
              <w:bottom w:type="dxa" w:w="80"/>
              <w:right w:type="dxa" w:w="100"/>
            </w:tcMar>
          </w:tcPr>
          <w:p>
            <w:pPr>
              <w:spacing w:after="60"/>
            </w:pPr>
            <w:r>
              <w:rPr>
                <w:b w:val="false"/>
                <w:bCs w:val="false"/>
                <w:sz w:val="19"/>
                <w:szCs w:val="19"/>
              </w:rPr>
              <w:t xml:space="preserve">Estados Unidos.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2. Regulador ou acreditador (nome oficial, sigla, URL)</w:t>
            </w:r>
          </w:p>
        </w:tc>
        <w:tc>
          <w:tcPr>
            <w:tcW w:type="dxa" w:w="6900"/>
            <w:tcMar>
              <w:top w:type="dxa" w:w="80"/>
              <w:left w:type="dxa" w:w="100"/>
              <w:bottom w:type="dxa" w:w="80"/>
              <w:right w:type="dxa" w:w="100"/>
            </w:tcMar>
          </w:tcPr>
          <w:p>
            <w:pPr>
              <w:spacing w:after="60"/>
            </w:pPr>
            <w:r>
              <w:rPr>
                <w:b w:val="false"/>
                <w:bCs w:val="false"/>
                <w:sz w:val="19"/>
                <w:szCs w:val="19"/>
              </w:rPr>
              <w:t xml:space="preserve">SEVP (Student and Exchange Visitor Program), do ICE/DHS, responsável pela certificação de escolas emissoras de I-20 para alunos F-1/M-1: https://www.ice.gov/sevis ; portal operacional: https://studyinthestates.dhs.gov/. Para acreditação de programas de inglês reconhecida pelo Department of Education: CEA (Commission on English Language Program Accreditation) e ACCET (Accrediting Council for Continuing Education and Training). A ACCET aparece citada em página oficial do Department of Education, Institutional Accrediting Agencies: https://www.ed.gov/laws-and-policy/higher-education-laws-and-policy/college-accreditation/institutional-accrediting-agencies. O reconhecimento da CEA pelo Secretary of Education, em 2003, não foi confirmado em fonte oficial ed.gov diretamente nesta pesquisa. Base de consulta oficial de acreditadores e agências reconhecidas: DAPIP (Database of Accredited Postsecondary Institutions and Programs): https://ope.ed.gov/dapip/#/home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3. Base legal (lei ou regulamento)</w:t>
            </w:r>
          </w:p>
        </w:tc>
        <w:tc>
          <w:tcPr>
            <w:tcW w:type="dxa" w:w="6900"/>
            <w:tcMar>
              <w:top w:type="dxa" w:w="80"/>
              <w:left w:type="dxa" w:w="100"/>
              <w:bottom w:type="dxa" w:w="80"/>
              <w:right w:type="dxa" w:w="100"/>
            </w:tcMar>
          </w:tcPr>
          <w:p>
            <w:pPr>
              <w:spacing w:after="60"/>
            </w:pPr>
            <w:r>
              <w:rPr>
                <w:b w:val="false"/>
                <w:bCs w:val="false"/>
                <w:sz w:val="19"/>
                <w:szCs w:val="19"/>
              </w:rPr>
              <w:t xml:space="preserve">Immigration and Nationality Act (INA), secção 101(a)(15)(F) e (M); 8 CFR 214.3, sobre certificação e recertificação, e 8 CFR 214.4, sobre negação ou retirada de certificação: https://www.ecfr.gov/current/title-8/chapter-I/subchapter-B/part-214/subpart-A/section-214.3 e a secção 214.4 do mesmo título. Reconhecimento de acreditadoras: Higher Education Act (HEA), secção 496, e 34 CFR Part 602, com obrigação de reporte ao DAPIP prevista em 34 CFR 602.26 e 602.27.</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4. Registro obrigatório para receber estudante internacional (existe? nome e URL da lista pública)</w:t>
            </w:r>
          </w:p>
        </w:tc>
        <w:tc>
          <w:tcPr>
            <w:tcW w:type="dxa" w:w="6900"/>
            <w:tcMar>
              <w:top w:type="dxa" w:w="80"/>
              <w:left w:type="dxa" w:w="100"/>
              <w:bottom w:type="dxa" w:w="80"/>
              <w:right w:type="dxa" w:w="100"/>
            </w:tcMar>
          </w:tcPr>
          <w:p>
            <w:pPr>
              <w:spacing w:after="60"/>
            </w:pPr>
            <w:r>
              <w:rPr>
                <w:b w:val="false"/>
                <w:bCs w:val="false"/>
                <w:sz w:val="19"/>
                <w:szCs w:val="19"/>
              </w:rPr>
              <w:t xml:space="preserve">Sim. Toda escola que deseja matricular alunos F-1/M-1 precisa ser certificada pelo SEVP mediante o Form I-17, protocolado no sistema SEVIS. Lista pública consultável: School Search, ferramenta oficial do DHS: https://studyinthestates.dhs.gov/school-search, que confirma status SEVP certified, tipo F ou M, e campus principal ou secundários. A URL exata e atual de uma eventual lista de escolas descertificadas (School Alerts) não foi confirmada em fonte oficial nesta sessão; referência geral: https://www.ice.gov/sevis/schools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5. Órgão de registro empresarial (nome oficial, URL de busca)</w:t>
            </w:r>
          </w:p>
        </w:tc>
        <w:tc>
          <w:tcPr>
            <w:tcW w:type="dxa" w:w="6900"/>
            <w:tcMar>
              <w:top w:type="dxa" w:w="80"/>
              <w:left w:type="dxa" w:w="100"/>
              <w:bottom w:type="dxa" w:w="80"/>
              <w:right w:type="dxa" w:w="100"/>
            </w:tcMar>
          </w:tcPr>
          <w:p>
            <w:pPr>
              <w:spacing w:after="60"/>
            </w:pPr>
            <w:r>
              <w:rPr>
                <w:b w:val="false"/>
                <w:bCs w:val="false"/>
                <w:sz w:val="19"/>
                <w:szCs w:val="19"/>
              </w:rPr>
              <w:t xml:space="preserve">Não existe registro empresarial federal único nos Estados Unidos: cada empresa se registra no Secretary of State do estado onde foi incorporada, com registro adicional como foreign entity nos estados onde efetivamente opera. Exemplos ilustrativos: Delaware, Division of Corporations: https://icis.corp.delaware.gov/ecorp/entitysearch/namesearch.aspx. Califórnia, Secretary of State, bizfile Online: https://bizfileonline.sos.ca.gov/search/business</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6. O que exatamente é público no registro (status e diretores, ou demonstrações financeiras completas; isenções)</w:t>
            </w:r>
          </w:p>
        </w:tc>
        <w:tc>
          <w:tcPr>
            <w:tcW w:type="dxa" w:w="6900"/>
            <w:tcMar>
              <w:top w:type="dxa" w:w="80"/>
              <w:left w:type="dxa" w:w="100"/>
              <w:bottom w:type="dxa" w:w="80"/>
              <w:right w:type="dxa" w:w="100"/>
            </w:tcMar>
          </w:tcPr>
          <w:p>
            <w:pPr>
              <w:spacing w:after="60"/>
            </w:pPr>
            <w:r>
              <w:rPr>
                <w:b w:val="false"/>
                <w:bCs w:val="false"/>
                <w:sz w:val="19"/>
                <w:szCs w:val="19"/>
              </w:rPr>
              <w:t xml:space="preserve">Em ambos os estados de exemplo, a consulta básica e gratuita retorna apenas nome da entidade, número de registro, data de constituição, tipo de entidade e o registered agent, nome e endereço. O Annual Report/Franchise Tax Report de Delaware pede endereço da sede, natureza do negócio e dados de diretores ou agente registrado, mas não demonstrações financeiras. ATENÇÃO: demonstrações financeiras completas de empresas privadas com fins lucrativos não são públicas via registro estadual em nenhum dos dois estados verificados. Exceção confirmada: organizações sem fins lucrativos isentas de imposto (IRC 501(c)(3) e correlatas) são obrigadas a arquivar anualmente o Form 990 junto ao IRS, documento público que traz receitas, despesas, remuneração de dirigentes e patrimônio líquido: https://www.irs.gov/charities-non-profits/tax-exempt-organization-search</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7. Custo e necessidade de conta; defasagem entre fim do exercício e publicação das contas</w:t>
            </w:r>
          </w:p>
        </w:tc>
        <w:tc>
          <w:tcPr>
            <w:tcW w:type="dxa" w:w="6900"/>
            <w:tcMar>
              <w:top w:type="dxa" w:w="80"/>
              <w:left w:type="dxa" w:w="100"/>
              <w:bottom w:type="dxa" w:w="80"/>
              <w:right w:type="dxa" w:w="100"/>
            </w:tcMar>
          </w:tcPr>
          <w:p>
            <w:pPr>
              <w:spacing w:after="60"/>
            </w:pPr>
            <w:r>
              <w:rPr>
                <w:b w:val="false"/>
                <w:bCs w:val="false"/>
                <w:sz w:val="19"/>
                <w:szCs w:val="19"/>
              </w:rPr>
              <w:t xml:space="preserve">Secretary of State em Delaware e Califórnia: busca básica de nome e status gratuita, sem conta. Em Delaware, informações adicionais de status custam USD 10,00 por entidade, e um relatório mais completo, incluindo franchise tax e histórico de arquivamentos, custa USD 20,00 por entidade, pagamento pontual sem conta prévia. IRS Form 990, via TEOS: gratuito, sem conta. Defasagem: o Form 990 deve ser entregue até o 15º dia do 5º mês após o fim do exercício fiscal da entidade, com possibilidade de extensão automática de 6 meses via Form 8868, logo a divulgação pública pode ocorrer entre aproximadamente 5 e 11 meses, ou mais, somando o processamento do IRS, após o encerramento do exercício.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8. Registro de insolvência e diário oficial equivalente (URL)</w:t>
            </w:r>
          </w:p>
        </w:tc>
        <w:tc>
          <w:tcPr>
            <w:tcW w:type="dxa" w:w="6900"/>
            <w:tcMar>
              <w:top w:type="dxa" w:w="80"/>
              <w:left w:type="dxa" w:w="100"/>
              <w:bottom w:type="dxa" w:w="80"/>
              <w:right w:type="dxa" w:w="100"/>
            </w:tcMar>
          </w:tcPr>
          <w:p>
            <w:pPr>
              <w:spacing w:after="60"/>
            </w:pPr>
            <w:r>
              <w:rPr>
                <w:b w:val="false"/>
                <w:bCs w:val="false"/>
                <w:sz w:val="19"/>
                <w:szCs w:val="19"/>
              </w:rPr>
              <w:t xml:space="preserve">PACER (Public Access to Court Electronic Records), sistema federal que cobre os U.S. Bankruptcy Courts entre outros tribunais federais: https://pacer.uscourts.gov/. Exige cadastro de conta, gratuito, e cobra USD 0,10 por página, com teto de USD 3,00 por documento, equivalente a 30 páginas. Busca de casos: https://pacer.uscourts.gov/find-case</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9. Mecanismo de proteção financeira do aluno ou do agente (nome oficial, como acionar)</w:t>
            </w:r>
          </w:p>
        </w:tc>
        <w:tc>
          <w:tcPr>
            <w:tcW w:type="dxa" w:w="6900"/>
            <w:tcMar>
              <w:top w:type="dxa" w:w="80"/>
              <w:left w:type="dxa" w:w="100"/>
              <w:bottom w:type="dxa" w:w="80"/>
              <w:right w:type="dxa" w:w="100"/>
            </w:tcMar>
          </w:tcPr>
          <w:p>
            <w:pPr>
              <w:spacing w:after="60"/>
            </w:pPr>
            <w:r>
              <w:rPr>
                <w:b w:val="false"/>
                <w:bCs w:val="false"/>
                <w:sz w:val="19"/>
                <w:szCs w:val="19"/>
              </w:rPr>
              <w:t xml:space="preserve">Em nível federal, não existe fundo, seguro obrigatório, bond ou trust account centralizado especificamente para proteger mensalidades pagas a escolas de inglês privadas nos Estados Unidos; nenhuma norma federal desse tipo foi localizada. Em nível estadual, a Califórnia mantém o Student Tuition Recovery Fund (STRF), administrado pela Bureau for Private Postsecondary Education (BPPE): https://www.bppe.ca.gov/students/strf.shtml. Cobre apenas alunos residentes da Califórnia matriculados em instituição aprovada ou registrada pelo BPPE; instituições acreditadas por agência reconhecida pelo Department of Education, como a CEA, podem ficar isentas da aprovação plena do BPPE (https://www.bppe.ca.gov/schools/accredited_institutions.shtml), reduzindo a cobertura prática do STRF sobre escolas de inglês acreditadas. Fora da Califórnia, nenhum mecanismo estadual equivalente foi localizado.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10. Substituto de análise financeira quando não há contas públicas</w:t>
            </w:r>
          </w:p>
        </w:tc>
        <w:tc>
          <w:tcPr>
            <w:tcW w:type="dxa" w:w="6900"/>
            <w:tcMar>
              <w:top w:type="dxa" w:w="80"/>
              <w:left w:type="dxa" w:w="100"/>
              <w:bottom w:type="dxa" w:w="80"/>
              <w:right w:type="dxa" w:w="100"/>
            </w:tcMar>
          </w:tcPr>
          <w:p>
            <w:pPr>
              <w:spacing w:after="60"/>
            </w:pPr>
            <w:r>
              <w:rPr>
                <w:b w:val="false"/>
                <w:bCs w:val="false"/>
                <w:sz w:val="19"/>
                <w:szCs w:val="19"/>
              </w:rPr>
              <w:t xml:space="preserve">Para organizações sem fins lucrativos: IRS Form 990 via TEOS. Para entidades com fins lucrativos, maioria das escolas de inglês privadas, não há substituto público oficial equivalente; na prática usam-se apenas fontes não governamentais, como bases comerciais (Dun &amp; Bradstreet, pagas e não oficiais), UCC filings (Uniform Commercial Code financing statements) registrados no Secretary of State, que indicam garantias dadas em empréstimos mas não substituem demonstrações financeiras, e consulta ao PACER para processos de falência ou litígios federais em curso.</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11. Limitações: o que um agente brasileiro não consegue ver</w:t>
            </w:r>
          </w:p>
        </w:tc>
        <w:tc>
          <w:tcPr>
            <w:tcW w:type="dxa" w:w="6900"/>
            <w:tcMar>
              <w:top w:type="dxa" w:w="80"/>
              <w:left w:type="dxa" w:w="100"/>
              <w:bottom w:type="dxa" w:w="80"/>
              <w:right w:type="dxa" w:w="100"/>
            </w:tcMar>
          </w:tcPr>
          <w:p>
            <w:pPr>
              <w:spacing w:after="60"/>
            </w:pPr>
            <w:r>
              <w:rPr>
                <w:b w:val="false"/>
                <w:bCs w:val="false"/>
                <w:sz w:val="19"/>
                <w:szCs w:val="19"/>
              </w:rPr>
              <w:t xml:space="preserve">Nenhuma demonstração financeira de escola de inglês com fins lucrativos; a Certified Financial Statement exigida da escola pelo SEVP junto ao Form I-17 é documento de uso interno do DHS/SEVP, não divulgado ao público; processos e dívidas em varas estaduais, não federais, não aparecem no PACER, que cobre só tribunais federais, sem sistema estadual único e nacional de consulta; fora de casos de falência federal ou fechamento súbito, não existe um diário oficial central que sinalize dificuldades financeiras de uma escola com antecedência.</w:t>
            </w:r>
          </w:p>
        </w:tc>
      </w:tr>
      <w:tr>
        <w:tc>
          <w:tcPr>
            <w:tcW w:type="dxa" w:w="2600"/>
            <w:shd w:fill="E8EEF7" w:color="auto" w:val="clear"/>
            <w:tcMar>
              <w:top w:type="dxa" w:w="80"/>
              <w:left w:type="dxa" w:w="100"/>
              <w:bottom w:type="dxa" w:w="80"/>
              <w:right w:type="dxa" w:w="100"/>
            </w:tcMar>
          </w:tcPr>
          <w:p>
            <w:pPr>
              <w:spacing w:after="60"/>
            </w:pPr>
            <w:r>
              <w:rPr>
                <w:b/>
                <w:bCs/>
                <w:sz w:val="19"/>
                <w:szCs w:val="19"/>
              </w:rPr>
              <w:t xml:space="preserve">12. URL primária de cada afirmação e data da verificação</w:t>
            </w:r>
          </w:p>
        </w:tc>
        <w:tc>
          <w:tcPr>
            <w:tcW w:type="dxa" w:w="6900"/>
            <w:tcMar>
              <w:top w:type="dxa" w:w="80"/>
              <w:left w:type="dxa" w:w="100"/>
              <w:bottom w:type="dxa" w:w="80"/>
              <w:right w:type="dxa" w:w="100"/>
            </w:tcMar>
          </w:tcPr>
          <w:p>
            <w:pPr>
              <w:spacing w:after="60"/>
            </w:pPr>
            <w:r>
              <w:rPr>
                <w:b w:val="false"/>
                <w:bCs w:val="false"/>
                <w:sz w:val="19"/>
                <w:szCs w:val="19"/>
              </w:rPr>
              <w:t xml:space="preserve">URLs listadas em cada campo acima. Verificação em 12/09/2026, via busca indexada; o acesso direto (WebFetch) a ice.gov, ed.gov, irs.gov, uscourts.gov, corp.delaware.gov e bizfileonline.sos.ca.gov esteve bloqueado nesta sessão.</w:t>
            </w:r>
          </w:p>
        </w:tc>
      </w:tr>
    </w:tbl>
    <w:p>
      <w:pPr>
        <w:pStyle w:val="Heading3"/>
        <w:spacing w:after="100" w:before="200"/>
      </w:pPr>
      <w:r>
        <w:rPr>
          <w:b/>
          <w:bCs/>
          <w:sz w:val="21"/>
          <w:szCs w:val="21"/>
        </w:rPr>
        <w:t xml:space="preserve">Notas</w:t>
      </w:r>
    </w:p>
    <w:p>
      <w:pPr>
        <w:pStyle w:val="ListParagraph"/>
        <w:numPr>
          <w:ilvl w:val="0"/>
          <w:numId w:val="1"/>
        </w:numPr>
        <w:spacing w:after="80"/>
      </w:pPr>
      <w:r>
        <w:rPr>
          <w:sz w:val="19"/>
          <w:szCs w:val="19"/>
        </w:rPr>
        <w:t xml:space="preserve">Caso ilustrativo, não é fonte oficial, apenas contexto factual amplamente noticiado: o fechamento abrupto da rede de escolas de inglês inlingua na Flórida, em novembro de 2018, deixou estudantes internacionais com mensalidades pré-pagas sem ressarcimento, exemplo da ausência de proteção financeira centralizada para esse tipo de instituição nos Estados Unidos.</w:t>
      </w:r>
    </w:p>
    <w:p>
      <w:pPr>
        <w:pStyle w:val="ListParagraph"/>
        <w:numPr>
          <w:ilvl w:val="0"/>
          <w:numId w:val="1"/>
        </w:numPr>
        <w:spacing w:after="80"/>
      </w:pPr>
      <w:r>
        <w:rPr>
          <w:sz w:val="19"/>
          <w:szCs w:val="19"/>
        </w:rPr>
        <w:t xml:space="preserve">Itens marcados como não confirmado em fonte oficial precisam de verificação adicional quando o acesso de rede permitir, especialmente a listagem atual da CEA na página do Department of Education, a URL exata da página School Alerts, e a confirmação de que os valores de taxa do Form I-17 (USD 3.000 de petição mais USD 655 de visita de fiscalização) permanecem vigentes em 2026.</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2026-09-12T20:58:04.798Z</dcterms:created>
  <dcterms:modified xsi:type="dcterms:W3CDTF">2026-09-12T20:58:04.799Z</dcterms:modified>
</cp:coreProperties>
</file>

<file path=docProps/custom.xml><?xml version="1.0" encoding="utf-8"?>
<Properties xmlns="http://schemas.openxmlformats.org/officeDocument/2006/custom-properties" xmlns:vt="http://schemas.openxmlformats.org/officeDocument/2006/docPropsVTypes"/>
</file>