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t>Agent Wallet Project Brief</w:t>
      </w:r>
    </w:p>
    <w:p>
      <w:pPr>
        <w:spacing w:after="240"/>
      </w:pPr>
      <w:r>
        <w:rPr>
          <w:b/>
        </w:rPr>
        <w:t>Initial implementation and security plan</w:t>
      </w:r>
    </w:p>
    <w:p>
      <w:r>
        <w:rPr>
          <w:b/>
        </w:rPr>
        <w:t xml:space="preserve">Purpose. </w:t>
      </w:r>
      <w:r>
        <w:t>Build a testnet ERC-4337 smart account for AI agents whose target, recipient, session, gas, and USD spending policies are enforced on-chain. The first release must preserve a useful payment flow while stopping prompt injection, leaked-key abuse, calldata tricks, and cross-chain replay.</w:t>
      </w:r>
    </w:p>
    <w:p>
      <w:r>
        <w:t>The critical delivery decision is to land one working Base Sepolia UserOperation by hour 6, complete policy enforcement by hour 12, freeze contracts by hour 16, and reserve the final eight hours for security evidence, rehearsal, and submission.</w:t>
      </w:r>
    </w:p>
    <w:p>
      <w:pPr>
        <w:pStyle w:val="Heading1"/>
        <w:keepNext/>
      </w:pPr>
      <w:r>
        <w:t>Build Outcome</w:t>
      </w:r>
    </w:p>
    <w:p>
      <w:pPr>
        <w:pStyle w:val="ListBullet"/>
      </w:pPr>
      <w:r>
        <w:t>Agent buys API credits and an on-chain ticket through EntryPoint v0.7.</w:t>
      </w:r>
    </w:p>
    <w:p>
      <w:pPr>
        <w:pStyle w:val="ListBullet"/>
      </w:pPr>
      <w:r>
        <w:t>On-chain policy rejects non-allowlisted calls and decoded token recipients or spenders.</w:t>
      </w:r>
    </w:p>
    <w:p>
      <w:pPr>
        <w:pStyle w:val="ListBullet"/>
      </w:pPr>
      <w:r>
        <w:t>Over-limit, unknown-token, and stale-price requests become non-executing pending requests.</w:t>
      </w:r>
    </w:p>
    <w:p>
      <w:pPr>
        <w:pStyle w:val="ListBullet"/>
      </w:pPr>
      <w:r>
        <w:t>Owner controls policy, pause, revoke, approve, and reject through MetaMask.</w:t>
      </w:r>
    </w:p>
    <w:p>
      <w:pPr>
        <w:pStyle w:val="ListBullet"/>
      </w:pPr>
      <w:r>
        <w:t>Every demo claim maps to an automated test and inspectable testnet evidence.</w:t>
      </w:r>
    </w:p>
    <w:p>
      <w:pPr>
        <w:pStyle w:val="Heading1"/>
        <w:keepNext/>
      </w:pPr>
      <w:r>
        <w:t>Locked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trPr>
        <w:tc>
          <w:tcPr>
            <w:tcW w:type="dxa" w:w="1440"/>
            <w:shd w:fill="1F4E78"/>
            <w:vAlign w:val="center"/>
            <w:tcMar>
              <w:top w:w="110" w:type="dxa"/>
              <w:start w:w="110" w:type="dxa"/>
              <w:bottom w:w="110" w:type="dxa"/>
              <w:end w:w="110" w:type="dxa"/>
            </w:tcMar>
          </w:tcPr>
          <w:p>
            <w:pPr>
              <w:jc w:val="center"/>
            </w:pPr>
            <w:r>
              <w:rPr>
                <w:b/>
                <w:color w:val="FFFFFF"/>
                <w:sz w:val="19"/>
              </w:rPr>
              <w:t>Area</w:t>
            </w:r>
          </w:p>
        </w:tc>
        <w:tc>
          <w:tcPr>
            <w:tcW w:type="dxa" w:w="3240"/>
            <w:shd w:fill="1F4E78"/>
            <w:vAlign w:val="center"/>
            <w:tcMar>
              <w:top w:w="110" w:type="dxa"/>
              <w:start w:w="110" w:type="dxa"/>
              <w:bottom w:w="110" w:type="dxa"/>
              <w:end w:w="110" w:type="dxa"/>
            </w:tcMar>
          </w:tcPr>
          <w:p>
            <w:pPr>
              <w:jc w:val="center"/>
            </w:pPr>
            <w:r>
              <w:rPr>
                <w:b/>
                <w:color w:val="FFFFFF"/>
                <w:sz w:val="19"/>
              </w:rPr>
              <w:t>Decision</w:t>
            </w:r>
          </w:p>
        </w:tc>
        <w:tc>
          <w:tcPr>
            <w:tcW w:type="dxa" w:w="4248"/>
            <w:shd w:fill="1F4E78"/>
            <w:vAlign w:val="center"/>
            <w:tcMar>
              <w:top w:w="110" w:type="dxa"/>
              <w:start w:w="110" w:type="dxa"/>
              <w:bottom w:w="110" w:type="dxa"/>
              <w:end w:w="110" w:type="dxa"/>
            </w:tcMar>
          </w:tcPr>
          <w:p>
            <w:pPr>
              <w:jc w:val="center"/>
            </w:pPr>
            <w:r>
              <w:rPr>
                <w:b/>
                <w:color w:val="FFFFFF"/>
                <w:sz w:val="19"/>
              </w:rPr>
              <w:t>Reason</w:t>
            </w:r>
          </w:p>
        </w:tc>
      </w:tr>
      <w:tr>
        <w:trPr>
          <w:cantSplit/>
        </w:trPr>
        <w:tc>
          <w:tcPr>
            <w:tcW w:type="dxa" w:w="1440"/>
            <w:vAlign w:val="center"/>
            <w:tcMar>
              <w:top w:w="110" w:type="dxa"/>
              <w:start w:w="110" w:type="dxa"/>
              <w:bottom w:w="110" w:type="dxa"/>
              <w:end w:w="110" w:type="dxa"/>
            </w:tcMar>
          </w:tcPr>
          <w:p>
            <w:pPr>
              <w:spacing w:after="0" w:line="252" w:lineRule="auto"/>
            </w:pPr>
            <w:r>
              <w:rPr>
                <w:sz w:val="18"/>
              </w:rPr>
              <w:t>Wallet</w:t>
            </w:r>
          </w:p>
        </w:tc>
        <w:tc>
          <w:tcPr>
            <w:tcW w:type="dxa" w:w="3240"/>
            <w:vAlign w:val="center"/>
            <w:tcMar>
              <w:top w:w="110" w:type="dxa"/>
              <w:start w:w="110" w:type="dxa"/>
              <w:bottom w:w="110" w:type="dxa"/>
              <w:end w:w="110" w:type="dxa"/>
            </w:tcMar>
          </w:tcPr>
          <w:p>
            <w:pPr>
              <w:spacing w:after="0" w:line="252" w:lineRule="auto"/>
            </w:pPr>
            <w:r>
              <w:rPr>
                <w:sz w:val="18"/>
              </w:rPr>
              <w:t>Custom IAccount with OpenZeppelin cryptographic utilities</w:t>
            </w:r>
          </w:p>
        </w:tc>
        <w:tc>
          <w:tcPr>
            <w:tcW w:type="dxa" w:w="4248"/>
            <w:vAlign w:val="center"/>
            <w:tcMar>
              <w:top w:w="110" w:type="dxa"/>
              <w:start w:w="110" w:type="dxa"/>
              <w:bottom w:w="110" w:type="dxa"/>
              <w:end w:w="110" w:type="dxa"/>
            </w:tcMar>
          </w:tcPr>
          <w:p>
            <w:pPr>
              <w:spacing w:after="0" w:line="252" w:lineRule="auto"/>
            </w:pPr>
            <w:r>
              <w:rPr>
                <w:sz w:val="18"/>
              </w:rPr>
              <w:t>Demonstrates the ERC-4337 boundary without hand-rolled signature code</w:t>
            </w:r>
          </w:p>
        </w:tc>
      </w:tr>
      <w:tr>
        <w:trPr>
          <w:cantSplit/>
        </w:trPr>
        <w:tc>
          <w:tcPr>
            <w:tcW w:type="dxa" w:w="1440"/>
            <w:vAlign w:val="center"/>
            <w:shd w:fill="F3F7FA"/>
            <w:tcMar>
              <w:top w:w="110" w:type="dxa"/>
              <w:start w:w="110" w:type="dxa"/>
              <w:bottom w:w="110" w:type="dxa"/>
              <w:end w:w="110" w:type="dxa"/>
            </w:tcMar>
          </w:tcPr>
          <w:p>
            <w:pPr>
              <w:spacing w:after="0" w:line="252" w:lineRule="auto"/>
            </w:pPr>
            <w:r>
              <w:rPr>
                <w:sz w:val="18"/>
              </w:rPr>
              <w:t>EntryPoint</w:t>
            </w:r>
          </w:p>
        </w:tc>
        <w:tc>
          <w:tcPr>
            <w:tcW w:type="dxa" w:w="3240"/>
            <w:vAlign w:val="center"/>
            <w:shd w:fill="F3F7FA"/>
            <w:tcMar>
              <w:top w:w="110" w:type="dxa"/>
              <w:start w:w="110" w:type="dxa"/>
              <w:bottom w:w="110" w:type="dxa"/>
              <w:end w:w="110" w:type="dxa"/>
            </w:tcMar>
          </w:tcPr>
          <w:p>
            <w:pPr>
              <w:spacing w:after="0" w:line="252" w:lineRule="auto"/>
            </w:pPr>
            <w:r>
              <w:rPr>
                <w:sz w:val="18"/>
              </w:rPr>
              <w:t>v0.7 PackedUserOperation</w:t>
            </w:r>
          </w:p>
        </w:tc>
        <w:tc>
          <w:tcPr>
            <w:tcW w:type="dxa" w:w="4248"/>
            <w:vAlign w:val="center"/>
            <w:shd w:fill="F3F7FA"/>
            <w:tcMar>
              <w:top w:w="110" w:type="dxa"/>
              <w:start w:w="110" w:type="dxa"/>
              <w:bottom w:w="110" w:type="dxa"/>
              <w:end w:w="110" w:type="dxa"/>
            </w:tcMar>
          </w:tcPr>
          <w:p>
            <w:pPr>
              <w:spacing w:after="0" w:line="252" w:lineRule="auto"/>
            </w:pPr>
            <w:r>
              <w:rPr>
                <w:sz w:val="18"/>
              </w:rPr>
              <w:t>Matches the selected Base Sepolia bundler path</w:t>
            </w:r>
          </w:p>
        </w:tc>
      </w:tr>
      <w:tr>
        <w:trPr>
          <w:cantSplit/>
        </w:trPr>
        <w:tc>
          <w:tcPr>
            <w:tcW w:type="dxa" w:w="1440"/>
            <w:vAlign w:val="center"/>
            <w:tcMar>
              <w:top w:w="110" w:type="dxa"/>
              <w:start w:w="110" w:type="dxa"/>
              <w:bottom w:w="110" w:type="dxa"/>
              <w:end w:w="110" w:type="dxa"/>
            </w:tcMar>
          </w:tcPr>
          <w:p>
            <w:pPr>
              <w:spacing w:after="0" w:line="252" w:lineRule="auto"/>
            </w:pPr>
            <w:r>
              <w:rPr>
                <w:sz w:val="18"/>
              </w:rPr>
              <w:t>Network</w:t>
            </w:r>
          </w:p>
        </w:tc>
        <w:tc>
          <w:tcPr>
            <w:tcW w:type="dxa" w:w="3240"/>
            <w:vAlign w:val="center"/>
            <w:tcMar>
              <w:top w:w="110" w:type="dxa"/>
              <w:start w:w="110" w:type="dxa"/>
              <w:bottom w:w="110" w:type="dxa"/>
              <w:end w:w="110" w:type="dxa"/>
            </w:tcMar>
          </w:tcPr>
          <w:p>
            <w:pPr>
              <w:spacing w:after="0" w:line="252" w:lineRule="auto"/>
            </w:pPr>
            <w:r>
              <w:rPr>
                <w:sz w:val="18"/>
              </w:rPr>
              <w:t>Base Sepolia; Ethereum Sepolia for replay</w:t>
            </w:r>
          </w:p>
        </w:tc>
        <w:tc>
          <w:tcPr>
            <w:tcW w:type="dxa" w:w="4248"/>
            <w:vAlign w:val="center"/>
            <w:tcMar>
              <w:top w:w="110" w:type="dxa"/>
              <w:start w:w="110" w:type="dxa"/>
              <w:bottom w:w="110" w:type="dxa"/>
              <w:end w:w="110" w:type="dxa"/>
            </w:tcMar>
          </w:tcPr>
          <w:p>
            <w:pPr>
              <w:spacing w:after="0" w:line="252" w:lineRule="auto"/>
            </w:pPr>
            <w:r>
              <w:rPr>
                <w:sz w:val="18"/>
              </w:rPr>
              <w:t>Cheap execution and a concrete cross-chain negative test</w:t>
            </w:r>
          </w:p>
        </w:tc>
      </w:tr>
      <w:tr>
        <w:trPr>
          <w:cantSplit/>
        </w:trPr>
        <w:tc>
          <w:tcPr>
            <w:tcW w:type="dxa" w:w="1440"/>
            <w:vAlign w:val="center"/>
            <w:shd w:fill="F3F7FA"/>
            <w:tcMar>
              <w:top w:w="110" w:type="dxa"/>
              <w:start w:w="110" w:type="dxa"/>
              <w:bottom w:w="110" w:type="dxa"/>
              <w:end w:w="110" w:type="dxa"/>
            </w:tcMar>
          </w:tcPr>
          <w:p>
            <w:pPr>
              <w:spacing w:after="0" w:line="252" w:lineRule="auto"/>
            </w:pPr>
            <w:r>
              <w:rPr>
                <w:sz w:val="18"/>
              </w:rPr>
              <w:t>Owner</w:t>
            </w:r>
          </w:p>
        </w:tc>
        <w:tc>
          <w:tcPr>
            <w:tcW w:type="dxa" w:w="3240"/>
            <w:vAlign w:val="center"/>
            <w:shd w:fill="F3F7FA"/>
            <w:tcMar>
              <w:top w:w="110" w:type="dxa"/>
              <w:start w:w="110" w:type="dxa"/>
              <w:bottom w:w="110" w:type="dxa"/>
              <w:end w:w="110" w:type="dxa"/>
            </w:tcMar>
          </w:tcPr>
          <w:p>
            <w:pPr>
              <w:spacing w:after="0" w:line="252" w:lineRule="auto"/>
            </w:pPr>
            <w:r>
              <w:rPr>
                <w:sz w:val="18"/>
              </w:rPr>
              <w:t>MetaMask EOA</w:t>
            </w:r>
          </w:p>
        </w:tc>
        <w:tc>
          <w:tcPr>
            <w:tcW w:type="dxa" w:w="4248"/>
            <w:vAlign w:val="center"/>
            <w:shd w:fill="F3F7FA"/>
            <w:tcMar>
              <w:top w:w="110" w:type="dxa"/>
              <w:start w:w="110" w:type="dxa"/>
              <w:bottom w:w="110" w:type="dxa"/>
              <w:end w:w="110" w:type="dxa"/>
            </w:tcMar>
          </w:tcPr>
          <w:p>
            <w:pPr>
              <w:spacing w:after="0" w:line="252" w:lineRule="auto"/>
            </w:pPr>
            <w:r>
              <w:rPr>
                <w:sz w:val="18"/>
              </w:rPr>
              <w:t>Reliable admin and approval flow for the first demo</w:t>
            </w:r>
          </w:p>
        </w:tc>
      </w:tr>
      <w:tr>
        <w:trPr>
          <w:cantSplit/>
        </w:trPr>
        <w:tc>
          <w:tcPr>
            <w:tcW w:type="dxa" w:w="1440"/>
            <w:vAlign w:val="center"/>
            <w:tcMar>
              <w:top w:w="110" w:type="dxa"/>
              <w:start w:w="110" w:type="dxa"/>
              <w:bottom w:w="110" w:type="dxa"/>
              <w:end w:w="110" w:type="dxa"/>
            </w:tcMar>
          </w:tcPr>
          <w:p>
            <w:pPr>
              <w:spacing w:after="0" w:line="252" w:lineRule="auto"/>
            </w:pPr>
            <w:r>
              <w:rPr>
                <w:sz w:val="18"/>
              </w:rPr>
              <w:t>Agent</w:t>
            </w:r>
          </w:p>
        </w:tc>
        <w:tc>
          <w:tcPr>
            <w:tcW w:type="dxa" w:w="3240"/>
            <w:vAlign w:val="center"/>
            <w:tcMar>
              <w:top w:w="110" w:type="dxa"/>
              <w:start w:w="110" w:type="dxa"/>
              <w:bottom w:w="110" w:type="dxa"/>
              <w:end w:w="110" w:type="dxa"/>
            </w:tcMar>
          </w:tcPr>
          <w:p>
            <w:pPr>
              <w:spacing w:after="0" w:line="252" w:lineRule="auto"/>
            </w:pPr>
            <w:r>
              <w:rPr>
                <w:sz w:val="18"/>
              </w:rPr>
              <w:t>Local 7-8B model plus scripted fallback</w:t>
            </w:r>
          </w:p>
        </w:tc>
        <w:tc>
          <w:tcPr>
            <w:tcW w:type="dxa" w:w="4248"/>
            <w:vAlign w:val="center"/>
            <w:tcMar>
              <w:top w:w="110" w:type="dxa"/>
              <w:start w:w="110" w:type="dxa"/>
              <w:bottom w:w="110" w:type="dxa"/>
              <w:end w:w="110" w:type="dxa"/>
            </w:tcMar>
          </w:tcPr>
          <w:p>
            <w:pPr>
              <w:spacing w:after="0" w:line="252" w:lineRule="auto"/>
            </w:pPr>
            <w:r>
              <w:rPr>
                <w:sz w:val="18"/>
              </w:rPr>
              <w:t>Keeps the agent local while making the stage path repeatable</w:t>
            </w:r>
          </w:p>
        </w:tc>
      </w:tr>
      <w:tr>
        <w:trPr>
          <w:cantSplit/>
        </w:trPr>
        <w:tc>
          <w:tcPr>
            <w:tcW w:type="dxa" w:w="1440"/>
            <w:vAlign w:val="center"/>
            <w:shd w:fill="F3F7FA"/>
            <w:tcMar>
              <w:top w:w="110" w:type="dxa"/>
              <w:start w:w="110" w:type="dxa"/>
              <w:bottom w:w="110" w:type="dxa"/>
              <w:end w:w="110" w:type="dxa"/>
            </w:tcMar>
          </w:tcPr>
          <w:p>
            <w:pPr>
              <w:spacing w:after="0" w:line="252" w:lineRule="auto"/>
            </w:pPr>
            <w:r>
              <w:rPr>
                <w:sz w:val="18"/>
              </w:rPr>
              <w:t>Stack</w:t>
            </w:r>
          </w:p>
        </w:tc>
        <w:tc>
          <w:tcPr>
            <w:tcW w:type="dxa" w:w="3240"/>
            <w:vAlign w:val="center"/>
            <w:shd w:fill="F3F7FA"/>
            <w:tcMar>
              <w:top w:w="110" w:type="dxa"/>
              <w:start w:w="110" w:type="dxa"/>
              <w:bottom w:w="110" w:type="dxa"/>
              <w:end w:w="110" w:type="dxa"/>
            </w:tcMar>
          </w:tcPr>
          <w:p>
            <w:pPr>
              <w:spacing w:after="0" w:line="252" w:lineRule="auto"/>
            </w:pPr>
            <w:r>
              <w:rPr>
                <w:sz w:val="18"/>
              </w:rPr>
              <w:t>Foundry, FastAPI, React, Vite, wagmi</w:t>
            </w:r>
          </w:p>
        </w:tc>
        <w:tc>
          <w:tcPr>
            <w:tcW w:type="dxa" w:w="4248"/>
            <w:vAlign w:val="center"/>
            <w:shd w:fill="F3F7FA"/>
            <w:tcMar>
              <w:top w:w="110" w:type="dxa"/>
              <w:start w:w="110" w:type="dxa"/>
              <w:bottom w:w="110" w:type="dxa"/>
              <w:end w:w="110" w:type="dxa"/>
            </w:tcMar>
          </w:tcPr>
          <w:p>
            <w:pPr>
              <w:spacing w:after="0" w:line="252" w:lineRule="auto"/>
            </w:pPr>
            <w:r>
              <w:rPr>
                <w:sz w:val="18"/>
              </w:rPr>
              <w:t>Separates contracts, UserOperation services, and owner UX</w:t>
            </w:r>
          </w:p>
        </w:tc>
      </w:tr>
      <w:tr>
        <w:trPr>
          <w:cantSplit/>
        </w:trPr>
        <w:tc>
          <w:tcPr>
            <w:tcW w:type="dxa" w:w="1440"/>
            <w:vAlign w:val="center"/>
            <w:tcMar>
              <w:top w:w="110" w:type="dxa"/>
              <w:start w:w="110" w:type="dxa"/>
              <w:bottom w:w="110" w:type="dxa"/>
              <w:end w:w="110" w:type="dxa"/>
            </w:tcMar>
          </w:tcPr>
          <w:p>
            <w:pPr>
              <w:spacing w:after="0" w:line="252" w:lineRule="auto"/>
            </w:pPr>
            <w:r>
              <w:rPr>
                <w:sz w:val="18"/>
              </w:rPr>
              <w:t>Status</w:t>
            </w:r>
          </w:p>
        </w:tc>
        <w:tc>
          <w:tcPr>
            <w:tcW w:type="dxa" w:w="3240"/>
            <w:vAlign w:val="center"/>
            <w:tcMar>
              <w:top w:w="110" w:type="dxa"/>
              <w:start w:w="110" w:type="dxa"/>
              <w:bottom w:w="110" w:type="dxa"/>
              <w:end w:w="110" w:type="dxa"/>
            </w:tcMar>
          </w:tcPr>
          <w:p>
            <w:pPr>
              <w:spacing w:after="0" w:line="252" w:lineRule="auto"/>
            </w:pPr>
            <w:r>
              <w:rPr>
                <w:sz w:val="18"/>
              </w:rPr>
              <w:t>Testnet only and unaudited</w:t>
            </w:r>
          </w:p>
        </w:tc>
        <w:tc>
          <w:tcPr>
            <w:tcW w:type="dxa" w:w="4248"/>
            <w:vAlign w:val="center"/>
            <w:tcMar>
              <w:top w:w="110" w:type="dxa"/>
              <w:start w:w="110" w:type="dxa"/>
              <w:bottom w:w="110" w:type="dxa"/>
              <w:end w:w="110" w:type="dxa"/>
            </w:tcMar>
          </w:tcPr>
          <w:p>
            <w:pPr>
              <w:spacing w:after="0" w:line="252" w:lineRule="auto"/>
            </w:pPr>
            <w:r>
              <w:rPr>
                <w:sz w:val="18"/>
              </w:rPr>
              <w:t>Accurately describes the prototype's assurance level</w:t>
            </w:r>
          </w:p>
        </w:tc>
      </w:tr>
    </w:tbl>
    <w:p>
      <w:pPr>
        <w:spacing w:after="0"/>
      </w:pPr>
    </w:p>
    <w:p>
      <w:pPr>
        <w:pStyle w:val="Heading1"/>
        <w:keepNext/>
      </w:pPr>
      <w:r>
        <w:t>System Architecture</w:t>
      </w:r>
    </w:p>
    <w:p>
      <w:r>
        <w:t>The local agent and a direct attacker both submit through the bundler and EntryPoint, so neither can bypass wallet validation. The backend prepares operations and indexes events but is not a security boundary. The wallet performs structural checks during validation and performs oracle-dependent USD checks during execution.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cantSplit/>
          <w:tblHeader/>
        </w:trPr>
        <w:tc>
          <w:tcPr>
            <w:tcW w:type="dxa" w:w="2088"/>
            <w:shd w:fill="1F4E78"/>
            <w:vAlign w:val="center"/>
            <w:tcMar>
              <w:top w:w="110" w:type="dxa"/>
              <w:start w:w="110" w:type="dxa"/>
              <w:bottom w:w="110" w:type="dxa"/>
              <w:end w:w="110" w:type="dxa"/>
            </w:tcMar>
          </w:tcPr>
          <w:p>
            <w:pPr>
              <w:jc w:val="center"/>
            </w:pPr>
            <w:r>
              <w:rPr>
                <w:b/>
                <w:color w:val="FFFFFF"/>
                <w:sz w:val="19"/>
              </w:rPr>
              <w:t>Component</w:t>
            </w:r>
          </w:p>
        </w:tc>
        <w:tc>
          <w:tcPr>
            <w:tcW w:type="dxa" w:w="6840"/>
            <w:shd w:fill="1F4E78"/>
            <w:vAlign w:val="center"/>
            <w:tcMar>
              <w:top w:w="110" w:type="dxa"/>
              <w:start w:w="110" w:type="dxa"/>
              <w:bottom w:w="110" w:type="dxa"/>
              <w:end w:w="110" w:type="dxa"/>
            </w:tcMar>
          </w:tcPr>
          <w:p>
            <w:pPr>
              <w:jc w:val="center"/>
            </w:pPr>
            <w:r>
              <w:rPr>
                <w:b/>
                <w:color w:val="FFFFFF"/>
                <w:sz w:val="19"/>
              </w:rPr>
              <w:t>Responsibility</w:t>
            </w:r>
          </w:p>
        </w:tc>
      </w:tr>
      <w:tr>
        <w:trPr>
          <w:cantSplit/>
        </w:trPr>
        <w:tc>
          <w:tcPr>
            <w:tcW w:type="dxa" w:w="2088"/>
            <w:vAlign w:val="center"/>
            <w:tcMar>
              <w:top w:w="110" w:type="dxa"/>
              <w:start w:w="110" w:type="dxa"/>
              <w:bottom w:w="110" w:type="dxa"/>
              <w:end w:w="110" w:type="dxa"/>
            </w:tcMar>
          </w:tcPr>
          <w:p>
            <w:pPr>
              <w:spacing w:after="0" w:line="252" w:lineRule="auto"/>
            </w:pPr>
            <w:r>
              <w:rPr>
                <w:sz w:val="18"/>
              </w:rPr>
              <w:t>AgentWallet</w:t>
            </w:r>
          </w:p>
        </w:tc>
        <w:tc>
          <w:tcPr>
            <w:tcW w:type="dxa" w:w="6840"/>
            <w:vAlign w:val="center"/>
            <w:tcMar>
              <w:top w:w="110" w:type="dxa"/>
              <w:start w:w="110" w:type="dxa"/>
              <w:bottom w:w="110" w:type="dxa"/>
              <w:end w:w="110" w:type="dxa"/>
            </w:tcMar>
          </w:tcPr>
          <w:p>
            <w:pPr>
              <w:spacing w:after="0" w:line="252" w:lineRule="auto"/>
            </w:pPr>
            <w:r>
              <w:rPr>
                <w:sz w:val="18"/>
              </w:rPr>
              <w:t>Validation, execution, allowlists, session checks, USD limits, pending approvals, owner controls, and EIP-1271 behavior</w:t>
            </w:r>
          </w:p>
        </w:tc>
      </w:tr>
      <w:tr>
        <w:trPr>
          <w:cantSplit/>
        </w:trPr>
        <w:tc>
          <w:tcPr>
            <w:tcW w:type="dxa" w:w="2088"/>
            <w:vAlign w:val="center"/>
            <w:shd w:fill="F3F7FA"/>
            <w:tcMar>
              <w:top w:w="110" w:type="dxa"/>
              <w:start w:w="110" w:type="dxa"/>
              <w:bottom w:w="110" w:type="dxa"/>
              <w:end w:w="110" w:type="dxa"/>
            </w:tcMar>
          </w:tcPr>
          <w:p>
            <w:pPr>
              <w:spacing w:after="0" w:line="252" w:lineRule="auto"/>
            </w:pPr>
            <w:r>
              <w:rPr>
                <w:sz w:val="18"/>
              </w:rPr>
              <w:t>Factory</w:t>
            </w:r>
          </w:p>
        </w:tc>
        <w:tc>
          <w:tcPr>
            <w:tcW w:type="dxa" w:w="6840"/>
            <w:vAlign w:val="center"/>
            <w:shd w:fill="F3F7FA"/>
            <w:tcMar>
              <w:top w:w="110" w:type="dxa"/>
              <w:start w:w="110" w:type="dxa"/>
              <w:bottom w:w="110" w:type="dxa"/>
              <w:end w:w="110" w:type="dxa"/>
            </w:tcMar>
          </w:tcPr>
          <w:p>
            <w:pPr>
              <w:spacing w:after="0" w:line="252" w:lineRule="auto"/>
            </w:pPr>
            <w:r>
              <w:rPr>
                <w:sz w:val="18"/>
              </w:rPr>
              <w:t>CREATE2 deployment and counterfactual wallet address</w:t>
            </w:r>
          </w:p>
        </w:tc>
      </w:tr>
      <w:tr>
        <w:trPr>
          <w:cantSplit/>
        </w:trPr>
        <w:tc>
          <w:tcPr>
            <w:tcW w:type="dxa" w:w="2088"/>
            <w:vAlign w:val="center"/>
            <w:tcMar>
              <w:top w:w="110" w:type="dxa"/>
              <w:start w:w="110" w:type="dxa"/>
              <w:bottom w:w="110" w:type="dxa"/>
              <w:end w:w="110" w:type="dxa"/>
            </w:tcMar>
          </w:tcPr>
          <w:p>
            <w:pPr>
              <w:spacing w:after="0" w:line="252" w:lineRule="auto"/>
            </w:pPr>
            <w:r>
              <w:rPr>
                <w:sz w:val="18"/>
              </w:rPr>
              <w:t>PriceOracle</w:t>
            </w:r>
          </w:p>
        </w:tc>
        <w:tc>
          <w:tcPr>
            <w:tcW w:type="dxa" w:w="6840"/>
            <w:vAlign w:val="center"/>
            <w:tcMar>
              <w:top w:w="110" w:type="dxa"/>
              <w:start w:w="110" w:type="dxa"/>
              <w:bottom w:w="110" w:type="dxa"/>
              <w:end w:w="110" w:type="dxa"/>
            </w:tcMar>
          </w:tcPr>
          <w:p>
            <w:pPr>
              <w:spacing w:after="0" w:line="252" w:lineRule="auto"/>
            </w:pPr>
            <w:r>
              <w:rPr>
                <w:sz w:val="18"/>
              </w:rPr>
              <w:t>Chainlink USD conversion, feed-specific staleness, and labeled testnet mock feed</w:t>
            </w:r>
          </w:p>
        </w:tc>
      </w:tr>
      <w:tr>
        <w:trPr>
          <w:cantSplit/>
        </w:trPr>
        <w:tc>
          <w:tcPr>
            <w:tcW w:type="dxa" w:w="2088"/>
            <w:vAlign w:val="center"/>
            <w:shd w:fill="F3F7FA"/>
            <w:tcMar>
              <w:top w:w="110" w:type="dxa"/>
              <w:start w:w="110" w:type="dxa"/>
              <w:bottom w:w="110" w:type="dxa"/>
              <w:end w:w="110" w:type="dxa"/>
            </w:tcMar>
          </w:tcPr>
          <w:p>
            <w:pPr>
              <w:spacing w:after="0" w:line="252" w:lineRule="auto"/>
            </w:pPr>
            <w:r>
              <w:rPr>
                <w:sz w:val="18"/>
              </w:rPr>
              <w:t>Backend</w:t>
            </w:r>
          </w:p>
        </w:tc>
        <w:tc>
          <w:tcPr>
            <w:tcW w:type="dxa" w:w="6840"/>
            <w:vAlign w:val="center"/>
            <w:shd w:fill="F3F7FA"/>
            <w:tcMar>
              <w:top w:w="110" w:type="dxa"/>
              <w:start w:w="110" w:type="dxa"/>
              <w:bottom w:w="110" w:type="dxa"/>
              <w:end w:w="110" w:type="dxa"/>
            </w:tcMar>
          </w:tcPr>
          <w:p>
            <w:pPr>
              <w:spacing w:after="0" w:line="252" w:lineRule="auto"/>
            </w:pPr>
            <w:r>
              <w:rPr>
                <w:sz w:val="18"/>
              </w:rPr>
              <w:t>UserOperation builder and sender, event indexer, paywall, and push notification sender</w:t>
            </w:r>
          </w:p>
        </w:tc>
      </w:tr>
      <w:tr>
        <w:trPr>
          <w:cantSplit/>
        </w:trPr>
        <w:tc>
          <w:tcPr>
            <w:tcW w:type="dxa" w:w="2088"/>
            <w:vAlign w:val="center"/>
            <w:tcMar>
              <w:top w:w="110" w:type="dxa"/>
              <w:start w:w="110" w:type="dxa"/>
              <w:bottom w:w="110" w:type="dxa"/>
              <w:end w:w="110" w:type="dxa"/>
            </w:tcMar>
          </w:tcPr>
          <w:p>
            <w:pPr>
              <w:spacing w:after="0" w:line="252" w:lineRule="auto"/>
            </w:pPr>
            <w:r>
              <w:rPr>
                <w:sz w:val="18"/>
              </w:rPr>
              <w:t>Dashboard</w:t>
            </w:r>
          </w:p>
        </w:tc>
        <w:tc>
          <w:tcPr>
            <w:tcW w:type="dxa" w:w="6840"/>
            <w:vAlign w:val="center"/>
            <w:tcMar>
              <w:top w:w="110" w:type="dxa"/>
              <w:start w:w="110" w:type="dxa"/>
              <w:bottom w:w="110" w:type="dxa"/>
              <w:end w:w="110" w:type="dxa"/>
            </w:tcMar>
          </w:tcPr>
          <w:p>
            <w:pPr>
              <w:spacing w:after="0" w:line="252" w:lineRule="auto"/>
            </w:pPr>
            <w:r>
              <w:rPr>
                <w:sz w:val="18"/>
              </w:rPr>
              <w:t>Policy editor, activity feed, pending approvals, pause and revoke, and attack console</w:t>
            </w:r>
          </w:p>
        </w:tc>
      </w:tr>
      <w:tr>
        <w:trPr>
          <w:cantSplit/>
        </w:trPr>
        <w:tc>
          <w:tcPr>
            <w:tcW w:type="dxa" w:w="2088"/>
            <w:vAlign w:val="center"/>
            <w:shd w:fill="F3F7FA"/>
            <w:tcMar>
              <w:top w:w="110" w:type="dxa"/>
              <w:start w:w="110" w:type="dxa"/>
              <w:bottom w:w="110" w:type="dxa"/>
              <w:end w:w="110" w:type="dxa"/>
            </w:tcMar>
          </w:tcPr>
          <w:p>
            <w:pPr>
              <w:spacing w:after="0" w:line="252" w:lineRule="auto"/>
            </w:pPr>
            <w:r>
              <w:rPr>
                <w:sz w:val="18"/>
              </w:rPr>
              <w:t>Demo targets</w:t>
            </w:r>
          </w:p>
        </w:tc>
        <w:tc>
          <w:tcPr>
            <w:tcW w:type="dxa" w:w="6840"/>
            <w:vAlign w:val="center"/>
            <w:shd w:fill="F3F7FA"/>
            <w:tcMar>
              <w:top w:w="110" w:type="dxa"/>
              <w:start w:w="110" w:type="dxa"/>
              <w:bottom w:w="110" w:type="dxa"/>
              <w:end w:w="110" w:type="dxa"/>
            </w:tcMar>
          </w:tcPr>
          <w:p>
            <w:pPr>
              <w:spacing w:after="0" w:line="252" w:lineRule="auto"/>
            </w:pPr>
            <w:r>
              <w:rPr>
                <w:sz w:val="18"/>
              </w:rPr>
              <w:t>Ticket purchase and HTTP 402-style API purchase</w:t>
            </w:r>
          </w:p>
        </w:tc>
      </w:tr>
    </w:tbl>
    <w:p>
      <w:pPr>
        <w:spacing w:after="0"/>
      </w:pPr>
    </w:p>
    <w:p>
      <w:pPr>
        <w:pStyle w:val="Heading1"/>
        <w:keepNext/>
      </w:pPr>
      <w:r>
        <w:t>Contract Policy</w:t>
      </w:r>
    </w:p>
    <w:p>
      <w:pPr>
        <w:pStyle w:val="Heading2"/>
        <w:keepNext/>
      </w:pPr>
      <w:r>
        <w:t>Validation</w:t>
      </w:r>
    </w:p>
    <w:p>
      <w:pPr>
        <w:pStyle w:val="ListNumber"/>
      </w:pPr>
      <w:r>
        <w:t>Accept validation only from the EntryPoint and recover the signer from userOpHash.</w:t>
      </w:r>
    </w:p>
    <w:p>
      <w:pPr>
        <w:pStyle w:val="ListNumber"/>
      </w:pPr>
      <w:r>
        <w:t>Allow a valid owner signature full access; require an active and unrevoked session for the agent.</w:t>
      </w:r>
    </w:p>
    <w:p>
      <w:pPr>
        <w:pStyle w:val="ListNumber"/>
      </w:pPr>
      <w:r>
        <w:t>Permit only execute and executeBatch for agent operations; reject self-calls, admin paths, and delegatecall.</w:t>
      </w:r>
    </w:p>
    <w:p>
      <w:pPr>
        <w:pStyle w:val="ListNumber"/>
      </w:pPr>
      <w:r>
        <w:t>Check each inner target and selector, then decode token transfers and approvals to check the real recipient or spender.</w:t>
      </w:r>
    </w:p>
    <w:p>
      <w:pPr>
        <w:pStyle w:val="ListNumber"/>
      </w:pPr>
      <w:r>
        <w:t>Cap agent gas and fee fields and pack session times into validationData.</w:t>
      </w:r>
    </w:p>
    <w:p>
      <w:pPr>
        <w:pStyle w:val="Heading2"/>
        <w:keepNext/>
      </w:pPr>
      <w:r>
        <w:t>Execution</w:t>
      </w:r>
    </w:p>
    <w:p>
      <w:pPr>
        <w:pStyle w:val="ListNumber"/>
      </w:pPr>
      <w:r>
        <w:t>Decode and price the complete batch before making an external call.</w:t>
      </w:r>
    </w:p>
    <w:p>
      <w:pPr>
        <w:pStyle w:val="ListNumber"/>
      </w:pPr>
      <w:r>
        <w:t>Count native value, token transfers, and the full approved amount toward the USD total.</w:t>
      </w:r>
    </w:p>
    <w:p>
      <w:pPr>
        <w:pStyle w:val="ListNumber"/>
      </w:pPr>
      <w:r>
        <w:t>Execute and update the fixed daily counter only when every check passes.</w:t>
      </w:r>
    </w:p>
    <w:p>
      <w:pPr>
        <w:pStyle w:val="ListNumber"/>
      </w:pPr>
      <w:r>
        <w:t>Record a capped pending request without execution when the limit is exceeded or pricing fails.</w:t>
      </w:r>
    </w:p>
    <w:p>
      <w:pPr>
        <w:pStyle w:val="ListNumber"/>
      </w:pPr>
      <w:r>
        <w:t>Allow only the owner to execute or reject a non-expired pending request.</w:t>
      </w:r>
    </w:p>
    <w:p>
      <w:pPr>
        <w:pStyle w:val="Heading1"/>
        <w:keepNext/>
      </w:pPr>
      <w:r>
        <w:t>Security Evidence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trPr>
        <w:tc>
          <w:tcPr>
            <w:tcW w:type="dxa" w:w="2160"/>
            <w:shd w:fill="1F4E78"/>
            <w:vAlign w:val="center"/>
            <w:tcMar>
              <w:top w:w="110" w:type="dxa"/>
              <w:start w:w="110" w:type="dxa"/>
              <w:bottom w:w="110" w:type="dxa"/>
              <w:end w:w="110" w:type="dxa"/>
            </w:tcMar>
          </w:tcPr>
          <w:p>
            <w:pPr>
              <w:jc w:val="center"/>
            </w:pPr>
            <w:r>
              <w:rPr>
                <w:b/>
                <w:color w:val="FFFFFF"/>
                <w:sz w:val="19"/>
              </w:rPr>
              <w:t>Attack</w:t>
            </w:r>
          </w:p>
        </w:tc>
        <w:tc>
          <w:tcPr>
            <w:tcW w:type="dxa" w:w="3672"/>
            <w:shd w:fill="1F4E78"/>
            <w:vAlign w:val="center"/>
            <w:tcMar>
              <w:top w:w="110" w:type="dxa"/>
              <w:start w:w="110" w:type="dxa"/>
              <w:bottom w:w="110" w:type="dxa"/>
              <w:end w:w="110" w:type="dxa"/>
            </w:tcMar>
          </w:tcPr>
          <w:p>
            <w:pPr>
              <w:jc w:val="center"/>
            </w:pPr>
            <w:r>
              <w:rPr>
                <w:b/>
                <w:color w:val="FFFFFF"/>
                <w:sz w:val="19"/>
              </w:rPr>
              <w:t>Expected result</w:t>
            </w:r>
          </w:p>
        </w:tc>
        <w:tc>
          <w:tcPr>
            <w:tcW w:type="dxa" w:w="3096"/>
            <w:shd w:fill="1F4E78"/>
            <w:vAlign w:val="center"/>
            <w:tcMar>
              <w:top w:w="110" w:type="dxa"/>
              <w:start w:w="110" w:type="dxa"/>
              <w:bottom w:w="110" w:type="dxa"/>
              <w:end w:w="110" w:type="dxa"/>
            </w:tcMar>
          </w:tcPr>
          <w:p>
            <w:pPr>
              <w:jc w:val="center"/>
            </w:pPr>
            <w:r>
              <w:rPr>
                <w:b/>
                <w:color w:val="FFFFFF"/>
                <w:sz w:val="19"/>
              </w:rPr>
              <w:t>Evidence</w:t>
            </w:r>
          </w:p>
        </w:tc>
      </w:tr>
      <w:tr>
        <w:trPr>
          <w:cantSplit/>
        </w:trPr>
        <w:tc>
          <w:tcPr>
            <w:tcW w:type="dxa" w:w="2160"/>
            <w:vAlign w:val="center"/>
            <w:tcMar>
              <w:top w:w="110" w:type="dxa"/>
              <w:start w:w="110" w:type="dxa"/>
              <w:bottom w:w="110" w:type="dxa"/>
              <w:end w:w="110" w:type="dxa"/>
            </w:tcMar>
          </w:tcPr>
          <w:p>
            <w:pPr>
              <w:spacing w:after="0" w:line="252" w:lineRule="auto"/>
            </w:pPr>
            <w:r>
              <w:rPr>
                <w:sz w:val="18"/>
              </w:rPr>
              <w:t>Leaked agent key</w:t>
            </w:r>
          </w:p>
        </w:tc>
        <w:tc>
          <w:tcPr>
            <w:tcW w:type="dxa" w:w="3672"/>
            <w:vAlign w:val="center"/>
            <w:tcMar>
              <w:top w:w="110" w:type="dxa"/>
              <w:start w:w="110" w:type="dxa"/>
              <w:bottom w:w="110" w:type="dxa"/>
              <w:end w:w="110" w:type="dxa"/>
            </w:tcMar>
          </w:tcPr>
          <w:p>
            <w:pPr>
              <w:spacing w:after="0" w:line="252" w:lineRule="auto"/>
            </w:pPr>
            <w:r>
              <w:rPr>
                <w:sz w:val="18"/>
              </w:rPr>
              <w:t>Non-allowlisted call rejected in validation</w:t>
            </w:r>
          </w:p>
        </w:tc>
        <w:tc>
          <w:tcPr>
            <w:tcW w:type="dxa" w:w="3096"/>
            <w:vAlign w:val="center"/>
            <w:tcMar>
              <w:top w:w="110" w:type="dxa"/>
              <w:start w:w="110" w:type="dxa"/>
              <w:bottom w:w="110" w:type="dxa"/>
              <w:end w:w="110" w:type="dxa"/>
            </w:tcMar>
          </w:tcPr>
          <w:p>
            <w:pPr>
              <w:spacing w:after="0" w:line="252" w:lineRule="auto"/>
            </w:pPr>
            <w:r>
              <w:rPr>
                <w:sz w:val="18"/>
              </w:rPr>
              <w:t>Raw-key attack script and unit test</w:t>
            </w:r>
          </w:p>
        </w:tc>
      </w:tr>
      <w:tr>
        <w:trPr>
          <w:cantSplit/>
        </w:trPr>
        <w:tc>
          <w:tcPr>
            <w:tcW w:type="dxa" w:w="2160"/>
            <w:vAlign w:val="center"/>
            <w:shd w:fill="F3F7FA"/>
            <w:tcMar>
              <w:top w:w="110" w:type="dxa"/>
              <w:start w:w="110" w:type="dxa"/>
              <w:bottom w:w="110" w:type="dxa"/>
              <w:end w:w="110" w:type="dxa"/>
            </w:tcMar>
          </w:tcPr>
          <w:p>
            <w:pPr>
              <w:spacing w:after="0" w:line="252" w:lineRule="auto"/>
            </w:pPr>
            <w:r>
              <w:rPr>
                <w:sz w:val="18"/>
              </w:rPr>
              <w:t>Approve attacker</w:t>
            </w:r>
          </w:p>
        </w:tc>
        <w:tc>
          <w:tcPr>
            <w:tcW w:type="dxa" w:w="3672"/>
            <w:vAlign w:val="center"/>
            <w:shd w:fill="F3F7FA"/>
            <w:tcMar>
              <w:top w:w="110" w:type="dxa"/>
              <w:start w:w="110" w:type="dxa"/>
              <w:bottom w:w="110" w:type="dxa"/>
              <w:end w:w="110" w:type="dxa"/>
            </w:tcMar>
          </w:tcPr>
          <w:p>
            <w:pPr>
              <w:spacing w:after="0" w:line="252" w:lineRule="auto"/>
            </w:pPr>
            <w:r>
              <w:rPr>
                <w:sz w:val="18"/>
              </w:rPr>
              <w:t>Decoded spender rejected</w:t>
            </w:r>
          </w:p>
        </w:tc>
        <w:tc>
          <w:tcPr>
            <w:tcW w:type="dxa" w:w="3096"/>
            <w:vAlign w:val="center"/>
            <w:shd w:fill="F3F7FA"/>
            <w:tcMar>
              <w:top w:w="110" w:type="dxa"/>
              <w:start w:w="110" w:type="dxa"/>
              <w:bottom w:w="110" w:type="dxa"/>
              <w:end w:w="110" w:type="dxa"/>
            </w:tcMar>
          </w:tcPr>
          <w:p>
            <w:pPr>
              <w:spacing w:after="0" w:line="252" w:lineRule="auto"/>
            </w:pPr>
            <w:r>
              <w:rPr>
                <w:sz w:val="18"/>
              </w:rPr>
              <w:t>Token calldata test and live attack</w:t>
            </w:r>
          </w:p>
        </w:tc>
      </w:tr>
      <w:tr>
        <w:trPr>
          <w:cantSplit/>
        </w:trPr>
        <w:tc>
          <w:tcPr>
            <w:tcW w:type="dxa" w:w="2160"/>
            <w:vAlign w:val="center"/>
            <w:tcMar>
              <w:top w:w="110" w:type="dxa"/>
              <w:start w:w="110" w:type="dxa"/>
              <w:bottom w:w="110" w:type="dxa"/>
              <w:end w:w="110" w:type="dxa"/>
            </w:tcMar>
          </w:tcPr>
          <w:p>
            <w:pPr>
              <w:spacing w:after="0" w:line="252" w:lineRule="auto"/>
            </w:pPr>
            <w:r>
              <w:rPr>
                <w:sz w:val="18"/>
              </w:rPr>
              <w:t>Hidden recipient</w:t>
            </w:r>
          </w:p>
        </w:tc>
        <w:tc>
          <w:tcPr>
            <w:tcW w:type="dxa" w:w="3672"/>
            <w:vAlign w:val="center"/>
            <w:tcMar>
              <w:top w:w="110" w:type="dxa"/>
              <w:start w:w="110" w:type="dxa"/>
              <w:bottom w:w="110" w:type="dxa"/>
              <w:end w:w="110" w:type="dxa"/>
            </w:tcMar>
          </w:tcPr>
          <w:p>
            <w:pPr>
              <w:spacing w:after="0" w:line="252" w:lineRule="auto"/>
            </w:pPr>
            <w:r>
              <w:rPr>
                <w:sz w:val="18"/>
              </w:rPr>
              <w:t>Decoded recipient rejected</w:t>
            </w:r>
          </w:p>
        </w:tc>
        <w:tc>
          <w:tcPr>
            <w:tcW w:type="dxa" w:w="3096"/>
            <w:vAlign w:val="center"/>
            <w:tcMar>
              <w:top w:w="110" w:type="dxa"/>
              <w:start w:w="110" w:type="dxa"/>
              <w:bottom w:w="110" w:type="dxa"/>
              <w:end w:w="110" w:type="dxa"/>
            </w:tcMar>
          </w:tcPr>
          <w:p>
            <w:pPr>
              <w:spacing w:after="0" w:line="252" w:lineRule="auto"/>
            </w:pPr>
            <w:r>
              <w:rPr>
                <w:sz w:val="18"/>
              </w:rPr>
              <w:t>Crafted transfer test and live attack</w:t>
            </w:r>
          </w:p>
        </w:tc>
      </w:tr>
      <w:tr>
        <w:trPr>
          <w:cantSplit/>
        </w:trPr>
        <w:tc>
          <w:tcPr>
            <w:tcW w:type="dxa" w:w="2160"/>
            <w:vAlign w:val="center"/>
            <w:shd w:fill="F3F7FA"/>
            <w:tcMar>
              <w:top w:w="110" w:type="dxa"/>
              <w:start w:w="110" w:type="dxa"/>
              <w:bottom w:w="110" w:type="dxa"/>
              <w:end w:w="110" w:type="dxa"/>
            </w:tcMar>
          </w:tcPr>
          <w:p>
            <w:pPr>
              <w:spacing w:after="0" w:line="252" w:lineRule="auto"/>
            </w:pPr>
            <w:r>
              <w:rPr>
                <w:sz w:val="18"/>
              </w:rPr>
              <w:t>Split batch</w:t>
            </w:r>
          </w:p>
        </w:tc>
        <w:tc>
          <w:tcPr>
            <w:tcW w:type="dxa" w:w="3672"/>
            <w:vAlign w:val="center"/>
            <w:shd w:fill="F3F7FA"/>
            <w:tcMar>
              <w:top w:w="110" w:type="dxa"/>
              <w:start w:w="110" w:type="dxa"/>
              <w:bottom w:w="110" w:type="dxa"/>
              <w:end w:w="110" w:type="dxa"/>
            </w:tcMar>
          </w:tcPr>
          <w:p>
            <w:pPr>
              <w:spacing w:after="0" w:line="252" w:lineRule="auto"/>
            </w:pPr>
            <w:r>
              <w:rPr>
                <w:sz w:val="18"/>
              </w:rPr>
              <w:t>Total exceeds policy and becomes pending</w:t>
            </w:r>
          </w:p>
        </w:tc>
        <w:tc>
          <w:tcPr>
            <w:tcW w:type="dxa" w:w="3096"/>
            <w:vAlign w:val="center"/>
            <w:shd w:fill="F3F7FA"/>
            <w:tcMar>
              <w:top w:w="110" w:type="dxa"/>
              <w:start w:w="110" w:type="dxa"/>
              <w:bottom w:w="110" w:type="dxa"/>
              <w:end w:w="110" w:type="dxa"/>
            </w:tcMar>
          </w:tcPr>
          <w:p>
            <w:pPr>
              <w:spacing w:after="0" w:line="252" w:lineRule="auto"/>
            </w:pPr>
            <w:r>
              <w:rPr>
                <w:sz w:val="18"/>
              </w:rPr>
              <w:t>Batch aggregation test</w:t>
            </w:r>
          </w:p>
        </w:tc>
      </w:tr>
      <w:tr>
        <w:trPr>
          <w:cantSplit/>
        </w:trPr>
        <w:tc>
          <w:tcPr>
            <w:tcW w:type="dxa" w:w="2160"/>
            <w:vAlign w:val="center"/>
            <w:tcMar>
              <w:top w:w="110" w:type="dxa"/>
              <w:start w:w="110" w:type="dxa"/>
              <w:bottom w:w="110" w:type="dxa"/>
              <w:end w:w="110" w:type="dxa"/>
            </w:tcMar>
          </w:tcPr>
          <w:p>
            <w:pPr>
              <w:spacing w:after="0" w:line="252" w:lineRule="auto"/>
            </w:pPr>
            <w:r>
              <w:rPr>
                <w:sz w:val="18"/>
              </w:rPr>
              <w:t>Admin self-call</w:t>
            </w:r>
          </w:p>
        </w:tc>
        <w:tc>
          <w:tcPr>
            <w:tcW w:type="dxa" w:w="3672"/>
            <w:vAlign w:val="center"/>
            <w:tcMar>
              <w:top w:w="110" w:type="dxa"/>
              <w:start w:w="110" w:type="dxa"/>
              <w:bottom w:w="110" w:type="dxa"/>
              <w:end w:w="110" w:type="dxa"/>
            </w:tcMar>
          </w:tcPr>
          <w:p>
            <w:pPr>
              <w:spacing w:after="0" w:line="252" w:lineRule="auto"/>
            </w:pPr>
            <w:r>
              <w:rPr>
                <w:sz w:val="18"/>
              </w:rPr>
              <w:t>Rejected before execution</w:t>
            </w:r>
          </w:p>
        </w:tc>
        <w:tc>
          <w:tcPr>
            <w:tcW w:type="dxa" w:w="3096"/>
            <w:vAlign w:val="center"/>
            <w:tcMar>
              <w:top w:w="110" w:type="dxa"/>
              <w:start w:w="110" w:type="dxa"/>
              <w:bottom w:w="110" w:type="dxa"/>
              <w:end w:w="110" w:type="dxa"/>
            </w:tcMar>
          </w:tcPr>
          <w:p>
            <w:pPr>
              <w:spacing w:after="0" w:line="252" w:lineRule="auto"/>
            </w:pPr>
            <w:r>
              <w:rPr>
                <w:sz w:val="18"/>
              </w:rPr>
              <w:t>Selector and self-call tests</w:t>
            </w:r>
          </w:p>
        </w:tc>
      </w:tr>
      <w:tr>
        <w:trPr>
          <w:cantSplit/>
        </w:trPr>
        <w:tc>
          <w:tcPr>
            <w:tcW w:type="dxa" w:w="2160"/>
            <w:vAlign w:val="center"/>
            <w:shd w:fill="F3F7FA"/>
            <w:tcMar>
              <w:top w:w="110" w:type="dxa"/>
              <w:start w:w="110" w:type="dxa"/>
              <w:bottom w:w="110" w:type="dxa"/>
              <w:end w:w="110" w:type="dxa"/>
            </w:tcMar>
          </w:tcPr>
          <w:p>
            <w:pPr>
              <w:spacing w:after="0" w:line="252" w:lineRule="auto"/>
            </w:pPr>
            <w:r>
              <w:rPr>
                <w:sz w:val="18"/>
              </w:rPr>
              <w:t>Cross-chain replay</w:t>
            </w:r>
          </w:p>
        </w:tc>
        <w:tc>
          <w:tcPr>
            <w:tcW w:type="dxa" w:w="3672"/>
            <w:vAlign w:val="center"/>
            <w:shd w:fill="F3F7FA"/>
            <w:tcMar>
              <w:top w:w="110" w:type="dxa"/>
              <w:start w:w="110" w:type="dxa"/>
              <w:bottom w:w="110" w:type="dxa"/>
              <w:end w:w="110" w:type="dxa"/>
            </w:tcMar>
          </w:tcPr>
          <w:p>
            <w:pPr>
              <w:spacing w:after="0" w:line="252" w:lineRule="auto"/>
            </w:pPr>
            <w:r>
              <w:rPr>
                <w:sz w:val="18"/>
              </w:rPr>
              <w:t>Signature or hash mismatch</w:t>
            </w:r>
          </w:p>
        </w:tc>
        <w:tc>
          <w:tcPr>
            <w:tcW w:type="dxa" w:w="3096"/>
            <w:vAlign w:val="center"/>
            <w:shd w:fill="F3F7FA"/>
            <w:tcMar>
              <w:top w:w="110" w:type="dxa"/>
              <w:start w:w="110" w:type="dxa"/>
              <w:bottom w:w="110" w:type="dxa"/>
              <w:end w:w="110" w:type="dxa"/>
            </w:tcMar>
          </w:tcPr>
          <w:p>
            <w:pPr>
              <w:spacing w:after="0" w:line="252" w:lineRule="auto"/>
            </w:pPr>
            <w:r>
              <w:rPr>
                <w:sz w:val="18"/>
              </w:rPr>
              <w:t>Same signed payload on Ethereum Sepolia</w:t>
            </w:r>
          </w:p>
        </w:tc>
      </w:tr>
      <w:tr>
        <w:trPr>
          <w:cantSplit/>
        </w:trPr>
        <w:tc>
          <w:tcPr>
            <w:tcW w:type="dxa" w:w="2160"/>
            <w:vAlign w:val="center"/>
            <w:tcMar>
              <w:top w:w="110" w:type="dxa"/>
              <w:start w:w="110" w:type="dxa"/>
              <w:bottom w:w="110" w:type="dxa"/>
              <w:end w:w="110" w:type="dxa"/>
            </w:tcMar>
          </w:tcPr>
          <w:p>
            <w:pPr>
              <w:spacing w:after="0" w:line="252" w:lineRule="auto"/>
            </w:pPr>
            <w:r>
              <w:rPr>
                <w:sz w:val="18"/>
              </w:rPr>
              <w:t>Expired or revoked session</w:t>
            </w:r>
          </w:p>
        </w:tc>
        <w:tc>
          <w:tcPr>
            <w:tcW w:type="dxa" w:w="3672"/>
            <w:vAlign w:val="center"/>
            <w:tcMar>
              <w:top w:w="110" w:type="dxa"/>
              <w:start w:w="110" w:type="dxa"/>
              <w:bottom w:w="110" w:type="dxa"/>
              <w:end w:w="110" w:type="dxa"/>
            </w:tcMar>
          </w:tcPr>
          <w:p>
            <w:pPr>
              <w:spacing w:after="0" w:line="252" w:lineRule="auto"/>
            </w:pPr>
            <w:r>
              <w:rPr>
                <w:sz w:val="18"/>
              </w:rPr>
              <w:t>Rejected by validity or session state</w:t>
            </w:r>
          </w:p>
        </w:tc>
        <w:tc>
          <w:tcPr>
            <w:tcW w:type="dxa" w:w="3096"/>
            <w:vAlign w:val="center"/>
            <w:tcMar>
              <w:top w:w="110" w:type="dxa"/>
              <w:start w:w="110" w:type="dxa"/>
              <w:bottom w:w="110" w:type="dxa"/>
              <w:end w:w="110" w:type="dxa"/>
            </w:tcMar>
          </w:tcPr>
          <w:p>
            <w:pPr>
              <w:spacing w:after="0" w:line="252" w:lineRule="auto"/>
            </w:pPr>
            <w:r>
              <w:rPr>
                <w:sz w:val="18"/>
              </w:rPr>
              <w:t>Boundary tests</w:t>
            </w:r>
          </w:p>
        </w:tc>
      </w:tr>
      <w:tr>
        <w:trPr>
          <w:cantSplit/>
        </w:trPr>
        <w:tc>
          <w:tcPr>
            <w:tcW w:type="dxa" w:w="2160"/>
            <w:vAlign w:val="center"/>
            <w:shd w:fill="F3F7FA"/>
            <w:tcMar>
              <w:top w:w="110" w:type="dxa"/>
              <w:start w:w="110" w:type="dxa"/>
              <w:bottom w:w="110" w:type="dxa"/>
              <w:end w:w="110" w:type="dxa"/>
            </w:tcMar>
          </w:tcPr>
          <w:p>
            <w:pPr>
              <w:spacing w:after="0" w:line="252" w:lineRule="auto"/>
            </w:pPr>
            <w:r>
              <w:rPr>
                <w:sz w:val="18"/>
              </w:rPr>
              <w:t>Permit signature</w:t>
            </w:r>
          </w:p>
        </w:tc>
        <w:tc>
          <w:tcPr>
            <w:tcW w:type="dxa" w:w="3672"/>
            <w:vAlign w:val="center"/>
            <w:shd w:fill="F3F7FA"/>
            <w:tcMar>
              <w:top w:w="110" w:type="dxa"/>
              <w:start w:w="110" w:type="dxa"/>
              <w:bottom w:w="110" w:type="dxa"/>
              <w:end w:w="110" w:type="dxa"/>
            </w:tcMar>
          </w:tcPr>
          <w:p>
            <w:pPr>
              <w:spacing w:after="0" w:line="252" w:lineRule="auto"/>
            </w:pPr>
            <w:r>
              <w:rPr>
                <w:sz w:val="18"/>
              </w:rPr>
              <w:t>Agent EIP-1271 request returns invalid</w:t>
            </w:r>
          </w:p>
        </w:tc>
        <w:tc>
          <w:tcPr>
            <w:tcW w:type="dxa" w:w="3096"/>
            <w:vAlign w:val="center"/>
            <w:shd w:fill="F3F7FA"/>
            <w:tcMar>
              <w:top w:w="110" w:type="dxa"/>
              <w:start w:w="110" w:type="dxa"/>
              <w:bottom w:w="110" w:type="dxa"/>
              <w:end w:w="110" w:type="dxa"/>
            </w:tcMar>
          </w:tcPr>
          <w:p>
            <w:pPr>
              <w:spacing w:after="0" w:line="252" w:lineRule="auto"/>
            </w:pPr>
            <w:r>
              <w:rPr>
                <w:sz w:val="18"/>
              </w:rPr>
              <w:t>Signature-path test</w:t>
            </w:r>
          </w:p>
        </w:tc>
      </w:tr>
      <w:tr>
        <w:trPr>
          <w:cantSplit/>
        </w:trPr>
        <w:tc>
          <w:tcPr>
            <w:tcW w:type="dxa" w:w="2160"/>
            <w:vAlign w:val="center"/>
            <w:tcMar>
              <w:top w:w="110" w:type="dxa"/>
              <w:start w:w="110" w:type="dxa"/>
              <w:bottom w:w="110" w:type="dxa"/>
              <w:end w:w="110" w:type="dxa"/>
            </w:tcMar>
          </w:tcPr>
          <w:p>
            <w:pPr>
              <w:spacing w:after="0" w:line="252" w:lineRule="auto"/>
            </w:pPr>
            <w:r>
              <w:rPr>
                <w:sz w:val="18"/>
              </w:rPr>
              <w:t>Stale price</w:t>
            </w:r>
          </w:p>
        </w:tc>
        <w:tc>
          <w:tcPr>
            <w:tcW w:type="dxa" w:w="3672"/>
            <w:vAlign w:val="center"/>
            <w:tcMar>
              <w:top w:w="110" w:type="dxa"/>
              <w:start w:w="110" w:type="dxa"/>
              <w:bottom w:w="110" w:type="dxa"/>
              <w:end w:w="110" w:type="dxa"/>
            </w:tcMar>
          </w:tcPr>
          <w:p>
            <w:pPr>
              <w:spacing w:after="0" w:line="252" w:lineRule="auto"/>
            </w:pPr>
            <w:r>
              <w:rPr>
                <w:sz w:val="18"/>
              </w:rPr>
              <w:t>Pending only; never automatic execution</w:t>
            </w:r>
          </w:p>
        </w:tc>
        <w:tc>
          <w:tcPr>
            <w:tcW w:type="dxa" w:w="3096"/>
            <w:vAlign w:val="center"/>
            <w:tcMar>
              <w:top w:w="110" w:type="dxa"/>
              <w:start w:w="110" w:type="dxa"/>
              <w:bottom w:w="110" w:type="dxa"/>
              <w:end w:w="110" w:type="dxa"/>
            </w:tcMar>
          </w:tcPr>
          <w:p>
            <w:pPr>
              <w:spacing w:after="0" w:line="252" w:lineRule="auto"/>
            </w:pPr>
            <w:r>
              <w:rPr>
                <w:sz w:val="18"/>
              </w:rPr>
              <w:t>Mock-feed test</w:t>
            </w:r>
          </w:p>
        </w:tc>
      </w:tr>
      <w:tr>
        <w:trPr>
          <w:cantSplit/>
        </w:trPr>
        <w:tc>
          <w:tcPr>
            <w:tcW w:type="dxa" w:w="2160"/>
            <w:vAlign w:val="center"/>
            <w:shd w:fill="F3F7FA"/>
            <w:tcMar>
              <w:top w:w="110" w:type="dxa"/>
              <w:start w:w="110" w:type="dxa"/>
              <w:bottom w:w="110" w:type="dxa"/>
              <w:end w:w="110" w:type="dxa"/>
            </w:tcMar>
          </w:tcPr>
          <w:p>
            <w:pPr>
              <w:spacing w:after="0" w:line="252" w:lineRule="auto"/>
            </w:pPr>
            <w:r>
              <w:rPr>
                <w:sz w:val="18"/>
              </w:rPr>
              <w:t>Gas grief</w:t>
            </w:r>
          </w:p>
        </w:tc>
        <w:tc>
          <w:tcPr>
            <w:tcW w:type="dxa" w:w="3672"/>
            <w:vAlign w:val="center"/>
            <w:shd w:fill="F3F7FA"/>
            <w:tcMar>
              <w:top w:w="110" w:type="dxa"/>
              <w:start w:w="110" w:type="dxa"/>
              <w:bottom w:w="110" w:type="dxa"/>
              <w:end w:w="110" w:type="dxa"/>
            </w:tcMar>
          </w:tcPr>
          <w:p>
            <w:pPr>
              <w:spacing w:after="0" w:line="252" w:lineRule="auto"/>
            </w:pPr>
            <w:r>
              <w:rPr>
                <w:sz w:val="18"/>
              </w:rPr>
              <w:t>Oversized fields rejected</w:t>
            </w:r>
          </w:p>
        </w:tc>
        <w:tc>
          <w:tcPr>
            <w:tcW w:type="dxa" w:w="3096"/>
            <w:vAlign w:val="center"/>
            <w:shd w:fill="F3F7FA"/>
            <w:tcMar>
              <w:top w:w="110" w:type="dxa"/>
              <w:start w:w="110" w:type="dxa"/>
              <w:bottom w:w="110" w:type="dxa"/>
              <w:end w:w="110" w:type="dxa"/>
            </w:tcMar>
          </w:tcPr>
          <w:p>
            <w:pPr>
              <w:spacing w:after="0" w:line="252" w:lineRule="auto"/>
            </w:pPr>
            <w:r>
              <w:rPr>
                <w:sz w:val="18"/>
              </w:rPr>
              <w:t>Gas-cap tests</w:t>
            </w:r>
          </w:p>
        </w:tc>
      </w:tr>
    </w:tbl>
    <w:p>
      <w:pPr>
        <w:spacing w:after="0"/>
      </w:pPr>
    </w:p>
    <w:p>
      <w:pPr>
        <w:pStyle w:val="Heading1"/>
        <w:keepNext/>
      </w:pPr>
      <w:r>
        <w:t>Delivery Gates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trPr>
        <w:tc>
          <w:tcPr>
            <w:tcW w:type="dxa" w:w="2160"/>
            <w:shd w:fill="1F4E78"/>
            <w:vAlign w:val="center"/>
            <w:tcMar>
              <w:top w:w="70" w:type="dxa"/>
              <w:start w:w="95" w:type="dxa"/>
              <w:bottom w:w="70" w:type="dxa"/>
              <w:end w:w="95" w:type="dxa"/>
            </w:tcMar>
          </w:tcPr>
          <w:p>
            <w:pPr>
              <w:spacing w:before="0" w:after="0" w:line="240" w:lineRule="auto"/>
              <w:jc w:val="center"/>
            </w:pPr>
            <w:r>
              <w:rPr>
                <w:b/>
                <w:color w:val="FFFFFF"/>
                <w:sz w:val="17"/>
              </w:rPr>
              <w:t>Gate</w:t>
            </w:r>
          </w:p>
        </w:tc>
        <w:tc>
          <w:tcPr>
            <w:tcW w:type="dxa" w:w="1152"/>
            <w:shd w:fill="1F4E78"/>
            <w:vAlign w:val="center"/>
            <w:tcMar>
              <w:top w:w="70" w:type="dxa"/>
              <w:start w:w="95" w:type="dxa"/>
              <w:bottom w:w="70" w:type="dxa"/>
              <w:end w:w="95" w:type="dxa"/>
            </w:tcMar>
          </w:tcPr>
          <w:p>
            <w:pPr>
              <w:spacing w:before="0" w:after="0" w:line="240" w:lineRule="auto"/>
              <w:jc w:val="center"/>
            </w:pPr>
            <w:r>
              <w:rPr>
                <w:b/>
                <w:color w:val="FFFFFF"/>
                <w:sz w:val="17"/>
              </w:rPr>
              <w:t>Deadline</w:t>
            </w:r>
          </w:p>
        </w:tc>
        <w:tc>
          <w:tcPr>
            <w:tcW w:type="dxa" w:w="5616"/>
            <w:shd w:fill="1F4E78"/>
            <w:vAlign w:val="center"/>
            <w:tcMar>
              <w:top w:w="70" w:type="dxa"/>
              <w:start w:w="95" w:type="dxa"/>
              <w:bottom w:w="70" w:type="dxa"/>
              <w:end w:w="95" w:type="dxa"/>
            </w:tcMar>
          </w:tcPr>
          <w:p>
            <w:pPr>
              <w:spacing w:before="0" w:after="0" w:line="240" w:lineRule="auto"/>
              <w:jc w:val="center"/>
            </w:pPr>
            <w:r>
              <w:rPr>
                <w:b/>
                <w:color w:val="FFFFFF"/>
                <w:sz w:val="17"/>
              </w:rPr>
              <w:t>Pass condition</w:t>
            </w:r>
          </w:p>
        </w:tc>
      </w:tr>
      <w:tr>
        <w:trPr>
          <w:cantSplit/>
        </w:trPr>
        <w:tc>
          <w:tcPr>
            <w:tcW w:type="dxa" w:w="2160"/>
            <w:vAlign w:val="center"/>
            <w:tcMar>
              <w:top w:w="70" w:type="dxa"/>
              <w:start w:w="95" w:type="dxa"/>
              <w:bottom w:w="70" w:type="dxa"/>
              <w:end w:w="95" w:type="dxa"/>
            </w:tcMar>
          </w:tcPr>
          <w:p>
            <w:pPr>
              <w:spacing w:after="0" w:line="240" w:lineRule="auto" w:before="0"/>
            </w:pPr>
            <w:r>
              <w:rPr>
                <w:sz w:val="17"/>
              </w:rPr>
              <w:t>First UserOperation</w:t>
            </w:r>
          </w:p>
        </w:tc>
        <w:tc>
          <w:tcPr>
            <w:tcW w:type="dxa" w:w="1152"/>
            <w:vAlign w:val="center"/>
            <w:tcMar>
              <w:top w:w="70" w:type="dxa"/>
              <w:start w:w="95" w:type="dxa"/>
              <w:bottom w:w="70" w:type="dxa"/>
              <w:end w:w="95" w:type="dxa"/>
            </w:tcMar>
          </w:tcPr>
          <w:p>
            <w:pPr>
              <w:spacing w:after="0" w:line="240" w:lineRule="auto" w:before="0"/>
            </w:pPr>
            <w:r>
              <w:rPr>
                <w:sz w:val="17"/>
              </w:rPr>
              <w:t>Hour 6</w:t>
            </w:r>
          </w:p>
        </w:tc>
        <w:tc>
          <w:tcPr>
            <w:tcW w:type="dxa" w:w="5616"/>
            <w:vAlign w:val="center"/>
            <w:tcMar>
              <w:top w:w="70" w:type="dxa"/>
              <w:start w:w="95" w:type="dxa"/>
              <w:bottom w:w="70" w:type="dxa"/>
              <w:end w:w="95" w:type="dxa"/>
            </w:tcMar>
          </w:tcPr>
          <w:p>
            <w:pPr>
              <w:spacing w:after="0" w:line="240" w:lineRule="auto" w:before="0"/>
            </w:pPr>
            <w:r>
              <w:rPr>
                <w:sz w:val="17"/>
              </w:rPr>
              <w:t>Owner operation executes through a Base Sepolia bundler</w:t>
            </w:r>
          </w:p>
        </w:tc>
      </w:tr>
      <w:tr>
        <w:trPr>
          <w:cantSplit/>
        </w:trPr>
        <w:tc>
          <w:tcPr>
            <w:tcW w:type="dxa" w:w="2160"/>
            <w:vAlign w:val="center"/>
            <w:shd w:fill="F3F7FA"/>
            <w:tcMar>
              <w:top w:w="70" w:type="dxa"/>
              <w:start w:w="95" w:type="dxa"/>
              <w:bottom w:w="70" w:type="dxa"/>
              <w:end w:w="95" w:type="dxa"/>
            </w:tcMar>
          </w:tcPr>
          <w:p>
            <w:pPr>
              <w:spacing w:after="0" w:line="240" w:lineRule="auto" w:before="0"/>
            </w:pPr>
            <w:r>
              <w:rPr>
                <w:sz w:val="17"/>
              </w:rPr>
              <w:t>Policy complete</w:t>
            </w:r>
          </w:p>
        </w:tc>
        <w:tc>
          <w:tcPr>
            <w:tcW w:type="dxa" w:w="1152"/>
            <w:vAlign w:val="center"/>
            <w:shd w:fill="F3F7FA"/>
            <w:tcMar>
              <w:top w:w="70" w:type="dxa"/>
              <w:start w:w="95" w:type="dxa"/>
              <w:bottom w:w="70" w:type="dxa"/>
              <w:end w:w="95" w:type="dxa"/>
            </w:tcMar>
          </w:tcPr>
          <w:p>
            <w:pPr>
              <w:spacing w:after="0" w:line="240" w:lineRule="auto" w:before="0"/>
            </w:pPr>
            <w:r>
              <w:rPr>
                <w:sz w:val="17"/>
              </w:rPr>
              <w:t>Hour 12</w:t>
            </w:r>
          </w:p>
        </w:tc>
        <w:tc>
          <w:tcPr>
            <w:tcW w:type="dxa" w:w="5616"/>
            <w:vAlign w:val="center"/>
            <w:shd w:fill="F3F7FA"/>
            <w:tcMar>
              <w:top w:w="70" w:type="dxa"/>
              <w:start w:w="95" w:type="dxa"/>
              <w:bottom w:w="70" w:type="dxa"/>
              <w:end w:w="95" w:type="dxa"/>
            </w:tcMar>
          </w:tcPr>
          <w:p>
            <w:pPr>
              <w:spacing w:after="0" w:line="240" w:lineRule="auto" w:before="0"/>
            </w:pPr>
            <w:r>
              <w:rPr>
                <w:sz w:val="17"/>
              </w:rPr>
              <w:t>Sessions, allowlists, USD limits, pending queue, pause, and revoke pass on testnet</w:t>
            </w:r>
          </w:p>
        </w:tc>
      </w:tr>
      <w:tr>
        <w:trPr>
          <w:cantSplit/>
        </w:trPr>
        <w:tc>
          <w:tcPr>
            <w:tcW w:type="dxa" w:w="2160"/>
            <w:vAlign w:val="center"/>
            <w:tcMar>
              <w:top w:w="70" w:type="dxa"/>
              <w:start w:w="95" w:type="dxa"/>
              <w:bottom w:w="70" w:type="dxa"/>
              <w:end w:w="95" w:type="dxa"/>
            </w:tcMar>
          </w:tcPr>
          <w:p>
            <w:pPr>
              <w:spacing w:after="0" w:line="240" w:lineRule="auto" w:before="0"/>
            </w:pPr>
            <w:r>
              <w:rPr>
                <w:sz w:val="17"/>
              </w:rPr>
              <w:t>Contract freeze</w:t>
            </w:r>
          </w:p>
        </w:tc>
        <w:tc>
          <w:tcPr>
            <w:tcW w:type="dxa" w:w="1152"/>
            <w:vAlign w:val="center"/>
            <w:tcMar>
              <w:top w:w="70" w:type="dxa"/>
              <w:start w:w="95" w:type="dxa"/>
              <w:bottom w:w="70" w:type="dxa"/>
              <w:end w:w="95" w:type="dxa"/>
            </w:tcMar>
          </w:tcPr>
          <w:p>
            <w:pPr>
              <w:spacing w:after="0" w:line="240" w:lineRule="auto" w:before="0"/>
            </w:pPr>
            <w:r>
              <w:rPr>
                <w:sz w:val="17"/>
              </w:rPr>
              <w:t>Hour 16</w:t>
            </w:r>
          </w:p>
        </w:tc>
        <w:tc>
          <w:tcPr>
            <w:tcW w:type="dxa" w:w="5616"/>
            <w:vAlign w:val="center"/>
            <w:tcMar>
              <w:top w:w="70" w:type="dxa"/>
              <w:start w:w="95" w:type="dxa"/>
              <w:bottom w:w="70" w:type="dxa"/>
              <w:end w:w="95" w:type="dxa"/>
            </w:tcMar>
          </w:tcPr>
          <w:p>
            <w:pPr>
              <w:spacing w:after="0" w:line="240" w:lineRule="auto" w:before="0"/>
            </w:pPr>
            <w:r>
              <w:rPr>
                <w:sz w:val="17"/>
              </w:rPr>
              <w:t>Verified deployments and acceptable unit, fuzz, invariant, and static-analysis results</w:t>
            </w:r>
          </w:p>
        </w:tc>
      </w:tr>
      <w:tr>
        <w:trPr>
          <w:cantSplit/>
        </w:trPr>
        <w:tc>
          <w:tcPr>
            <w:tcW w:type="dxa" w:w="2160"/>
            <w:vAlign w:val="center"/>
            <w:shd w:fill="F3F7FA"/>
            <w:tcMar>
              <w:top w:w="70" w:type="dxa"/>
              <w:start w:w="95" w:type="dxa"/>
              <w:bottom w:w="70" w:type="dxa"/>
              <w:end w:w="95" w:type="dxa"/>
            </w:tcMar>
          </w:tcPr>
          <w:p>
            <w:pPr>
              <w:spacing w:after="0" w:line="240" w:lineRule="auto" w:before="0"/>
            </w:pPr>
            <w:r>
              <w:rPr>
                <w:sz w:val="17"/>
              </w:rPr>
              <w:t>Demo freeze</w:t>
            </w:r>
          </w:p>
        </w:tc>
        <w:tc>
          <w:tcPr>
            <w:tcW w:type="dxa" w:w="1152"/>
            <w:vAlign w:val="center"/>
            <w:shd w:fill="F3F7FA"/>
            <w:tcMar>
              <w:top w:w="70" w:type="dxa"/>
              <w:start w:w="95" w:type="dxa"/>
              <w:bottom w:w="70" w:type="dxa"/>
              <w:end w:w="95" w:type="dxa"/>
            </w:tcMar>
          </w:tcPr>
          <w:p>
            <w:pPr>
              <w:spacing w:after="0" w:line="240" w:lineRule="auto" w:before="0"/>
            </w:pPr>
            <w:r>
              <w:rPr>
                <w:sz w:val="17"/>
              </w:rPr>
              <w:t>Hour 20</w:t>
            </w:r>
          </w:p>
        </w:tc>
        <w:tc>
          <w:tcPr>
            <w:tcW w:type="dxa" w:w="5616"/>
            <w:vAlign w:val="center"/>
            <w:shd w:fill="F3F7FA"/>
            <w:tcMar>
              <w:top w:w="70" w:type="dxa"/>
              <w:start w:w="95" w:type="dxa"/>
              <w:bottom w:w="70" w:type="dxa"/>
              <w:end w:w="95" w:type="dxa"/>
            </w:tcMar>
          </w:tcPr>
          <w:p>
            <w:pPr>
              <w:spacing w:after="0" w:line="240" w:lineRule="auto" w:before="0"/>
            </w:pPr>
            <w:r>
              <w:rPr>
                <w:sz w:val="17"/>
              </w:rPr>
              <w:t>Happy path, four attack categories, owner approval, explorer evidence, and backup video work</w:t>
            </w:r>
          </w:p>
        </w:tc>
      </w:tr>
      <w:tr>
        <w:trPr>
          <w:cantSplit/>
        </w:trPr>
        <w:tc>
          <w:tcPr>
            <w:tcW w:type="dxa" w:w="2160"/>
            <w:vAlign w:val="center"/>
            <w:tcMar>
              <w:top w:w="70" w:type="dxa"/>
              <w:start w:w="95" w:type="dxa"/>
              <w:bottom w:w="70" w:type="dxa"/>
              <w:end w:w="95" w:type="dxa"/>
            </w:tcMar>
          </w:tcPr>
          <w:p>
            <w:pPr>
              <w:spacing w:after="0" w:line="240" w:lineRule="auto" w:before="0"/>
            </w:pPr>
            <w:r>
              <w:rPr>
                <w:sz w:val="17"/>
              </w:rPr>
              <w:t>Submission</w:t>
            </w:r>
          </w:p>
        </w:tc>
        <w:tc>
          <w:tcPr>
            <w:tcW w:type="dxa" w:w="1152"/>
            <w:vAlign w:val="center"/>
            <w:tcMar>
              <w:top w:w="70" w:type="dxa"/>
              <w:start w:w="95" w:type="dxa"/>
              <w:bottom w:w="70" w:type="dxa"/>
              <w:end w:w="95" w:type="dxa"/>
            </w:tcMar>
          </w:tcPr>
          <w:p>
            <w:pPr>
              <w:spacing w:after="0" w:line="240" w:lineRule="auto" w:before="0"/>
            </w:pPr>
            <w:r>
              <w:rPr>
                <w:sz w:val="17"/>
              </w:rPr>
              <w:t>Hour 24</w:t>
            </w:r>
          </w:p>
        </w:tc>
        <w:tc>
          <w:tcPr>
            <w:tcW w:type="dxa" w:w="5616"/>
            <w:vAlign w:val="center"/>
            <w:tcMar>
              <w:top w:w="70" w:type="dxa"/>
              <w:start w:w="95" w:type="dxa"/>
              <w:bottom w:w="70" w:type="dxa"/>
              <w:end w:w="95" w:type="dxa"/>
            </w:tcMar>
          </w:tcPr>
          <w:p>
            <w:pPr>
              <w:spacing w:after="0" w:line="240" w:lineRule="auto" w:before="0"/>
            </w:pPr>
            <w:r>
              <w:rPr>
                <w:sz w:val="17"/>
              </w:rPr>
              <w:t>Public URLs, documentation, scripts, deck, and final assets are complete</w:t>
            </w:r>
          </w:p>
        </w:tc>
      </w:tr>
    </w:tbl>
    <w:p>
      <w:pPr>
        <w:spacing w:after="0"/>
      </w:pPr>
    </w:p>
    <w:p>
      <w:pPr>
        <w:pStyle w:val="Heading1"/>
        <w:keepNext/>
      </w:pPr>
      <w:r>
        <w:t>Team Ownership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trPr>
        <w:tc>
          <w:tcPr>
            <w:tcW w:type="dxa" w:w="2088"/>
            <w:shd w:fill="1F4E78"/>
            <w:vAlign w:val="center"/>
            <w:tcMar>
              <w:top w:w="110" w:type="dxa"/>
              <w:start w:w="110" w:type="dxa"/>
              <w:bottom w:w="110" w:type="dxa"/>
              <w:end w:w="110" w:type="dxa"/>
            </w:tcMar>
          </w:tcPr>
          <w:p>
            <w:pPr>
              <w:jc w:val="center"/>
            </w:pPr>
            <w:r>
              <w:rPr>
                <w:b/>
                <w:color w:val="FFFFFF"/>
                <w:sz w:val="19"/>
              </w:rPr>
              <w:t>Role</w:t>
            </w:r>
          </w:p>
        </w:tc>
        <w:tc>
          <w:tcPr>
            <w:tcW w:type="dxa" w:w="4680"/>
            <w:shd w:fill="1F4E78"/>
            <w:vAlign w:val="center"/>
            <w:tcMar>
              <w:top w:w="110" w:type="dxa"/>
              <w:start w:w="110" w:type="dxa"/>
              <w:bottom w:w="110" w:type="dxa"/>
              <w:end w:w="110" w:type="dxa"/>
            </w:tcMar>
          </w:tcPr>
          <w:p>
            <w:pPr>
              <w:jc w:val="center"/>
            </w:pPr>
            <w:r>
              <w:rPr>
                <w:b/>
                <w:color w:val="FFFFFF"/>
                <w:sz w:val="19"/>
              </w:rPr>
              <w:t>Owns</w:t>
            </w:r>
          </w:p>
        </w:tc>
        <w:tc>
          <w:tcPr>
            <w:tcW w:type="dxa" w:w="2160"/>
            <w:shd w:fill="1F4E78"/>
            <w:vAlign w:val="center"/>
            <w:tcMar>
              <w:top w:w="110" w:type="dxa"/>
              <w:start w:w="110" w:type="dxa"/>
              <w:bottom w:w="110" w:type="dxa"/>
              <w:end w:w="110" w:type="dxa"/>
            </w:tcMar>
          </w:tcPr>
          <w:p>
            <w:pPr>
              <w:jc w:val="center"/>
            </w:pPr>
            <w:r>
              <w:rPr>
                <w:b/>
                <w:color w:val="FFFFFF"/>
                <w:sz w:val="19"/>
              </w:rPr>
              <w:t>Handoff</w:t>
            </w:r>
          </w:p>
        </w:tc>
      </w:tr>
      <w:tr>
        <w:trPr>
          <w:cantSplit/>
        </w:trPr>
        <w:tc>
          <w:tcPr>
            <w:tcW w:type="dxa" w:w="2088"/>
            <w:vAlign w:val="center"/>
            <w:tcMar>
              <w:top w:w="110" w:type="dxa"/>
              <w:start w:w="110" w:type="dxa"/>
              <w:bottom w:w="110" w:type="dxa"/>
              <w:end w:w="110" w:type="dxa"/>
            </w:tcMar>
          </w:tcPr>
          <w:p>
            <w:pPr>
              <w:spacing w:after="0" w:line="252" w:lineRule="auto"/>
            </w:pPr>
            <w:r>
              <w:rPr>
                <w:sz w:val="18"/>
              </w:rPr>
              <w:t>A Contract lead</w:t>
            </w:r>
          </w:p>
        </w:tc>
        <w:tc>
          <w:tcPr>
            <w:tcW w:type="dxa" w:w="4680"/>
            <w:vAlign w:val="center"/>
            <w:tcMar>
              <w:top w:w="110" w:type="dxa"/>
              <w:start w:w="110" w:type="dxa"/>
              <w:bottom w:w="110" w:type="dxa"/>
              <w:end w:w="110" w:type="dxa"/>
            </w:tcMar>
          </w:tcPr>
          <w:p>
            <w:pPr>
              <w:spacing w:after="0" w:line="252" w:lineRule="auto"/>
            </w:pPr>
            <w:r>
              <w:rPr>
                <w:sz w:val="18"/>
              </w:rPr>
              <w:t>Wallet, factory, validation, execution, deployments</w:t>
            </w:r>
          </w:p>
        </w:tc>
        <w:tc>
          <w:tcPr>
            <w:tcW w:type="dxa" w:w="2160"/>
            <w:vAlign w:val="center"/>
            <w:tcMar>
              <w:top w:w="110" w:type="dxa"/>
              <w:start w:w="110" w:type="dxa"/>
              <w:bottom w:w="110" w:type="dxa"/>
              <w:end w:w="110" w:type="dxa"/>
            </w:tcMar>
          </w:tcPr>
          <w:p>
            <w:pPr>
              <w:spacing w:after="0" w:line="252" w:lineRule="auto"/>
            </w:pPr>
            <w:r>
              <w:rPr>
                <w:sz w:val="18"/>
              </w:rPr>
              <w:t>B for tests; C for ABIs</w:t>
            </w:r>
          </w:p>
        </w:tc>
      </w:tr>
      <w:tr>
        <w:trPr>
          <w:cantSplit/>
        </w:trPr>
        <w:tc>
          <w:tcPr>
            <w:tcW w:type="dxa" w:w="2088"/>
            <w:vAlign w:val="center"/>
            <w:shd w:fill="F3F7FA"/>
            <w:tcMar>
              <w:top w:w="110" w:type="dxa"/>
              <w:start w:w="110" w:type="dxa"/>
              <w:bottom w:w="110" w:type="dxa"/>
              <w:end w:w="110" w:type="dxa"/>
            </w:tcMar>
          </w:tcPr>
          <w:p>
            <w:pPr>
              <w:spacing w:after="0" w:line="252" w:lineRule="auto"/>
            </w:pPr>
            <w:r>
              <w:rPr>
                <w:sz w:val="18"/>
              </w:rPr>
              <w:t>B Security and tests</w:t>
            </w:r>
          </w:p>
        </w:tc>
        <w:tc>
          <w:tcPr>
            <w:tcW w:type="dxa" w:w="4680"/>
            <w:vAlign w:val="center"/>
            <w:shd w:fill="F3F7FA"/>
            <w:tcMar>
              <w:top w:w="110" w:type="dxa"/>
              <w:start w:w="110" w:type="dxa"/>
              <w:bottom w:w="110" w:type="dxa"/>
              <w:end w:w="110" w:type="dxa"/>
            </w:tcMar>
          </w:tcPr>
          <w:p>
            <w:pPr>
              <w:spacing w:after="0" w:line="252" w:lineRule="auto"/>
            </w:pPr>
            <w:r>
              <w:rPr>
                <w:sz w:val="18"/>
              </w:rPr>
              <w:t>Unit, fuzz, invariants, Slither, attacks, threat model</w:t>
            </w:r>
          </w:p>
        </w:tc>
        <w:tc>
          <w:tcPr>
            <w:tcW w:type="dxa" w:w="2160"/>
            <w:vAlign w:val="center"/>
            <w:shd w:fill="F3F7FA"/>
            <w:tcMar>
              <w:top w:w="110" w:type="dxa"/>
              <w:start w:w="110" w:type="dxa"/>
              <w:bottom w:w="110" w:type="dxa"/>
              <w:end w:w="110" w:type="dxa"/>
            </w:tcMar>
          </w:tcPr>
          <w:p>
            <w:pPr>
              <w:spacing w:after="0" w:line="252" w:lineRule="auto"/>
            </w:pPr>
            <w:r>
              <w:rPr>
                <w:sz w:val="18"/>
              </w:rPr>
              <w:t>A for fixes; D for console</w:t>
            </w:r>
          </w:p>
        </w:tc>
      </w:tr>
      <w:tr>
        <w:trPr>
          <w:cantSplit/>
        </w:trPr>
        <w:tc>
          <w:tcPr>
            <w:tcW w:type="dxa" w:w="2088"/>
            <w:vAlign w:val="center"/>
            <w:tcMar>
              <w:top w:w="110" w:type="dxa"/>
              <w:start w:w="110" w:type="dxa"/>
              <w:bottom w:w="110" w:type="dxa"/>
              <w:end w:w="110" w:type="dxa"/>
            </w:tcMar>
          </w:tcPr>
          <w:p>
            <w:pPr>
              <w:spacing w:after="0" w:line="252" w:lineRule="auto"/>
            </w:pPr>
            <w:r>
              <w:rPr>
                <w:sz w:val="18"/>
              </w:rPr>
              <w:t>C Agent and backend</w:t>
            </w:r>
          </w:p>
        </w:tc>
        <w:tc>
          <w:tcPr>
            <w:tcW w:type="dxa" w:w="4680"/>
            <w:vAlign w:val="center"/>
            <w:tcMar>
              <w:top w:w="110" w:type="dxa"/>
              <w:start w:w="110" w:type="dxa"/>
              <w:bottom w:w="110" w:type="dxa"/>
              <w:end w:w="110" w:type="dxa"/>
            </w:tcMar>
          </w:tcPr>
          <w:p>
            <w:pPr>
              <w:spacing w:after="0" w:line="252" w:lineRule="auto"/>
            </w:pPr>
            <w:r>
              <w:rPr>
                <w:sz w:val="18"/>
              </w:rPr>
              <w:t>Local agent, tools, UserOperation sender, indexer, paywall, push</w:t>
            </w:r>
          </w:p>
        </w:tc>
        <w:tc>
          <w:tcPr>
            <w:tcW w:type="dxa" w:w="2160"/>
            <w:vAlign w:val="center"/>
            <w:tcMar>
              <w:top w:w="110" w:type="dxa"/>
              <w:start w:w="110" w:type="dxa"/>
              <w:bottom w:w="110" w:type="dxa"/>
              <w:end w:w="110" w:type="dxa"/>
            </w:tcMar>
          </w:tcPr>
          <w:p>
            <w:pPr>
              <w:spacing w:after="0" w:line="252" w:lineRule="auto"/>
            </w:pPr>
            <w:r>
              <w:rPr>
                <w:sz w:val="18"/>
              </w:rPr>
              <w:t>D for APIs; B for attacker bot</w:t>
            </w:r>
          </w:p>
        </w:tc>
      </w:tr>
      <w:tr>
        <w:trPr>
          <w:cantSplit/>
        </w:trPr>
        <w:tc>
          <w:tcPr>
            <w:tcW w:type="dxa" w:w="2088"/>
            <w:vAlign w:val="center"/>
            <w:shd w:fill="F3F7FA"/>
            <w:tcMar>
              <w:top w:w="110" w:type="dxa"/>
              <w:start w:w="110" w:type="dxa"/>
              <w:bottom w:w="110" w:type="dxa"/>
              <w:end w:w="110" w:type="dxa"/>
            </w:tcMar>
          </w:tcPr>
          <w:p>
            <w:pPr>
              <w:spacing w:after="0" w:line="252" w:lineRule="auto"/>
            </w:pPr>
            <w:r>
              <w:rPr>
                <w:sz w:val="18"/>
              </w:rPr>
              <w:t>D Frontend, UX, pitch</w:t>
            </w:r>
          </w:p>
        </w:tc>
        <w:tc>
          <w:tcPr>
            <w:tcW w:type="dxa" w:w="4680"/>
            <w:vAlign w:val="center"/>
            <w:shd w:fill="F3F7FA"/>
            <w:tcMar>
              <w:top w:w="110" w:type="dxa"/>
              <w:start w:w="110" w:type="dxa"/>
              <w:bottom w:w="110" w:type="dxa"/>
              <w:end w:w="110" w:type="dxa"/>
            </w:tcMar>
          </w:tcPr>
          <w:p>
            <w:pPr>
              <w:spacing w:after="0" w:line="252" w:lineRule="auto"/>
            </w:pPr>
            <w:r>
              <w:rPr>
                <w:sz w:val="18"/>
              </w:rPr>
              <w:t>Dashboard, MetaMask flow, PWA, attack console, README, deck</w:t>
            </w:r>
          </w:p>
        </w:tc>
        <w:tc>
          <w:tcPr>
            <w:tcW w:type="dxa" w:w="2160"/>
            <w:vAlign w:val="center"/>
            <w:shd w:fill="F3F7FA"/>
            <w:tcMar>
              <w:top w:w="110" w:type="dxa"/>
              <w:start w:w="110" w:type="dxa"/>
              <w:bottom w:w="110" w:type="dxa"/>
              <w:end w:w="110" w:type="dxa"/>
            </w:tcMar>
          </w:tcPr>
          <w:p>
            <w:pPr>
              <w:spacing w:after="0" w:line="252" w:lineRule="auto"/>
            </w:pPr>
            <w:r>
              <w:rPr>
                <w:sz w:val="18"/>
              </w:rPr>
              <w:t>Whole team for rehearsal</w:t>
            </w:r>
          </w:p>
        </w:tc>
      </w:tr>
    </w:tbl>
    <w:p>
      <w:pPr>
        <w:spacing w:after="0"/>
      </w:pPr>
    </w:p>
    <w:p>
      <w:pPr>
        <w:pStyle w:val="Heading1"/>
        <w:keepNext/>
      </w:pPr>
      <w:r>
        <w:t>Risks and Recovery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trPr>
        <w:tc>
          <w:tcPr>
            <w:tcW w:type="dxa" w:w="2016"/>
            <w:shd w:fill="1F4E78"/>
            <w:vAlign w:val="center"/>
            <w:tcMar>
              <w:top w:w="70" w:type="dxa"/>
              <w:start w:w="95" w:type="dxa"/>
              <w:bottom w:w="70" w:type="dxa"/>
              <w:end w:w="95" w:type="dxa"/>
            </w:tcMar>
          </w:tcPr>
          <w:p>
            <w:pPr>
              <w:spacing w:before="0" w:after="0" w:line="240" w:lineRule="auto"/>
              <w:jc w:val="center"/>
            </w:pPr>
            <w:r>
              <w:rPr>
                <w:b/>
                <w:color w:val="FFFFFF"/>
                <w:sz w:val="17"/>
              </w:rPr>
              <w:t>Risk</w:t>
            </w:r>
          </w:p>
        </w:tc>
        <w:tc>
          <w:tcPr>
            <w:tcW w:type="dxa" w:w="2448"/>
            <w:shd w:fill="1F4E78"/>
            <w:vAlign w:val="center"/>
            <w:tcMar>
              <w:top w:w="70" w:type="dxa"/>
              <w:start w:w="95" w:type="dxa"/>
              <w:bottom w:w="70" w:type="dxa"/>
              <w:end w:w="95" w:type="dxa"/>
            </w:tcMar>
          </w:tcPr>
          <w:p>
            <w:pPr>
              <w:spacing w:before="0" w:after="0" w:line="240" w:lineRule="auto"/>
              <w:jc w:val="center"/>
            </w:pPr>
            <w:r>
              <w:rPr>
                <w:b/>
                <w:color w:val="FFFFFF"/>
                <w:sz w:val="17"/>
              </w:rPr>
              <w:t>Early warning</w:t>
            </w:r>
          </w:p>
        </w:tc>
        <w:tc>
          <w:tcPr>
            <w:tcW w:type="dxa" w:w="4464"/>
            <w:shd w:fill="1F4E78"/>
            <w:vAlign w:val="center"/>
            <w:tcMar>
              <w:top w:w="70" w:type="dxa"/>
              <w:start w:w="95" w:type="dxa"/>
              <w:bottom w:w="70" w:type="dxa"/>
              <w:end w:w="95" w:type="dxa"/>
            </w:tcMar>
          </w:tcPr>
          <w:p>
            <w:pPr>
              <w:spacing w:before="0" w:after="0" w:line="240" w:lineRule="auto"/>
              <w:jc w:val="center"/>
            </w:pPr>
            <w:r>
              <w:rPr>
                <w:b/>
                <w:color w:val="FFFFFF"/>
                <w:sz w:val="17"/>
              </w:rPr>
              <w:t>Recovery</w:t>
            </w:r>
          </w:p>
        </w:tc>
      </w:tr>
      <w:tr>
        <w:trPr>
          <w:cantSplit/>
        </w:trPr>
        <w:tc>
          <w:tcPr>
            <w:tcW w:type="dxa" w:w="2016"/>
            <w:vAlign w:val="center"/>
            <w:tcMar>
              <w:top w:w="70" w:type="dxa"/>
              <w:start w:w="95" w:type="dxa"/>
              <w:bottom w:w="70" w:type="dxa"/>
              <w:end w:w="95" w:type="dxa"/>
            </w:tcMar>
          </w:tcPr>
          <w:p>
            <w:pPr>
              <w:spacing w:after="0" w:line="240" w:lineRule="auto" w:before="0"/>
            </w:pPr>
            <w:r>
              <w:rPr>
                <w:sz w:val="17"/>
              </w:rPr>
              <w:t>Bundler integration</w:t>
            </w:r>
          </w:p>
        </w:tc>
        <w:tc>
          <w:tcPr>
            <w:tcW w:type="dxa" w:w="2448"/>
            <w:vAlign w:val="center"/>
            <w:tcMar>
              <w:top w:w="70" w:type="dxa"/>
              <w:start w:w="95" w:type="dxa"/>
              <w:bottom w:w="70" w:type="dxa"/>
              <w:end w:w="95" w:type="dxa"/>
            </w:tcMar>
          </w:tcPr>
          <w:p>
            <w:pPr>
              <w:spacing w:after="0" w:line="240" w:lineRule="auto" w:before="0"/>
            </w:pPr>
            <w:r>
              <w:rPr>
                <w:sz w:val="17"/>
              </w:rPr>
              <w:t>No UserOperation by hour 6</w:t>
            </w:r>
          </w:p>
        </w:tc>
        <w:tc>
          <w:tcPr>
            <w:tcW w:type="dxa" w:w="4464"/>
            <w:vAlign w:val="center"/>
            <w:tcMar>
              <w:top w:w="70" w:type="dxa"/>
              <w:start w:w="95" w:type="dxa"/>
              <w:bottom w:w="70" w:type="dxa"/>
              <w:end w:w="95" w:type="dxa"/>
            </w:tcMar>
          </w:tcPr>
          <w:p>
            <w:pPr>
              <w:spacing w:after="0" w:line="240" w:lineRule="auto" w:before="0"/>
            </w:pPr>
            <w:r>
              <w:rPr>
                <w:sz w:val="17"/>
              </w:rPr>
              <w:t>Inspect simulateValidation and switch to the backup provider</w:t>
            </w:r>
          </w:p>
        </w:tc>
      </w:tr>
      <w:tr>
        <w:trPr>
          <w:cantSplit/>
        </w:trPr>
        <w:tc>
          <w:tcPr>
            <w:tcW w:type="dxa" w:w="2016"/>
            <w:vAlign w:val="center"/>
            <w:shd w:fill="F3F7FA"/>
            <w:tcMar>
              <w:top w:w="70" w:type="dxa"/>
              <w:start w:w="95" w:type="dxa"/>
              <w:bottom w:w="70" w:type="dxa"/>
              <w:end w:w="95" w:type="dxa"/>
            </w:tcMar>
          </w:tcPr>
          <w:p>
            <w:pPr>
              <w:spacing w:after="0" w:line="240" w:lineRule="auto" w:before="0"/>
            </w:pPr>
            <w:r>
              <w:rPr>
                <w:sz w:val="17"/>
              </w:rPr>
              <w:t>Encoding mismatch</w:t>
            </w:r>
          </w:p>
        </w:tc>
        <w:tc>
          <w:tcPr>
            <w:tcW w:type="dxa" w:w="2448"/>
            <w:vAlign w:val="center"/>
            <w:shd w:fill="F3F7FA"/>
            <w:tcMar>
              <w:top w:w="70" w:type="dxa"/>
              <w:start w:w="95" w:type="dxa"/>
              <w:bottom w:w="70" w:type="dxa"/>
              <w:end w:w="95" w:type="dxa"/>
            </w:tcMar>
          </w:tcPr>
          <w:p>
            <w:pPr>
              <w:spacing w:after="0" w:line="240" w:lineRule="auto" w:before="0"/>
            </w:pPr>
            <w:r>
              <w:rPr>
                <w:sz w:val="17"/>
              </w:rPr>
              <w:t>Hash or signature errors</w:t>
            </w:r>
          </w:p>
        </w:tc>
        <w:tc>
          <w:tcPr>
            <w:tcW w:type="dxa" w:w="4464"/>
            <w:vAlign w:val="center"/>
            <w:shd w:fill="F3F7FA"/>
            <w:tcMar>
              <w:top w:w="70" w:type="dxa"/>
              <w:start w:w="95" w:type="dxa"/>
              <w:bottom w:w="70" w:type="dxa"/>
              <w:end w:w="95" w:type="dxa"/>
            </w:tcMar>
          </w:tcPr>
          <w:p>
            <w:pPr>
              <w:spacing w:after="0" w:line="240" w:lineRule="auto" w:before="0"/>
            </w:pPr>
            <w:r>
              <w:rPr>
                <w:sz w:val="17"/>
              </w:rPr>
              <w:t>Use EntryPoint getUserOpHash rather than duplicating hashing</w:t>
            </w:r>
          </w:p>
        </w:tc>
      </w:tr>
      <w:tr>
        <w:trPr>
          <w:cantSplit/>
        </w:trPr>
        <w:tc>
          <w:tcPr>
            <w:tcW w:type="dxa" w:w="2016"/>
            <w:vAlign w:val="center"/>
            <w:tcMar>
              <w:top w:w="70" w:type="dxa"/>
              <w:start w:w="95" w:type="dxa"/>
              <w:bottom w:w="70" w:type="dxa"/>
              <w:end w:w="95" w:type="dxa"/>
            </w:tcMar>
          </w:tcPr>
          <w:p>
            <w:pPr>
              <w:spacing w:after="0" w:line="240" w:lineRule="auto" w:before="0"/>
            </w:pPr>
            <w:r>
              <w:rPr>
                <w:sz w:val="17"/>
              </w:rPr>
              <w:t>Missing token feed</w:t>
            </w:r>
          </w:p>
        </w:tc>
        <w:tc>
          <w:tcPr>
            <w:tcW w:type="dxa" w:w="2448"/>
            <w:vAlign w:val="center"/>
            <w:tcMar>
              <w:top w:w="70" w:type="dxa"/>
              <w:start w:w="95" w:type="dxa"/>
              <w:bottom w:w="70" w:type="dxa"/>
              <w:end w:w="95" w:type="dxa"/>
            </w:tcMar>
          </w:tcPr>
          <w:p>
            <w:pPr>
              <w:spacing w:after="0" w:line="240" w:lineRule="auto" w:before="0"/>
            </w:pPr>
            <w:r>
              <w:rPr>
                <w:sz w:val="17"/>
              </w:rPr>
              <w:t>Unsupported token found in setup</w:t>
            </w:r>
          </w:p>
        </w:tc>
        <w:tc>
          <w:tcPr>
            <w:tcW w:type="dxa" w:w="4464"/>
            <w:vAlign w:val="center"/>
            <w:tcMar>
              <w:top w:w="70" w:type="dxa"/>
              <w:start w:w="95" w:type="dxa"/>
              <w:bottom w:w="70" w:type="dxa"/>
              <w:end w:w="95" w:type="dxa"/>
            </w:tcMar>
          </w:tcPr>
          <w:p>
            <w:pPr>
              <w:spacing w:after="0" w:line="240" w:lineRule="auto" w:before="0"/>
            </w:pPr>
            <w:r>
              <w:rPr>
                <w:sz w:val="17"/>
              </w:rPr>
              <w:t>Use a clearly labeled owner-set testnet mock feed</w:t>
            </w:r>
          </w:p>
        </w:tc>
      </w:tr>
      <w:tr>
        <w:trPr>
          <w:cantSplit/>
        </w:trPr>
        <w:tc>
          <w:tcPr>
            <w:tcW w:type="dxa" w:w="2016"/>
            <w:vAlign w:val="center"/>
            <w:shd w:fill="F3F7FA"/>
            <w:tcMar>
              <w:top w:w="70" w:type="dxa"/>
              <w:start w:w="95" w:type="dxa"/>
              <w:bottom w:w="70" w:type="dxa"/>
              <w:end w:w="95" w:type="dxa"/>
            </w:tcMar>
          </w:tcPr>
          <w:p>
            <w:pPr>
              <w:spacing w:after="0" w:line="240" w:lineRule="auto" w:before="0"/>
            </w:pPr>
            <w:r>
              <w:rPr>
                <w:sz w:val="17"/>
              </w:rPr>
              <w:t>Web push</w:t>
            </w:r>
          </w:p>
        </w:tc>
        <w:tc>
          <w:tcPr>
            <w:tcW w:type="dxa" w:w="2448"/>
            <w:vAlign w:val="center"/>
            <w:shd w:fill="F3F7FA"/>
            <w:tcMar>
              <w:top w:w="70" w:type="dxa"/>
              <w:start w:w="95" w:type="dxa"/>
              <w:bottom w:w="70" w:type="dxa"/>
              <w:end w:w="95" w:type="dxa"/>
            </w:tcMar>
          </w:tcPr>
          <w:p>
            <w:pPr>
              <w:spacing w:after="0" w:line="240" w:lineRule="auto" w:before="0"/>
            </w:pPr>
            <w:r>
              <w:rPr>
                <w:sz w:val="17"/>
              </w:rPr>
              <w:t>Phone test fails by hour 12</w:t>
            </w:r>
          </w:p>
        </w:tc>
        <w:tc>
          <w:tcPr>
            <w:tcW w:type="dxa" w:w="4464"/>
            <w:vAlign w:val="center"/>
            <w:shd w:fill="F3F7FA"/>
            <w:tcMar>
              <w:top w:w="70" w:type="dxa"/>
              <w:start w:w="95" w:type="dxa"/>
              <w:bottom w:w="70" w:type="dxa"/>
              <w:end w:w="95" w:type="dxa"/>
            </w:tcMar>
          </w:tcPr>
          <w:p>
            <w:pPr>
              <w:spacing w:after="0" w:line="240" w:lineRule="auto" w:before="0"/>
            </w:pPr>
            <w:r>
              <w:rPr>
                <w:sz w:val="17"/>
              </w:rPr>
              <w:t>Use Android Chrome and an in-dashboard notification fallback</w:t>
            </w:r>
          </w:p>
        </w:tc>
      </w:tr>
      <w:tr>
        <w:trPr>
          <w:cantSplit/>
        </w:trPr>
        <w:tc>
          <w:tcPr>
            <w:tcW w:type="dxa" w:w="2016"/>
            <w:vAlign w:val="center"/>
            <w:tcMar>
              <w:top w:w="70" w:type="dxa"/>
              <w:start w:w="95" w:type="dxa"/>
              <w:bottom w:w="70" w:type="dxa"/>
              <w:end w:w="95" w:type="dxa"/>
            </w:tcMar>
          </w:tcPr>
          <w:p>
            <w:pPr>
              <w:spacing w:after="0" w:line="240" w:lineRule="auto" w:before="0"/>
            </w:pPr>
            <w:r>
              <w:rPr>
                <w:sz w:val="17"/>
              </w:rPr>
              <w:t>Local model</w:t>
            </w:r>
          </w:p>
        </w:tc>
        <w:tc>
          <w:tcPr>
            <w:tcW w:type="dxa" w:w="2448"/>
            <w:vAlign w:val="center"/>
            <w:tcMar>
              <w:top w:w="70" w:type="dxa"/>
              <w:start w:w="95" w:type="dxa"/>
              <w:bottom w:w="70" w:type="dxa"/>
              <w:end w:w="95" w:type="dxa"/>
            </w:tcMar>
          </w:tcPr>
          <w:p>
            <w:pPr>
              <w:spacing w:after="0" w:line="240" w:lineRule="auto" w:before="0"/>
            </w:pPr>
            <w:r>
              <w:rPr>
                <w:sz w:val="17"/>
              </w:rPr>
              <w:t>Tool arguments fail in rehearsal</w:t>
            </w:r>
          </w:p>
        </w:tc>
        <w:tc>
          <w:tcPr>
            <w:tcW w:type="dxa" w:w="4464"/>
            <w:vAlign w:val="center"/>
            <w:tcMar>
              <w:top w:w="70" w:type="dxa"/>
              <w:start w:w="95" w:type="dxa"/>
              <w:bottom w:w="70" w:type="dxa"/>
              <w:end w:w="95" w:type="dxa"/>
            </w:tcMar>
          </w:tcPr>
          <w:p>
            <w:pPr>
              <w:spacing w:after="0" w:line="240" w:lineRule="auto" w:before="0"/>
            </w:pPr>
            <w:r>
              <w:rPr>
                <w:sz w:val="17"/>
              </w:rPr>
              <w:t>Constrain JSON schemas and switch to the scripted agent</w:t>
            </w:r>
          </w:p>
        </w:tc>
      </w:tr>
      <w:tr>
        <w:trPr>
          <w:cantSplit/>
        </w:trPr>
        <w:tc>
          <w:tcPr>
            <w:tcW w:type="dxa" w:w="2016"/>
            <w:vAlign w:val="center"/>
            <w:shd w:fill="F3F7FA"/>
            <w:tcMar>
              <w:top w:w="70" w:type="dxa"/>
              <w:start w:w="95" w:type="dxa"/>
              <w:bottom w:w="70" w:type="dxa"/>
              <w:end w:w="95" w:type="dxa"/>
            </w:tcMar>
          </w:tcPr>
          <w:p>
            <w:pPr>
              <w:spacing w:after="0" w:line="240" w:lineRule="auto" w:before="0"/>
            </w:pPr>
            <w:r>
              <w:rPr>
                <w:sz w:val="17"/>
              </w:rPr>
              <w:t>Late contract bug</w:t>
            </w:r>
          </w:p>
        </w:tc>
        <w:tc>
          <w:tcPr>
            <w:tcW w:type="dxa" w:w="2448"/>
            <w:vAlign w:val="center"/>
            <w:shd w:fill="F3F7FA"/>
            <w:tcMar>
              <w:top w:w="70" w:type="dxa"/>
              <w:start w:w="95" w:type="dxa"/>
              <w:bottom w:w="70" w:type="dxa"/>
              <w:end w:w="95" w:type="dxa"/>
            </w:tcMar>
          </w:tcPr>
          <w:p>
            <w:pPr>
              <w:spacing w:after="0" w:line="240" w:lineRule="auto" w:before="0"/>
            </w:pPr>
            <w:r>
              <w:rPr>
                <w:sz w:val="17"/>
              </w:rPr>
              <w:t>Invariant fails after hour 16</w:t>
            </w:r>
          </w:p>
        </w:tc>
        <w:tc>
          <w:tcPr>
            <w:tcW w:type="dxa" w:w="4464"/>
            <w:vAlign w:val="center"/>
            <w:shd w:fill="F3F7FA"/>
            <w:tcMar>
              <w:top w:w="70" w:type="dxa"/>
              <w:start w:w="95" w:type="dxa"/>
              <w:bottom w:w="70" w:type="dxa"/>
              <w:end w:w="95" w:type="dxa"/>
            </w:tcMar>
          </w:tcPr>
          <w:p>
            <w:pPr>
              <w:spacing w:after="0" w:line="240" w:lineRule="auto" w:before="0"/>
            </w:pPr>
            <w:r>
              <w:rPr>
                <w:sz w:val="17"/>
              </w:rPr>
              <w:t>Fix, redeploy, update the environment address, and rerun the full suite</w:t>
            </w:r>
          </w:p>
        </w:tc>
      </w:tr>
      <w:tr>
        <w:trPr>
          <w:cantSplit/>
        </w:trPr>
        <w:tc>
          <w:tcPr>
            <w:tcW w:type="dxa" w:w="2016"/>
            <w:vAlign w:val="center"/>
            <w:tcMar>
              <w:top w:w="70" w:type="dxa"/>
              <w:start w:w="95" w:type="dxa"/>
              <w:bottom w:w="70" w:type="dxa"/>
              <w:end w:w="95" w:type="dxa"/>
            </w:tcMar>
          </w:tcPr>
          <w:p>
            <w:pPr>
              <w:spacing w:after="0" w:line="240" w:lineRule="auto" w:before="0"/>
            </w:pPr>
            <w:r>
              <w:rPr>
                <w:sz w:val="17"/>
              </w:rPr>
              <w:t>Stage network</w:t>
            </w:r>
          </w:p>
        </w:tc>
        <w:tc>
          <w:tcPr>
            <w:tcW w:type="dxa" w:w="2448"/>
            <w:vAlign w:val="center"/>
            <w:tcMar>
              <w:top w:w="70" w:type="dxa"/>
              <w:start w:w="95" w:type="dxa"/>
              <w:bottom w:w="70" w:type="dxa"/>
              <w:end w:w="95" w:type="dxa"/>
            </w:tcMar>
          </w:tcPr>
          <w:p>
            <w:pPr>
              <w:spacing w:after="0" w:line="240" w:lineRule="auto" w:before="0"/>
            </w:pPr>
            <w:r>
              <w:rPr>
                <w:sz w:val="17"/>
              </w:rPr>
              <w:t>RPC or Wi-Fi stalls</w:t>
            </w:r>
          </w:p>
        </w:tc>
        <w:tc>
          <w:tcPr>
            <w:tcW w:type="dxa" w:w="4464"/>
            <w:vAlign w:val="center"/>
            <w:tcMar>
              <w:top w:w="70" w:type="dxa"/>
              <w:start w:w="95" w:type="dxa"/>
              <w:bottom w:w="70" w:type="dxa"/>
              <w:end w:w="95" w:type="dxa"/>
            </w:tcMar>
          </w:tcPr>
          <w:p>
            <w:pPr>
              <w:spacing w:after="0" w:line="240" w:lineRule="auto" w:before="0"/>
            </w:pPr>
            <w:r>
              <w:rPr>
                <w:sz w:val="17"/>
              </w:rPr>
              <w:t>Use a hotspot or play the local hour-20 backup video</w:t>
            </w:r>
          </w:p>
        </w:tc>
      </w:tr>
    </w:tbl>
    <w:p>
      <w:pPr>
        <w:spacing w:after="0"/>
      </w:pPr>
    </w:p>
    <w:p>
      <w:pPr>
        <w:pStyle w:val="Heading1"/>
        <w:keepNext/>
      </w:pPr>
      <w:r>
        <w:t>Known Limitations</w:t>
      </w:r>
    </w:p>
    <w:p>
      <w:pPr>
        <w:pStyle w:val="ListBullet"/>
      </w:pPr>
      <w:r>
        <w:t>The wallet is unaudited and restricted to testnet.</w:t>
      </w:r>
    </w:p>
    <w:p>
      <w:pPr>
        <w:pStyle w:val="ListBullet"/>
      </w:pPr>
      <w:r>
        <w:t>The fixed daily window can allow up to twice the nominal limit around a reset boundary.</w:t>
      </w:r>
    </w:p>
    <w:p>
      <w:pPr>
        <w:pStyle w:val="ListBullet"/>
      </w:pPr>
      <w:r>
        <w:t>A compromised session key may spend within its valid policy until it expires or is revoked.</w:t>
      </w:r>
    </w:p>
    <w:p>
      <w:pPr>
        <w:pStyle w:val="ListBullet"/>
      </w:pPr>
      <w:r>
        <w:t>Validation failures are not durable on-chain events; the dashboard must source them from bundler simulation or backend telemetry.</w:t>
      </w:r>
    </w:p>
    <w:p>
      <w:pPr>
        <w:pStyle w:val="ListBullet"/>
      </w:pPr>
      <w:r>
        <w:t>Full x402 support may conflict with the decision to reject arbitrary agent EIP-1271 signatures.</w:t>
      </w:r>
    </w:p>
    <w:p>
      <w:pPr>
        <w:pStyle w:val="Heading1"/>
        <w:keepNext/>
      </w:pPr>
      <w:r>
        <w:t>Immediate Next Actions</w:t>
      </w:r>
    </w:p>
    <w:p>
      <w:pPr>
        <w:spacing w:after="60"/>
        <w:ind w:left="320" w:hanging="320"/>
      </w:pPr>
      <w:r>
        <w:t>1. Confirm EntryPoint, bundler, RPC, Chainlink feed, and heartbeat values for Base Sepolia.</w:t>
      </w:r>
    </w:p>
    <w:p>
      <w:pPr>
        <w:spacing w:after="60"/>
        <w:ind w:left="320" w:hanging="320"/>
      </w:pPr>
      <w:r>
        <w:t>2. Scaffold the repository and add a secret-free environment example.</w:t>
      </w:r>
    </w:p>
    <w:p>
      <w:pPr>
        <w:spacing w:after="60"/>
        <w:ind w:left="320" w:hanging="320"/>
      </w:pPr>
      <w:r>
        <w:t>3. Write interface-first security tests before completing wallet logic.</w:t>
      </w:r>
    </w:p>
    <w:p>
      <w:pPr>
        <w:spacing w:after="60"/>
        <w:ind w:left="320" w:hanging="320"/>
      </w:pPr>
      <w:r>
        <w:t>4. Land and record the first owner UserOperation.</w:t>
      </w:r>
    </w:p>
    <w:p>
      <w:pPr>
        <w:spacing w:after="60"/>
        <w:ind w:left="320" w:hanging="320"/>
      </w:pPr>
      <w:r>
        <w:t>5. Keep the architecture, threat model, build plan, and demo runbook updated as executable decisions change.</w:t>
      </w:r>
    </w:p>
    <w:p>
      <w:pPr>
        <w:pStyle w:val="Heading1"/>
        <w:keepNext/>
      </w:pPr>
      <w:r>
        <w:t>Configuration Record</w:t>
      </w:r>
    </w:p>
    <w:p>
      <w:r>
        <w:t>Complete these fields as soon as the first deployment path is confirmed.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4896"/>
            <w:shd w:fill="1F4E78"/>
            <w:tcMar>
              <w:top w:w="95" w:type="dxa"/>
              <w:start w:w="95" w:type="dxa"/>
              <w:bottom w:w="95" w:type="dxa"/>
              <w:end w:w="95" w:type="dxa"/>
            </w:tcMar>
            <w:vAlign w:val="center"/>
          </w:tcPr>
          <w:p>
            <w:r>
              <w:rPr>
                <w:b/>
                <w:color w:val="FFFFFF"/>
                <w:sz w:val="18"/>
              </w:rPr>
              <w:t>Value</w:t>
            </w:r>
          </w:p>
        </w:tc>
        <w:tc>
          <w:tcPr>
            <w:tcW w:type="dxa" w:w="4032"/>
            <w:shd w:fill="1F4E78"/>
            <w:tcMar>
              <w:top w:w="95" w:type="dxa"/>
              <w:start w:w="95" w:type="dxa"/>
              <w:bottom w:w="95" w:type="dxa"/>
              <w:end w:w="95" w:type="dxa"/>
            </w:tcMar>
            <w:vAlign w:val="center"/>
          </w:tcPr>
          <w:p>
            <w:r>
              <w:rPr>
                <w:b/>
                <w:color w:val="FFFFFF"/>
                <w:sz w:val="18"/>
              </w:rPr>
              <w:t>Current state</w:t>
            </w:r>
          </w:p>
        </w:tc>
        <w:trPr>
          <w:tblHeader/>
        </w:trPr>
      </w:tr>
      <w:tr>
        <w:tc>
          <w:tcPr>
            <w:tcW w:type="dxa" w:w="4896"/>
            <w:tcMar>
              <w:top w:w="95" w:type="dxa"/>
              <w:start w:w="95" w:type="dxa"/>
              <w:bottom w:w="95" w:type="dxa"/>
              <w:end w:w="95" w:type="dxa"/>
            </w:tcMar>
            <w:vAlign w:val="center"/>
          </w:tcPr>
          <w:p>
            <w:pPr>
              <w:spacing w:after="0"/>
            </w:pPr>
            <w:r>
              <w:rPr>
                <w:sz w:val="18"/>
              </w:rPr>
              <w:t>Base Sepolia EntryPoint</w:t>
            </w:r>
          </w:p>
        </w:tc>
        <w:tc>
          <w:tcPr>
            <w:tcW w:type="dxa" w:w="4032"/>
            <w:tcMar>
              <w:top w:w="95" w:type="dxa"/>
              <w:start w:w="95" w:type="dxa"/>
              <w:bottom w:w="95" w:type="dxa"/>
              <w:end w:w="95" w:type="dxa"/>
            </w:tcMar>
            <w:vAlign w:val="center"/>
          </w:tcPr>
          <w:p>
            <w:pPr>
              <w:spacing w:after="0"/>
            </w:pPr>
            <w:r>
              <w:rPr>
                <w:sz w:val="18"/>
              </w:rPr>
              <w:t>TBD</w:t>
            </w:r>
          </w:p>
        </w:tc>
      </w:tr>
      <w:tr>
        <w:tc>
          <w:tcPr>
            <w:tcW w:type="dxa" w:w="4896"/>
            <w:tcMar>
              <w:top w:w="95" w:type="dxa"/>
              <w:start w:w="95" w:type="dxa"/>
              <w:bottom w:w="95" w:type="dxa"/>
              <w:end w:w="95" w:type="dxa"/>
            </w:tcMar>
            <w:vAlign w:val="center"/>
            <w:shd w:fill="F3F7FA"/>
          </w:tcPr>
          <w:p>
            <w:pPr>
              <w:spacing w:after="0"/>
            </w:pPr>
            <w:r>
              <w:rPr>
                <w:sz w:val="18"/>
              </w:rPr>
              <w:t>Bundler and backup provider</w:t>
            </w:r>
          </w:p>
        </w:tc>
        <w:tc>
          <w:tcPr>
            <w:tcW w:type="dxa" w:w="4032"/>
            <w:tcMar>
              <w:top w:w="95" w:type="dxa"/>
              <w:start w:w="95" w:type="dxa"/>
              <w:bottom w:w="95" w:type="dxa"/>
              <w:end w:w="95" w:type="dxa"/>
            </w:tcMar>
            <w:vAlign w:val="center"/>
            <w:shd w:fill="F3F7FA"/>
          </w:tcPr>
          <w:p>
            <w:pPr>
              <w:spacing w:after="0"/>
            </w:pPr>
            <w:r>
              <w:rPr>
                <w:sz w:val="18"/>
              </w:rPr>
              <w:t>TBD</w:t>
            </w:r>
          </w:p>
        </w:tc>
      </w:tr>
      <w:tr>
        <w:tc>
          <w:tcPr>
            <w:tcW w:type="dxa" w:w="4896"/>
            <w:tcMar>
              <w:top w:w="95" w:type="dxa"/>
              <w:start w:w="95" w:type="dxa"/>
              <w:bottom w:w="95" w:type="dxa"/>
              <w:end w:w="95" w:type="dxa"/>
            </w:tcMar>
            <w:vAlign w:val="center"/>
          </w:tcPr>
          <w:p>
            <w:pPr>
              <w:spacing w:after="0"/>
            </w:pPr>
            <w:r>
              <w:rPr>
                <w:sz w:val="18"/>
              </w:rPr>
              <w:t>Factory and wallet addresses</w:t>
            </w:r>
          </w:p>
        </w:tc>
        <w:tc>
          <w:tcPr>
            <w:tcW w:type="dxa" w:w="4032"/>
            <w:tcMar>
              <w:top w:w="95" w:type="dxa"/>
              <w:start w:w="95" w:type="dxa"/>
              <w:bottom w:w="95" w:type="dxa"/>
              <w:end w:w="95" w:type="dxa"/>
            </w:tcMar>
            <w:vAlign w:val="center"/>
          </w:tcPr>
          <w:p>
            <w:pPr>
              <w:spacing w:after="0"/>
            </w:pPr>
            <w:r>
              <w:rPr>
                <w:sz w:val="18"/>
              </w:rPr>
              <w:t>TBD</w:t>
            </w:r>
          </w:p>
        </w:tc>
      </w:tr>
      <w:tr>
        <w:tc>
          <w:tcPr>
            <w:tcW w:type="dxa" w:w="4896"/>
            <w:tcMar>
              <w:top w:w="95" w:type="dxa"/>
              <w:start w:w="95" w:type="dxa"/>
              <w:bottom w:w="95" w:type="dxa"/>
              <w:end w:w="95" w:type="dxa"/>
            </w:tcMar>
            <w:vAlign w:val="center"/>
            <w:shd w:fill="F3F7FA"/>
          </w:tcPr>
          <w:p>
            <w:pPr>
              <w:spacing w:after="0"/>
            </w:pPr>
            <w:r>
              <w:rPr>
                <w:sz w:val="18"/>
              </w:rPr>
              <w:t>Token feeds and heartbeat thresholds</w:t>
            </w:r>
          </w:p>
        </w:tc>
        <w:tc>
          <w:tcPr>
            <w:tcW w:type="dxa" w:w="4032"/>
            <w:tcMar>
              <w:top w:w="95" w:type="dxa"/>
              <w:start w:w="95" w:type="dxa"/>
              <w:bottom w:w="95" w:type="dxa"/>
              <w:end w:w="95" w:type="dxa"/>
            </w:tcMar>
            <w:vAlign w:val="center"/>
            <w:shd w:fill="F3F7FA"/>
          </w:tcPr>
          <w:p>
            <w:pPr>
              <w:spacing w:after="0"/>
            </w:pPr>
            <w:r>
              <w:rPr>
                <w:sz w:val="18"/>
              </w:rPr>
              <w:t>TBD</w:t>
            </w:r>
          </w:p>
        </w:tc>
      </w:tr>
      <w:tr>
        <w:tc>
          <w:tcPr>
            <w:tcW w:type="dxa" w:w="4896"/>
            <w:tcMar>
              <w:top w:w="95" w:type="dxa"/>
              <w:start w:w="95" w:type="dxa"/>
              <w:bottom w:w="95" w:type="dxa"/>
              <w:end w:w="95" w:type="dxa"/>
            </w:tcMar>
            <w:vAlign w:val="center"/>
          </w:tcPr>
          <w:p>
            <w:pPr>
              <w:spacing w:after="0"/>
            </w:pPr>
            <w:r>
              <w:rPr>
                <w:sz w:val="18"/>
              </w:rPr>
              <w:t>Dashboard and backend URLs</w:t>
            </w:r>
          </w:p>
        </w:tc>
        <w:tc>
          <w:tcPr>
            <w:tcW w:type="dxa" w:w="4032"/>
            <w:tcMar>
              <w:top w:w="95" w:type="dxa"/>
              <w:start w:w="95" w:type="dxa"/>
              <w:bottom w:w="95" w:type="dxa"/>
              <w:end w:w="95" w:type="dxa"/>
            </w:tcMar>
            <w:vAlign w:val="center"/>
          </w:tcPr>
          <w:p>
            <w:pPr>
              <w:spacing w:after="0"/>
            </w:pPr>
            <w:r>
              <w:rPr>
                <w:sz w:val="18"/>
              </w:rPr>
              <w:t>TBD</w:t>
            </w:r>
          </w:p>
        </w:tc>
      </w:tr>
      <w:tr>
        <w:tc>
          <w:tcPr>
            <w:tcW w:type="dxa" w:w="4896"/>
            <w:tcMar>
              <w:top w:w="95" w:type="dxa"/>
              <w:start w:w="95" w:type="dxa"/>
              <w:bottom w:w="95" w:type="dxa"/>
              <w:end w:w="95" w:type="dxa"/>
            </w:tcMar>
            <w:vAlign w:val="center"/>
            <w:shd w:fill="F3F7FA"/>
          </w:tcPr>
          <w:p>
            <w:pPr>
              <w:spacing w:after="0"/>
            </w:pPr>
            <w:r>
              <w:rPr>
                <w:sz w:val="18"/>
              </w:rPr>
              <w:t>Demo UserOperation and explorer links</w:t>
            </w:r>
          </w:p>
        </w:tc>
        <w:tc>
          <w:tcPr>
            <w:tcW w:type="dxa" w:w="4032"/>
            <w:tcMar>
              <w:top w:w="95" w:type="dxa"/>
              <w:start w:w="95" w:type="dxa"/>
              <w:bottom w:w="95" w:type="dxa"/>
              <w:end w:w="95" w:type="dxa"/>
            </w:tcMar>
            <w:vAlign w:val="center"/>
            <w:shd w:fill="F3F7FA"/>
          </w:tcPr>
          <w:p>
            <w:pPr>
              <w:spacing w:after="0"/>
            </w:pPr>
            <w:r>
              <w:rPr>
                <w:sz w:val="18"/>
              </w:rPr>
              <w:t>TBD</w:t>
            </w:r>
          </w:p>
        </w:tc>
      </w:tr>
    </w:tbl>
    <w:p>
      <w:pPr>
        <w:spacing w:after="0"/>
      </w:pPr>
    </w:p>
    <w:p>
      <w:pPr>
        <w:pStyle w:val="Heading1"/>
        <w:keepNext/>
      </w:pPr>
      <w:r>
        <w:t>Submission Checklist</w:t>
      </w:r>
    </w:p>
    <w:p>
      <w:pPr>
        <w:pStyle w:val="ListBullet"/>
        <w:spacing w:after="60"/>
      </w:pPr>
      <w:r>
        <w:t>Verified contract addresses and deployment commit are recorded.</w:t>
      </w:r>
    </w:p>
    <w:p>
      <w:pPr>
        <w:pStyle w:val="ListBullet"/>
        <w:spacing w:after="60"/>
      </w:pPr>
      <w:r>
        <w:t>Public dashboard and backend work from a device outside the development laptop.</w:t>
      </w:r>
    </w:p>
    <w:p>
      <w:pPr>
        <w:pStyle w:val="ListBullet"/>
        <w:spacing w:after="60"/>
      </w:pPr>
      <w:r>
        <w:t>CI, fuzz tests, invariants, and Slither evidence are ready to show.</w:t>
      </w:r>
    </w:p>
    <w:p>
      <w:pPr>
        <w:pStyle w:val="ListBullet"/>
        <w:spacing w:after="60"/>
      </w:pPr>
      <w:r>
        <w:t>Each attack script runs with one command and has a matching automated test.</w:t>
      </w:r>
    </w:p>
    <w:p>
      <w:pPr>
        <w:pStyle w:val="ListBullet"/>
        <w:spacing w:after="60"/>
      </w:pPr>
      <w:r>
        <w:t>The three-minute backup video is available offline.</w:t>
      </w:r>
    </w:p>
    <w:p>
      <w:pPr>
        <w:pStyle w:val="ListBullet"/>
        <w:spacing w:after="60"/>
      </w:pPr>
      <w:r>
        <w:t>The interface clearly displays Testnet only - unaudited.</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Agent Wallet  |  Initial project brief  |  Testnet only - unaudited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Wallet Project Brief</dc:title>
  <dc:subject>Initial implementation and security plan</dc:subject>
  <dc:creator>Agent Wallet Team</dc:creator>
  <cp:keywords>ERC-4337, smart account, AI agent, Base Sepolia, threat model</cp:keywords>
  <dc:description>generated by python-docx</dc:description>
  <cp:lastModifiedBy/>
  <cp:revision>1</cp:revision>
  <dcterms:created xsi:type="dcterms:W3CDTF">2013-12-23T23:15:00Z</dcterms:created>
  <dcterms:modified xsi:type="dcterms:W3CDTF">2013-12-23T23:15:00Z</dcterms:modified>
  <cp:category/>
</cp:coreProperties>
</file>