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ook w:firstColumn="1" w:firstRow="1" w:lastColumn="0" w:lastRow="0" w:noHBand="0" w:noVBand="1" w:val="04A0"/>
      </w:tblPr>
      <w:tblGrid>
        <w:gridCol w:w="10166"/>
      </w:tblGrid>
      <w:tr>
        <w:tc>
          <w:tcPr>
            <w:tcW w:type="dxa" w:w="10166"/>
            <w:shd w:fill="11263C"/>
            <w:tcMar>
              <w:top w:w="500" w:type="dxa"/>
              <w:start w:w="420" w:type="dxa"/>
              <w:bottom w:w="440" w:type="dxa"/>
              <w:end w:w="420" w:type="dxa"/>
            </w:tcMar>
          </w:tcPr>
          <w:p>
            <w:pPr>
              <w:spacing w:after="160"/>
              <w:jc w:val="left"/>
            </w:pPr>
            <w:r/>
            <w:r>
              <w:rPr>
                <w:rFonts w:ascii="Arial" w:hAnsi="Arial"/>
                <w:b/>
                <w:color w:val="FFFFFF"/>
                <w:sz w:val="72"/>
              </w:rPr>
              <w:t>TATTVA</w:t>
            </w:r>
          </w:p>
          <w:p>
            <w:pPr>
              <w:spacing w:after="200"/>
            </w:pPr>
            <w:r>
              <w:rPr>
                <w:rFonts w:ascii="Arial" w:hAnsi="Arial"/>
                <w:b/>
                <w:color w:val="55D6D2"/>
                <w:sz w:val="34"/>
              </w:rPr>
              <w:t>BACKEND ENGINEERING SPECIFICATION</w:t>
            </w:r>
          </w:p>
          <w:p>
            <w:pPr>
              <w:spacing w:after="280"/>
            </w:pPr>
            <w:r>
              <w:rPr>
                <w:rFonts w:ascii="Arial" w:hAnsi="Arial"/>
                <w:color w:val="EAF1F6"/>
                <w:sz w:val="22"/>
              </w:rPr>
              <w:t>Two-LLM architecture • Bounded multi-agent orchestration • Evidence-first RAG • Live investigation events</w:t>
            </w:r>
          </w:p>
          <w:p>
            <w:pPr>
              <w:spacing w:after="0"/>
            </w:pPr>
            <w:r>
              <w:rPr>
                <w:i/>
                <w:color w:val="E3B34C"/>
                <w:sz w:val="24"/>
              </w:rPr>
              <w:t>Beyond data, towards evidence.</w:t>
            </w:r>
          </w:p>
        </w:tc>
      </w:tr>
    </w:tbl>
    <w:p/>
    <w:p>
      <w:r>
        <w:rPr>
          <w:i w:val="0"/>
        </w:rPr>
        <w:t>A build specification for the TATTVA backend, based on the agreed product direction and a review of the uploaded Riva-AGI codebase.</w:t>
      </w:r>
    </w:p>
    <w:p>
      <w:r>
        <w:rPr>
          <w:i/>
        </w:rPr>
        <w:t>Version 1.0  |  20 October 2026  |  Status: Proposed implementation blueprint</w:t>
      </w:r>
    </w:p>
    <w:tbl>
      <w:tblPr>
        <w:tblW w:type="auto" w:w="0"/>
        <w:jc w:val="center"/>
        <w:tblLook w:firstColumn="1" w:firstRow="1" w:lastColumn="0" w:lastRow="0" w:noHBand="0" w:noVBand="1" w:val="04A0"/>
      </w:tblPr>
      <w:tblGrid>
        <w:gridCol w:w="10166"/>
      </w:tblGrid>
      <w:tr>
        <w:tc>
          <w:tcPr>
            <w:tcW w:type="dxa" w:w="10166"/>
            <w:shd w:fill="FFF0E8"/>
            <w:tcMar>
              <w:top w:w="140" w:type="dxa"/>
              <w:start w:w="180" w:type="dxa"/>
              <w:bottom w:w="140" w:type="dxa"/>
              <w:end w:w="180" w:type="dxa"/>
            </w:tcMar>
          </w:tcPr>
          <w:p>
            <w:pPr>
              <w:spacing w:after="60"/>
            </w:pPr>
            <w:r/>
            <w:r>
              <w:rPr>
                <w:b/>
                <w:color w:val="E07A45"/>
                <w:sz w:val="20"/>
              </w:rPr>
              <w:t>Important scope note</w:t>
            </w:r>
          </w:p>
          <w:p>
            <w:pPr>
              <w:spacing w:after="0" w:line="252" w:lineRule="auto"/>
            </w:pPr>
            <w:r>
              <w:rPr>
                <w:color w:val="18242F"/>
                <w:sz w:val="18"/>
              </w:rPr>
              <w:t>This document specifies what to build. It does not claim the described backend is already implemented. The current UI is a prototype, analysis data must be synthetic for the MVP, and all performance targets below are acceptance targets to measure—not existing results.</w:t>
            </w:r>
          </w:p>
        </w:tc>
      </w:tr>
    </w:tbl>
    <w:p>
      <w:pPr>
        <w:spacing w:after="20"/>
      </w:pPr>
    </w:p>
    <w:p>
      <w:pPr>
        <w:pStyle w:val="Heading2"/>
      </w:pPr>
      <w:r>
        <w:t>Document at a glance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90" w:type="dxa"/>
              <w:start w:w="110" w:type="dxa"/>
              <w:bottom w:w="90" w:type="dxa"/>
              <w:end w:w="110" w:type="dxa"/>
            </w:tcMar>
            <w:shd w:fill="1D3B55"/>
          </w:tcPr>
          <w:p>
            <w:pPr>
              <w:spacing w:after="0" w:line="240" w:lineRule="auto"/>
            </w:pPr>
            <w:r/>
            <w:r>
              <w:rPr>
                <w:rFonts w:ascii="Arial" w:hAnsi="Arial"/>
                <w:b/>
                <w:color w:val="FFFFFF"/>
                <w:sz w:val="16"/>
              </w:rPr>
              <w:t>Area</w:t>
            </w:r>
          </w:p>
        </w:tc>
        <w:tc>
          <w:tcPr>
            <w:tcW w:type="dxa" w:w="7704"/>
            <w:vAlign w:val="center"/>
            <w:tcMar>
              <w:top w:w="90" w:type="dxa"/>
              <w:start w:w="110" w:type="dxa"/>
              <w:bottom w:w="90" w:type="dxa"/>
              <w:end w:w="110" w:type="dxa"/>
            </w:tcMar>
            <w:shd w:fill="1D3B55"/>
          </w:tcPr>
          <w:p>
            <w:pPr>
              <w:spacing w:after="0" w:line="240" w:lineRule="auto"/>
            </w:pPr>
            <w:r/>
            <w:r>
              <w:rPr>
                <w:rFonts w:ascii="Arial" w:hAnsi="Arial"/>
                <w:b/>
                <w:color w:val="FFFFFF"/>
                <w:sz w:val="16"/>
              </w:rPr>
              <w:t>Decision</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7"/>
              </w:rPr>
              <w:t>Product</w:t>
            </w:r>
          </w:p>
        </w:tc>
        <w:tc>
          <w:tcPr>
            <w:tcW w:type="dxa" w:w="7704"/>
            <w:vAlign w:val="center"/>
            <w:tcMar>
              <w:top w:w="90" w:type="dxa"/>
              <w:start w:w="110" w:type="dxa"/>
              <w:bottom w:w="90" w:type="dxa"/>
              <w:end w:w="110" w:type="dxa"/>
            </w:tcMar>
          </w:tcPr>
          <w:p>
            <w:pPr>
              <w:spacing w:after="0" w:line="240" w:lineRule="auto"/>
            </w:pPr>
            <w:r/>
            <w:r>
              <w:rPr>
                <w:rFonts w:ascii="Arial" w:hAnsi="Arial"/>
                <w:b w:val="0"/>
                <w:color w:val="18242F"/>
                <w:sz w:val="17"/>
              </w:rPr>
              <w:t>Evidence-first criminal-network investigation support; outputs are leads for human review, not guilt determinations.</w:t>
            </w:r>
          </w:p>
        </w:tc>
      </w:tr>
      <w:tr>
        <w:tc>
          <w:tcPr>
            <w:tcW w:type="dxa" w:w="2088"/>
            <w:vAlign w:val="center"/>
            <w:tcMar>
              <w:top w:w="90" w:type="dxa"/>
              <w:start w:w="110" w:type="dxa"/>
              <w:bottom w:w="90" w:type="dxa"/>
              <w:end w:w="110" w:type="dxa"/>
            </w:tcMar>
            <w:shd w:fill="F5F8FA"/>
          </w:tcPr>
          <w:p>
            <w:pPr>
              <w:spacing w:after="0" w:line="240" w:lineRule="auto"/>
            </w:pPr>
            <w:r/>
            <w:r>
              <w:rPr>
                <w:rFonts w:ascii="Arial" w:hAnsi="Arial"/>
                <w:b w:val="0"/>
                <w:color w:val="18242F"/>
                <w:sz w:val="17"/>
              </w:rPr>
              <w:t>LLM 1</w:t>
            </w:r>
          </w:p>
        </w:tc>
        <w:tc>
          <w:tcPr>
            <w:tcW w:type="dxa" w:w="7704"/>
            <w:vAlign w:val="center"/>
            <w:tcMar>
              <w:top w:w="90" w:type="dxa"/>
              <w:start w:w="110" w:type="dxa"/>
              <w:bottom w:w="90" w:type="dxa"/>
              <w:end w:w="110" w:type="dxa"/>
            </w:tcMar>
            <w:shd w:fill="F5F8FA"/>
          </w:tcPr>
          <w:p>
            <w:pPr>
              <w:spacing w:after="0" w:line="240" w:lineRule="auto"/>
            </w:pPr>
            <w:r/>
            <w:r>
              <w:rPr>
                <w:rFonts w:ascii="Arial" w:hAnsi="Arial"/>
                <w:b w:val="0"/>
                <w:color w:val="18242F"/>
                <w:sz w:val="17"/>
              </w:rPr>
              <w:t>Gemini Live voice service for real-time audio conversation and tightly allowlisted voice tools.</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7"/>
              </w:rPr>
              <w:t>LLM 2</w:t>
            </w:r>
          </w:p>
        </w:tc>
        <w:tc>
          <w:tcPr>
            <w:tcW w:type="dxa" w:w="7704"/>
            <w:vAlign w:val="center"/>
            <w:tcMar>
              <w:top w:w="90" w:type="dxa"/>
              <w:start w:w="110" w:type="dxa"/>
              <w:bottom w:w="90" w:type="dxa"/>
              <w:end w:w="110" w:type="dxa"/>
            </w:tcMar>
          </w:tcPr>
          <w:p>
            <w:pPr>
              <w:spacing w:after="0" w:line="240" w:lineRule="auto"/>
            </w:pPr>
            <w:r/>
            <w:r>
              <w:rPr>
                <w:rFonts w:ascii="Arial" w:hAnsi="Arial"/>
                <w:b w:val="0"/>
                <w:color w:val="18242F"/>
                <w:sz w:val="17"/>
              </w:rPr>
              <w:t>Online hosted core model behind a provider adapter; shared for orchestration reasoning and RAG answer synthesis.</w:t>
            </w:r>
          </w:p>
        </w:tc>
      </w:tr>
      <w:tr>
        <w:tc>
          <w:tcPr>
            <w:tcW w:type="dxa" w:w="2088"/>
            <w:vAlign w:val="center"/>
            <w:tcMar>
              <w:top w:w="90" w:type="dxa"/>
              <w:start w:w="110" w:type="dxa"/>
              <w:bottom w:w="90" w:type="dxa"/>
              <w:end w:w="110" w:type="dxa"/>
            </w:tcMar>
            <w:shd w:fill="F5F8FA"/>
          </w:tcPr>
          <w:p>
            <w:pPr>
              <w:spacing w:after="0" w:line="240" w:lineRule="auto"/>
            </w:pPr>
            <w:r/>
            <w:r>
              <w:rPr>
                <w:rFonts w:ascii="Arial" w:hAnsi="Arial"/>
                <w:b w:val="0"/>
                <w:color w:val="18242F"/>
                <w:sz w:val="17"/>
              </w:rPr>
              <w:t>Backend</w:t>
            </w:r>
          </w:p>
        </w:tc>
        <w:tc>
          <w:tcPr>
            <w:tcW w:type="dxa" w:w="7704"/>
            <w:vAlign w:val="center"/>
            <w:tcMar>
              <w:top w:w="90" w:type="dxa"/>
              <w:start w:w="110" w:type="dxa"/>
              <w:bottom w:w="90" w:type="dxa"/>
              <w:end w:w="110" w:type="dxa"/>
            </w:tcMar>
            <w:shd w:fill="F5F8FA"/>
          </w:tcPr>
          <w:p>
            <w:pPr>
              <w:spacing w:after="0" w:line="240" w:lineRule="auto"/>
            </w:pPr>
            <w:r/>
            <w:r>
              <w:rPr>
                <w:rFonts w:ascii="Arial" w:hAnsi="Arial"/>
                <w:b w:val="0"/>
                <w:color w:val="18242F"/>
                <w:sz w:val="17"/>
              </w:rPr>
              <w:t>FastAPI modular monolith + background worker; MongoDB as workflow/source metadata store; Qdrant for case-filtered vector retrieval.</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7"/>
              </w:rPr>
              <w:t>Graph and analytics</w:t>
            </w:r>
          </w:p>
        </w:tc>
        <w:tc>
          <w:tcPr>
            <w:tcW w:type="dxa" w:w="7704"/>
            <w:vAlign w:val="center"/>
            <w:tcMar>
              <w:top w:w="90" w:type="dxa"/>
              <w:start w:w="110" w:type="dxa"/>
              <w:bottom w:w="90" w:type="dxa"/>
              <w:end w:w="110" w:type="dxa"/>
            </w:tcMar>
          </w:tcPr>
          <w:p>
            <w:pPr>
              <w:spacing w:after="0" w:line="240" w:lineRule="auto"/>
            </w:pPr>
            <w:r/>
            <w:r>
              <w:rPr>
                <w:rFonts w:ascii="Arial" w:hAnsi="Arial"/>
                <w:b w:val="0"/>
                <w:color w:val="18242F"/>
                <w:sz w:val="17"/>
              </w:rPr>
              <w:t>NetworkX and deterministic Python checks; LLM explanations are advisory and do not override verification rules.</w:t>
            </w:r>
          </w:p>
        </w:tc>
      </w:tr>
      <w:tr>
        <w:tc>
          <w:tcPr>
            <w:tcW w:type="dxa" w:w="2088"/>
            <w:vAlign w:val="center"/>
            <w:tcMar>
              <w:top w:w="90" w:type="dxa"/>
              <w:start w:w="110" w:type="dxa"/>
              <w:bottom w:w="90" w:type="dxa"/>
              <w:end w:w="110" w:type="dxa"/>
            </w:tcMar>
            <w:shd w:fill="F5F8FA"/>
          </w:tcPr>
          <w:p>
            <w:pPr>
              <w:spacing w:after="0" w:line="240" w:lineRule="auto"/>
            </w:pPr>
            <w:r/>
            <w:r>
              <w:rPr>
                <w:rFonts w:ascii="Arial" w:hAnsi="Arial"/>
                <w:b w:val="0"/>
                <w:color w:val="18242F"/>
                <w:sz w:val="17"/>
              </w:rPr>
              <w:t>MVP data</w:t>
            </w:r>
          </w:p>
        </w:tc>
        <w:tc>
          <w:tcPr>
            <w:tcW w:type="dxa" w:w="7704"/>
            <w:vAlign w:val="center"/>
            <w:tcMar>
              <w:top w:w="90" w:type="dxa"/>
              <w:start w:w="110" w:type="dxa"/>
              <w:bottom w:w="90" w:type="dxa"/>
              <w:end w:w="110" w:type="dxa"/>
            </w:tcMar>
            <w:shd w:fill="F5F8FA"/>
          </w:tcPr>
          <w:p>
            <w:pPr>
              <w:spacing w:after="0" w:line="240" w:lineRule="auto"/>
            </w:pPr>
            <w:r/>
            <w:r>
              <w:rPr>
                <w:rFonts w:ascii="Arial" w:hAnsi="Arial"/>
                <w:b w:val="0"/>
                <w:color w:val="18242F"/>
                <w:sz w:val="17"/>
              </w:rPr>
              <w:t>8–10 entirely synthetic cases; no production police/telecom/financial integrations.</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7"/>
              </w:rPr>
              <w:t>Operating rule</w:t>
            </w:r>
          </w:p>
        </w:tc>
        <w:tc>
          <w:tcPr>
            <w:tcW w:type="dxa" w:w="7704"/>
            <w:vAlign w:val="center"/>
            <w:tcMar>
              <w:top w:w="90" w:type="dxa"/>
              <w:start w:w="110" w:type="dxa"/>
              <w:bottom w:w="90" w:type="dxa"/>
              <w:end w:w="110" w:type="dxa"/>
            </w:tcMar>
          </w:tcPr>
          <w:p>
            <w:pPr>
              <w:spacing w:after="0" w:line="240" w:lineRule="auto"/>
            </w:pPr>
            <w:r/>
            <w:r>
              <w:rPr>
                <w:rFonts w:ascii="Arial" w:hAnsi="Arial"/>
                <w:b w:val="0"/>
                <w:color w:val="18242F"/>
                <w:sz w:val="17"/>
              </w:rPr>
              <w:t>No source, no edge. No backend validation, no tool execution. No investigator review, no accepted finding.</w:t>
            </w:r>
          </w:p>
        </w:tc>
      </w:tr>
    </w:tbl>
    <w:p>
      <w:pPr>
        <w:spacing w:after="20"/>
      </w:pPr>
    </w:p>
    <w:p>
      <w:r>
        <w:br w:type="page"/>
      </w:r>
    </w:p>
    <w:p>
      <w:pPr>
        <w:pStyle w:val="Heading1"/>
      </w:pPr>
      <w:r>
        <w:t>Contents</w:t>
      </w:r>
    </w:p>
    <w:p>
      <w:pPr>
        <w:pStyle w:val="ListBullet"/>
        <w:spacing w:after="40"/>
        <w:ind w:left="360"/>
      </w:pPr>
      <w:r>
        <w:t>1. Project purpose and problem definition</w:t>
      </w:r>
    </w:p>
    <w:p>
      <w:pPr>
        <w:pStyle w:val="ListBullet"/>
        <w:spacing w:after="40"/>
        <w:ind w:left="360"/>
      </w:pPr>
      <w:r>
        <w:t>2. Requirements, goals and non-goals</w:t>
      </w:r>
    </w:p>
    <w:p>
      <w:pPr>
        <w:pStyle w:val="ListBullet"/>
        <w:spacing w:after="40"/>
        <w:ind w:left="360"/>
      </w:pPr>
      <w:r>
        <w:t>3. Architecture and technology decisions</w:t>
      </w:r>
    </w:p>
    <w:p>
      <w:pPr>
        <w:pStyle w:val="ListBullet"/>
        <w:spacing w:after="40"/>
        <w:ind w:left="360"/>
      </w:pPr>
      <w:r>
        <w:t>4. Two-LLM responsibilities and boundaries</w:t>
      </w:r>
    </w:p>
    <w:p>
      <w:pPr>
        <w:pStyle w:val="ListBullet"/>
        <w:spacing w:after="40"/>
        <w:ind w:left="360"/>
      </w:pPr>
      <w:r>
        <w:t>5. Riva-AGI code reuse and refactoring plan</w:t>
      </w:r>
    </w:p>
    <w:p>
      <w:pPr>
        <w:pStyle w:val="ListBullet"/>
        <w:spacing w:after="40"/>
        <w:ind w:left="360"/>
      </w:pPr>
      <w:r>
        <w:t>6. Backend repository structure</w:t>
      </w:r>
    </w:p>
    <w:p>
      <w:pPr>
        <w:pStyle w:val="ListBullet"/>
        <w:spacing w:after="40"/>
        <w:ind w:left="360"/>
      </w:pPr>
      <w:r>
        <w:t>7. Core domain model and status vocabulary</w:t>
      </w:r>
    </w:p>
    <w:p>
      <w:pPr>
        <w:pStyle w:val="ListBullet"/>
        <w:spacing w:after="40"/>
        <w:ind w:left="360"/>
      </w:pPr>
      <w:r>
        <w:t>8. MongoDB data design</w:t>
      </w:r>
    </w:p>
    <w:p>
      <w:pPr>
        <w:pStyle w:val="ListBullet"/>
        <w:spacing w:after="40"/>
        <w:ind w:left="360"/>
      </w:pPr>
      <w:r>
        <w:t>9. Document ingestion and RAG pipeline</w:t>
      </w:r>
    </w:p>
    <w:p>
      <w:pPr>
        <w:pStyle w:val="ListBullet"/>
        <w:spacing w:after="40"/>
        <w:ind w:left="360"/>
      </w:pPr>
      <w:r>
        <w:t>10. Evidence ledger and relationship verification</w:t>
      </w:r>
    </w:p>
    <w:p>
      <w:pPr>
        <w:pStyle w:val="ListBullet"/>
        <w:spacing w:after="40"/>
        <w:ind w:left="360"/>
      </w:pPr>
      <w:r>
        <w:t>11. Bounded orchestration and TaskSpec</w:t>
      </w:r>
    </w:p>
    <w:p>
      <w:pPr>
        <w:pStyle w:val="ListBullet"/>
        <w:spacing w:after="40"/>
        <w:ind w:left="360"/>
      </w:pPr>
      <w:r>
        <w:t>12. Specialist agents and deterministic services</w:t>
      </w:r>
    </w:p>
    <w:p>
      <w:pPr>
        <w:pStyle w:val="ListBullet"/>
        <w:spacing w:after="40"/>
        <w:ind w:left="360"/>
      </w:pPr>
      <w:r>
        <w:t>13. REST API contract</w:t>
      </w:r>
    </w:p>
    <w:p>
      <w:pPr>
        <w:pStyle w:val="ListBullet"/>
        <w:spacing w:after="40"/>
        <w:ind w:left="360"/>
      </w:pPr>
      <w:r>
        <w:t>14. Live events and cinematic dashboard contract</w:t>
      </w:r>
    </w:p>
    <w:p>
      <w:pPr>
        <w:pStyle w:val="ListBullet"/>
        <w:spacing w:after="40"/>
        <w:ind w:left="360"/>
      </w:pPr>
      <w:r>
        <w:t>15. Voice integration and command safety</w:t>
      </w:r>
    </w:p>
    <w:p>
      <w:pPr>
        <w:pStyle w:val="ListBullet"/>
        <w:spacing w:after="40"/>
        <w:ind w:left="360"/>
      </w:pPr>
      <w:r>
        <w:t>16. Security, privacy and audit</w:t>
      </w:r>
    </w:p>
    <w:p>
      <w:pPr>
        <w:pStyle w:val="ListBullet"/>
        <w:spacing w:after="40"/>
        <w:ind w:left="360"/>
      </w:pPr>
      <w:r>
        <w:t>17. Errors, retries, idempotency and cancellation</w:t>
      </w:r>
    </w:p>
    <w:p>
      <w:pPr>
        <w:pStyle w:val="ListBullet"/>
        <w:spacing w:after="40"/>
        <w:ind w:left="360"/>
      </w:pPr>
      <w:r>
        <w:t>18. Testing strategy and evaluation benchmark</w:t>
      </w:r>
    </w:p>
    <w:p>
      <w:pPr>
        <w:pStyle w:val="ListBullet"/>
        <w:spacing w:after="40"/>
        <w:ind w:left="360"/>
      </w:pPr>
      <w:r>
        <w:t>19. Local development and deployment</w:t>
      </w:r>
    </w:p>
    <w:p>
      <w:pPr>
        <w:pStyle w:val="ListBullet"/>
        <w:spacing w:after="40"/>
        <w:ind w:left="360"/>
      </w:pPr>
      <w:r>
        <w:t>20. Phased implementation plan</w:t>
      </w:r>
    </w:p>
    <w:p>
      <w:pPr>
        <w:pStyle w:val="ListBullet"/>
        <w:spacing w:after="40"/>
        <w:ind w:left="360"/>
      </w:pPr>
      <w:r>
        <w:t>21. Definition of done and acceptance tests</w:t>
      </w:r>
    </w:p>
    <w:p>
      <w:pPr>
        <w:pStyle w:val="ListBullet"/>
        <w:spacing w:after="40"/>
        <w:ind w:left="360"/>
      </w:pPr>
      <w:r>
        <w:t>22. Risks, assumptions and decisions to confirm</w:t>
      </w:r>
    </w:p>
    <w:p>
      <w:pPr>
        <w:pStyle w:val="ListBullet"/>
        <w:spacing w:after="40"/>
        <w:ind w:left="360"/>
      </w:pPr>
      <w:r>
        <w:t>Appendix A. Starter schemas and examples</w:t>
      </w:r>
    </w:p>
    <w:p>
      <w:pPr>
        <w:pStyle w:val="ListBullet"/>
        <w:spacing w:after="40"/>
        <w:ind w:left="360"/>
      </w:pPr>
      <w:r>
        <w:t>Appendix B. Environment variable template</w:t>
      </w:r>
    </w:p>
    <w:p>
      <w:pPr>
        <w:pStyle w:val="ListBullet"/>
        <w:spacing w:after="40"/>
        <w:ind w:left="360"/>
      </w:pPr>
      <w:r>
        <w:t>Appendix C. Official technical references</w:t>
      </w:r>
    </w:p>
    <w:tbl>
      <w:tblPr>
        <w:tblW w:type="auto" w:w="0"/>
        <w:jc w:val="center"/>
        <w:tblLook w:firstColumn="1" w:firstRow="1" w:lastColumn="0" w:lastRow="0" w:noHBand="0" w:noVBand="1" w:val="04A0"/>
      </w:tblPr>
      <w:tblGrid>
        <w:gridCol w:w="10166"/>
      </w:tblGrid>
      <w:tr>
        <w:tc>
          <w:tcPr>
            <w:tcW w:type="dxa" w:w="10166"/>
            <w:shd w:fill="E7F5F4"/>
            <w:tcMar>
              <w:top w:w="140" w:type="dxa"/>
              <w:start w:w="180" w:type="dxa"/>
              <w:bottom w:w="140" w:type="dxa"/>
              <w:end w:w="180" w:type="dxa"/>
            </w:tcMar>
          </w:tcPr>
          <w:p>
            <w:pPr>
              <w:spacing w:after="60"/>
            </w:pPr>
            <w:r/>
            <w:r>
              <w:rPr>
                <w:b/>
                <w:color w:val="0F8B8D"/>
                <w:sz w:val="20"/>
              </w:rPr>
              <w:t>How to use this document</w:t>
            </w:r>
          </w:p>
          <w:p>
            <w:pPr>
              <w:spacing w:after="0" w:line="252" w:lineRule="auto"/>
            </w:pPr>
            <w:r>
              <w:rPr>
                <w:color w:val="18242F"/>
                <w:sz w:val="18"/>
              </w:rPr>
              <w:t>Treat Sections 3, 7, 10, 11, 13, 14 and 16 as the core contracts. Implement them before expanding the number of agents. Keep the current architecture modular, but do not split it into many microservices for the MVP.</w:t>
            </w:r>
          </w:p>
        </w:tc>
      </w:tr>
    </w:tbl>
    <w:p>
      <w:pPr>
        <w:spacing w:after="20"/>
      </w:pPr>
    </w:p>
    <w:p>
      <w:r>
        <w:br w:type="page"/>
      </w:r>
    </w:p>
    <w:p>
      <w:pPr>
        <w:pStyle w:val="Heading1"/>
      </w:pPr>
      <w:r>
        <w:t>1. Project purpose and problem definition</w:t>
      </w:r>
    </w:p>
    <w:p>
      <w:pPr>
        <w:pStyle w:val="Heading2"/>
      </w:pPr>
      <w:r>
        <w:t>1.1 The problem</w:t>
      </w:r>
    </w:p>
    <w:p>
      <w:r>
        <w:rPr>
          <w:i w:val="0"/>
        </w:rPr>
        <w:t>Criminal-investigation records may be fragmented across FIR-like narratives, police reports, call-detail summaries, financial records, surveillance notes, social-media intelligence and historical records. Investigators can spend significant time locating the same people, phone numbers, vehicles, accounts, events and organizations across sources. A visual graph alone does not establish that an apparent connection is factually supported.</w:t>
      </w:r>
    </w:p>
    <w:p>
      <w:r>
        <w:rPr>
          <w:i w:val="0"/>
        </w:rPr>
        <w:t>TATTVA turns permitted case records into a unified, searchable, source-linked analysis workspace. It extracts candidate entities and relationships, checks them against source passages, surfaces contradictions and defined anomaly patterns, calculates transparent graph metrics, and prepares reviewable reports under a bounded central orchestrator.</w:t>
      </w:r>
    </w:p>
    <w:p>
      <w:pPr>
        <w:pStyle w:val="Heading2"/>
      </w:pPr>
      <w:r>
        <w:t>1.2 Proposed problem statement</w:t>
      </w:r>
    </w:p>
    <w:tbl>
      <w:tblPr>
        <w:tblW w:type="auto" w:w="0"/>
        <w:jc w:val="center"/>
        <w:tblLook w:firstColumn="1" w:firstRow="1" w:lastColumn="0" w:lastRow="0" w:noHBand="0" w:noVBand="1" w:val="04A0"/>
      </w:tblPr>
      <w:tblGrid>
        <w:gridCol w:w="10166"/>
      </w:tblGrid>
      <w:tr>
        <w:tc>
          <w:tcPr>
            <w:tcW w:type="dxa" w:w="10166"/>
            <w:shd w:fill="FFF0E8"/>
            <w:tcMar>
              <w:top w:w="140" w:type="dxa"/>
              <w:start w:w="180" w:type="dxa"/>
              <w:bottom w:w="140" w:type="dxa"/>
              <w:end w:w="180" w:type="dxa"/>
            </w:tcMar>
          </w:tcPr>
          <w:p>
            <w:pPr>
              <w:spacing w:after="60"/>
            </w:pPr>
            <w:r/>
            <w:r>
              <w:rPr>
                <w:b/>
                <w:color w:val="E07A45"/>
                <w:sz w:val="20"/>
              </w:rPr>
              <w:t>Problem statement</w:t>
            </w:r>
          </w:p>
          <w:p>
            <w:pPr>
              <w:spacing w:after="0" w:line="252" w:lineRule="auto"/>
            </w:pPr>
            <w:r>
              <w:rPr>
                <w:color w:val="18242F"/>
                <w:sz w:val="18"/>
              </w:rPr>
              <w:t>How can fragmented investigation records be transformed into unified, traceable and explainable network intelligence that helps an authorized investigator discover candidate relationships, review suspicious patterns, resolve contradictions and verify every material finding against its original source?</w:t>
            </w:r>
          </w:p>
        </w:tc>
      </w:tr>
    </w:tbl>
    <w:p>
      <w:pPr>
        <w:spacing w:after="20"/>
      </w:pPr>
    </w:p>
    <w:p>
      <w:pPr>
        <w:pStyle w:val="Heading2"/>
      </w:pPr>
      <w:r>
        <w:t>1.3 Product rule</w:t>
      </w:r>
    </w:p>
    <w:p>
      <w:r>
        <w:rPr>
          <w:i w:val="0"/>
        </w:rPr>
        <w:t>A finding is only as strong as its provenance. Entity co-occurrence is not a relationship by itself. A model-generated confidence number is not proof. A graph-central node is not a criminality score. The system must distinguish source support from human acceptance.</w:t>
      </w:r>
    </w:p>
    <w:p>
      <w:pPr>
        <w:pStyle w:val="Heading2"/>
      </w:pPr>
      <w:r>
        <w:t>1.4 Target user and use boundary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tcMar>
              <w:top w:w="90" w:type="dxa"/>
              <w:start w:w="110" w:type="dxa"/>
              <w:bottom w:w="90" w:type="dxa"/>
              <w:end w:w="110" w:type="dxa"/>
            </w:tcMar>
            <w:shd w:fill="1D3B55"/>
          </w:tcPr>
          <w:p>
            <w:pPr>
              <w:spacing w:after="0" w:line="240" w:lineRule="auto"/>
            </w:pPr>
            <w:r/>
            <w:r>
              <w:rPr>
                <w:rFonts w:ascii="Arial" w:hAnsi="Arial"/>
                <w:b/>
                <w:color w:val="FFFFFF"/>
                <w:sz w:val="16"/>
              </w:rPr>
              <w:t>Item</w:t>
            </w:r>
          </w:p>
        </w:tc>
        <w:tc>
          <w:tcPr>
            <w:tcW w:type="dxa" w:w="7488"/>
            <w:vAlign w:val="center"/>
            <w:tcMar>
              <w:top w:w="90" w:type="dxa"/>
              <w:start w:w="110" w:type="dxa"/>
              <w:bottom w:w="90" w:type="dxa"/>
              <w:end w:w="110" w:type="dxa"/>
            </w:tcMar>
            <w:shd w:fill="1D3B55"/>
          </w:tcPr>
          <w:p>
            <w:pPr>
              <w:spacing w:after="0" w:line="240" w:lineRule="auto"/>
            </w:pPr>
            <w:r/>
            <w:r>
              <w:rPr>
                <w:rFonts w:ascii="Arial" w:hAnsi="Arial"/>
                <w:b/>
                <w:color w:val="FFFFFF"/>
                <w:sz w:val="16"/>
              </w:rPr>
              <w:t>MVP definition</w:t>
            </w:r>
          </w:p>
        </w:tc>
      </w:tr>
      <w:tr>
        <w:tc>
          <w:tcPr>
            <w:tcW w:type="dxa" w:w="2304"/>
            <w:vAlign w:val="center"/>
            <w:tcMar>
              <w:top w:w="90" w:type="dxa"/>
              <w:start w:w="110" w:type="dxa"/>
              <w:bottom w:w="90" w:type="dxa"/>
              <w:end w:w="110" w:type="dxa"/>
            </w:tcMar>
          </w:tcPr>
          <w:p>
            <w:pPr>
              <w:spacing w:after="0" w:line="240" w:lineRule="auto"/>
            </w:pPr>
            <w:r/>
            <w:r>
              <w:rPr>
                <w:rFonts w:ascii="Arial" w:hAnsi="Arial"/>
                <w:b w:val="0"/>
                <w:color w:val="18242F"/>
                <w:sz w:val="16"/>
              </w:rPr>
              <w:t>Primary user</w:t>
            </w:r>
          </w:p>
        </w:tc>
        <w:tc>
          <w:tcPr>
            <w:tcW w:type="dxa" w:w="7488"/>
            <w:vAlign w:val="center"/>
            <w:tcMar>
              <w:top w:w="90" w:type="dxa"/>
              <w:start w:w="110" w:type="dxa"/>
              <w:bottom w:w="90" w:type="dxa"/>
              <w:end w:w="110" w:type="dxa"/>
            </w:tcMar>
          </w:tcPr>
          <w:p>
            <w:pPr>
              <w:spacing w:after="0" w:line="240" w:lineRule="auto"/>
            </w:pPr>
            <w:r/>
            <w:r>
              <w:rPr>
                <w:rFonts w:ascii="Arial" w:hAnsi="Arial"/>
                <w:b w:val="0"/>
                <w:color w:val="18242F"/>
                <w:sz w:val="16"/>
              </w:rPr>
              <w:t>Authorized investigator or analyst reviewing evidence intentionally supplied to a synthetic case workspace.</w:t>
            </w:r>
          </w:p>
        </w:tc>
      </w:tr>
      <w:tr>
        <w:tc>
          <w:tcPr>
            <w:tcW w:type="dxa" w:w="2304"/>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Primary workflow</w:t>
            </w:r>
          </w:p>
        </w:tc>
        <w:tc>
          <w:tcPr>
            <w:tcW w:type="dxa" w:w="7488"/>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Upload → parse → extract → resolve → verify → analyse → review → report.</w:t>
            </w:r>
          </w:p>
        </w:tc>
      </w:tr>
      <w:tr>
        <w:tc>
          <w:tcPr>
            <w:tcW w:type="dxa" w:w="2304"/>
            <w:vAlign w:val="center"/>
            <w:tcMar>
              <w:top w:w="90" w:type="dxa"/>
              <w:start w:w="110" w:type="dxa"/>
              <w:bottom w:w="90" w:type="dxa"/>
              <w:end w:w="110" w:type="dxa"/>
            </w:tcMar>
          </w:tcPr>
          <w:p>
            <w:pPr>
              <w:spacing w:after="0" w:line="240" w:lineRule="auto"/>
            </w:pPr>
            <w:r/>
            <w:r>
              <w:rPr>
                <w:rFonts w:ascii="Arial" w:hAnsi="Arial"/>
                <w:b w:val="0"/>
                <w:color w:val="18242F"/>
                <w:sz w:val="16"/>
              </w:rPr>
              <w:t>Output</w:t>
            </w:r>
          </w:p>
        </w:tc>
        <w:tc>
          <w:tcPr>
            <w:tcW w:type="dxa" w:w="7488"/>
            <w:vAlign w:val="center"/>
            <w:tcMar>
              <w:top w:w="90" w:type="dxa"/>
              <w:start w:w="110" w:type="dxa"/>
              <w:bottom w:w="90" w:type="dxa"/>
              <w:end w:w="110" w:type="dxa"/>
            </w:tcMar>
          </w:tcPr>
          <w:p>
            <w:pPr>
              <w:spacing w:after="0" w:line="240" w:lineRule="auto"/>
            </w:pPr>
            <w:r/>
            <w:r>
              <w:rPr>
                <w:rFonts w:ascii="Arial" w:hAnsi="Arial"/>
                <w:b w:val="0"/>
                <w:color w:val="18242F"/>
                <w:sz w:val="16"/>
              </w:rPr>
              <w:t>Candidate entities, evidence-linked relationships, contradictions, anomaly leads, graph metrics and source-linked draft report.</w:t>
            </w:r>
          </w:p>
        </w:tc>
      </w:tr>
      <w:tr>
        <w:tc>
          <w:tcPr>
            <w:tcW w:type="dxa" w:w="2304"/>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Not an output</w:t>
            </w:r>
          </w:p>
        </w:tc>
        <w:tc>
          <w:tcPr>
            <w:tcW w:type="dxa" w:w="7488"/>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A determination of guilt, autonomous suspect ranking, legal conclusion, or proof of criminal intent.</w:t>
            </w:r>
          </w:p>
        </w:tc>
      </w:tr>
      <w:tr>
        <w:tc>
          <w:tcPr>
            <w:tcW w:type="dxa" w:w="2304"/>
            <w:vAlign w:val="center"/>
            <w:tcMar>
              <w:top w:w="90" w:type="dxa"/>
              <w:start w:w="110" w:type="dxa"/>
              <w:bottom w:w="90" w:type="dxa"/>
              <w:end w:w="110" w:type="dxa"/>
            </w:tcMar>
          </w:tcPr>
          <w:p>
            <w:pPr>
              <w:spacing w:after="0" w:line="240" w:lineRule="auto"/>
            </w:pPr>
            <w:r/>
            <w:r>
              <w:rPr>
                <w:rFonts w:ascii="Arial" w:hAnsi="Arial"/>
                <w:b w:val="0"/>
                <w:color w:val="18242F"/>
                <w:sz w:val="16"/>
              </w:rPr>
              <w:t>Data boundary</w:t>
            </w:r>
          </w:p>
        </w:tc>
        <w:tc>
          <w:tcPr>
            <w:tcW w:type="dxa" w:w="7488"/>
            <w:vAlign w:val="center"/>
            <w:tcMar>
              <w:top w:w="90" w:type="dxa"/>
              <w:start w:w="110" w:type="dxa"/>
              <w:bottom w:w="90" w:type="dxa"/>
              <w:end w:w="110" w:type="dxa"/>
            </w:tcMar>
          </w:tcPr>
          <w:p>
            <w:pPr>
              <w:spacing w:after="0" w:line="240" w:lineRule="auto"/>
            </w:pPr>
            <w:r/>
            <w:r>
              <w:rPr>
                <w:rFonts w:ascii="Arial" w:hAnsi="Arial"/>
                <w:b w:val="0"/>
                <w:color w:val="18242F"/>
                <w:sz w:val="16"/>
              </w:rPr>
              <w:t>Synthetic records only. Real case ingestion and integrations require separate security, governance and authorization approval.</w:t>
            </w:r>
          </w:p>
        </w:tc>
      </w:tr>
    </w:tbl>
    <w:p>
      <w:pPr>
        <w:spacing w:after="20"/>
      </w:pPr>
    </w:p>
    <w:p>
      <w:pPr>
        <w:pStyle w:val="Heading1"/>
      </w:pPr>
      <w:r>
        <w:t>2. Requirements, goals and non-goals</w:t>
      </w:r>
    </w:p>
    <w:p>
      <w:pPr>
        <w:pStyle w:val="Heading2"/>
      </w:pPr>
      <w:r>
        <w:t>2.1 Functional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37"/>
            <w:vAlign w:val="center"/>
            <w:tcMar>
              <w:top w:w="90" w:type="dxa"/>
              <w:start w:w="110" w:type="dxa"/>
              <w:bottom w:w="90" w:type="dxa"/>
              <w:end w:w="110" w:type="dxa"/>
            </w:tcMar>
            <w:shd w:fill="1D3B55"/>
          </w:tcPr>
          <w:p>
            <w:pPr>
              <w:spacing w:after="0" w:line="240" w:lineRule="auto"/>
            </w:pPr>
            <w:r/>
            <w:r>
              <w:rPr>
                <w:rFonts w:ascii="Arial" w:hAnsi="Arial"/>
                <w:b/>
                <w:color w:val="FFFFFF"/>
                <w:sz w:val="16"/>
              </w:rPr>
              <w:t>ID</w:t>
            </w:r>
          </w:p>
        </w:tc>
        <w:tc>
          <w:tcPr>
            <w:tcW w:type="dxa" w:w="7344"/>
            <w:vAlign w:val="center"/>
            <w:tcMar>
              <w:top w:w="90" w:type="dxa"/>
              <w:start w:w="110" w:type="dxa"/>
              <w:bottom w:w="90" w:type="dxa"/>
              <w:end w:w="110" w:type="dxa"/>
            </w:tcMar>
            <w:shd w:fill="1D3B55"/>
          </w:tcPr>
          <w:p>
            <w:pPr>
              <w:spacing w:after="0" w:line="240" w:lineRule="auto"/>
            </w:pPr>
            <w:r/>
            <w:r>
              <w:rPr>
                <w:rFonts w:ascii="Arial" w:hAnsi="Arial"/>
                <w:b/>
                <w:color w:val="FFFFFF"/>
                <w:sz w:val="16"/>
              </w:rPr>
              <w:t>Requirement</w:t>
            </w:r>
          </w:p>
        </w:tc>
        <w:tc>
          <w:tcPr>
            <w:tcW w:type="dxa" w:w="1368"/>
            <w:vAlign w:val="center"/>
            <w:tcMar>
              <w:top w:w="90" w:type="dxa"/>
              <w:start w:w="110" w:type="dxa"/>
              <w:bottom w:w="90" w:type="dxa"/>
              <w:end w:w="110" w:type="dxa"/>
            </w:tcMar>
            <w:shd w:fill="1D3B55"/>
          </w:tcPr>
          <w:p>
            <w:pPr>
              <w:spacing w:after="0" w:line="240" w:lineRule="auto"/>
            </w:pPr>
            <w:r/>
            <w:r>
              <w:rPr>
                <w:rFonts w:ascii="Arial" w:hAnsi="Arial"/>
                <w:b/>
                <w:color w:val="FFFFFF"/>
                <w:sz w:val="16"/>
              </w:rPr>
              <w:t>Priority</w:t>
            </w:r>
          </w:p>
        </w:tc>
      </w:tr>
      <w:tr>
        <w:tc>
          <w:tcPr>
            <w:tcW w:type="dxa" w:w="1037"/>
            <w:vAlign w:val="center"/>
            <w:tcMar>
              <w:top w:w="90" w:type="dxa"/>
              <w:start w:w="110" w:type="dxa"/>
              <w:bottom w:w="90" w:type="dxa"/>
              <w:end w:w="110" w:type="dxa"/>
            </w:tcMar>
          </w:tcPr>
          <w:p>
            <w:pPr>
              <w:spacing w:after="0" w:line="240" w:lineRule="auto"/>
            </w:pPr>
            <w:r/>
            <w:r>
              <w:rPr>
                <w:rFonts w:ascii="Arial" w:hAnsi="Arial"/>
                <w:b w:val="0"/>
                <w:color w:val="18242F"/>
                <w:sz w:val="15"/>
              </w:rPr>
              <w:t>FR-01</w:t>
            </w:r>
          </w:p>
        </w:tc>
        <w:tc>
          <w:tcPr>
            <w:tcW w:type="dxa" w:w="7344"/>
            <w:vAlign w:val="center"/>
            <w:tcMar>
              <w:top w:w="90" w:type="dxa"/>
              <w:start w:w="110" w:type="dxa"/>
              <w:bottom w:w="90" w:type="dxa"/>
              <w:end w:w="110" w:type="dxa"/>
            </w:tcMar>
          </w:tcPr>
          <w:p>
            <w:pPr>
              <w:spacing w:after="0" w:line="240" w:lineRule="auto"/>
            </w:pPr>
            <w:r/>
            <w:r>
              <w:rPr>
                <w:rFonts w:ascii="Arial" w:hAnsi="Arial"/>
                <w:b w:val="0"/>
                <w:color w:val="18242F"/>
                <w:sz w:val="15"/>
              </w:rPr>
              <w:t>Create a case, list authorized cases, and enforce case-level authorization on every read/write.</w:t>
            </w:r>
          </w:p>
        </w:tc>
        <w:tc>
          <w:tcPr>
            <w:tcW w:type="dxa" w:w="1368"/>
            <w:vAlign w:val="center"/>
            <w:tcMar>
              <w:top w:w="90" w:type="dxa"/>
              <w:start w:w="110" w:type="dxa"/>
              <w:bottom w:w="90" w:type="dxa"/>
              <w:end w:w="110" w:type="dxa"/>
            </w:tcMar>
          </w:tcPr>
          <w:p>
            <w:pPr>
              <w:spacing w:after="0" w:line="240" w:lineRule="auto"/>
            </w:pPr>
            <w:r/>
            <w:r>
              <w:rPr>
                <w:rFonts w:ascii="Arial" w:hAnsi="Arial"/>
                <w:b w:val="0"/>
                <w:color w:val="18242F"/>
                <w:sz w:val="15"/>
              </w:rPr>
              <w:t>MVP</w:t>
            </w:r>
          </w:p>
        </w:tc>
      </w:tr>
      <w:tr>
        <w:tc>
          <w:tcPr>
            <w:tcW w:type="dxa" w:w="1037"/>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FR-02</w:t>
            </w:r>
          </w:p>
        </w:tc>
        <w:tc>
          <w:tcPr>
            <w:tcW w:type="dxa" w:w="734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Upload supported files, hash originals, parse text and retain document/page/source references.</w:t>
            </w:r>
          </w:p>
        </w:tc>
        <w:tc>
          <w:tcPr>
            <w:tcW w:type="dxa" w:w="136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MVP</w:t>
            </w:r>
          </w:p>
        </w:tc>
      </w:tr>
      <w:tr>
        <w:tc>
          <w:tcPr>
            <w:tcW w:type="dxa" w:w="1037"/>
            <w:vAlign w:val="center"/>
            <w:tcMar>
              <w:top w:w="90" w:type="dxa"/>
              <w:start w:w="110" w:type="dxa"/>
              <w:bottom w:w="90" w:type="dxa"/>
              <w:end w:w="110" w:type="dxa"/>
            </w:tcMar>
          </w:tcPr>
          <w:p>
            <w:pPr>
              <w:spacing w:after="0" w:line="240" w:lineRule="auto"/>
            </w:pPr>
            <w:r/>
            <w:r>
              <w:rPr>
                <w:rFonts w:ascii="Arial" w:hAnsi="Arial"/>
                <w:b w:val="0"/>
                <w:color w:val="18242F"/>
                <w:sz w:val="15"/>
              </w:rPr>
              <w:t>FR-03</w:t>
            </w:r>
          </w:p>
        </w:tc>
        <w:tc>
          <w:tcPr>
            <w:tcW w:type="dxa" w:w="7344"/>
            <w:vAlign w:val="center"/>
            <w:tcMar>
              <w:top w:w="90" w:type="dxa"/>
              <w:start w:w="110" w:type="dxa"/>
              <w:bottom w:w="90" w:type="dxa"/>
              <w:end w:w="110" w:type="dxa"/>
            </w:tcMar>
          </w:tcPr>
          <w:p>
            <w:pPr>
              <w:spacing w:after="0" w:line="240" w:lineRule="auto"/>
            </w:pPr>
            <w:r/>
            <w:r>
              <w:rPr>
                <w:rFonts w:ascii="Arial" w:hAnsi="Arial"/>
                <w:b w:val="0"/>
                <w:color w:val="18242F"/>
                <w:sz w:val="15"/>
              </w:rPr>
              <w:t>Extract entities, event times, attributes and candidate relationships into validated schemas.</w:t>
            </w:r>
          </w:p>
        </w:tc>
        <w:tc>
          <w:tcPr>
            <w:tcW w:type="dxa" w:w="1368"/>
            <w:vAlign w:val="center"/>
            <w:tcMar>
              <w:top w:w="90" w:type="dxa"/>
              <w:start w:w="110" w:type="dxa"/>
              <w:bottom w:w="90" w:type="dxa"/>
              <w:end w:w="110" w:type="dxa"/>
            </w:tcMar>
          </w:tcPr>
          <w:p>
            <w:pPr>
              <w:spacing w:after="0" w:line="240" w:lineRule="auto"/>
            </w:pPr>
            <w:r/>
            <w:r>
              <w:rPr>
                <w:rFonts w:ascii="Arial" w:hAnsi="Arial"/>
                <w:b w:val="0"/>
                <w:color w:val="18242F"/>
                <w:sz w:val="15"/>
              </w:rPr>
              <w:t>MVP</w:t>
            </w:r>
          </w:p>
        </w:tc>
      </w:tr>
      <w:tr>
        <w:tc>
          <w:tcPr>
            <w:tcW w:type="dxa" w:w="1037"/>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FR-04</w:t>
            </w:r>
          </w:p>
        </w:tc>
        <w:tc>
          <w:tcPr>
            <w:tcW w:type="dxa" w:w="734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Store every candidate relationship with evidence IDs and exact source spans.</w:t>
            </w:r>
          </w:p>
        </w:tc>
        <w:tc>
          <w:tcPr>
            <w:tcW w:type="dxa" w:w="136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MVP</w:t>
            </w:r>
          </w:p>
        </w:tc>
      </w:tr>
      <w:tr>
        <w:tc>
          <w:tcPr>
            <w:tcW w:type="dxa" w:w="1037"/>
            <w:vAlign w:val="center"/>
            <w:tcMar>
              <w:top w:w="90" w:type="dxa"/>
              <w:start w:w="110" w:type="dxa"/>
              <w:bottom w:w="90" w:type="dxa"/>
              <w:end w:w="110" w:type="dxa"/>
            </w:tcMar>
          </w:tcPr>
          <w:p>
            <w:pPr>
              <w:spacing w:after="0" w:line="240" w:lineRule="auto"/>
            </w:pPr>
            <w:r/>
            <w:r>
              <w:rPr>
                <w:rFonts w:ascii="Arial" w:hAnsi="Arial"/>
                <w:b w:val="0"/>
                <w:color w:val="18242F"/>
                <w:sz w:val="15"/>
              </w:rPr>
              <w:t>FR-05</w:t>
            </w:r>
          </w:p>
        </w:tc>
        <w:tc>
          <w:tcPr>
            <w:tcW w:type="dxa" w:w="7344"/>
            <w:vAlign w:val="center"/>
            <w:tcMar>
              <w:top w:w="90" w:type="dxa"/>
              <w:start w:w="110" w:type="dxa"/>
              <w:bottom w:w="90" w:type="dxa"/>
              <w:end w:w="110" w:type="dxa"/>
            </w:tcMar>
          </w:tcPr>
          <w:p>
            <w:pPr>
              <w:spacing w:after="0" w:line="240" w:lineRule="auto"/>
            </w:pPr>
            <w:r/>
            <w:r>
              <w:rPr>
                <w:rFonts w:ascii="Arial" w:hAnsi="Arial"/>
                <w:b w:val="0"/>
                <w:color w:val="18242F"/>
                <w:sz w:val="15"/>
              </w:rPr>
              <w:t>Verify source-span integrity mechanically and assess whether the passage supports the predicate.</w:t>
            </w:r>
          </w:p>
        </w:tc>
        <w:tc>
          <w:tcPr>
            <w:tcW w:type="dxa" w:w="1368"/>
            <w:vAlign w:val="center"/>
            <w:tcMar>
              <w:top w:w="90" w:type="dxa"/>
              <w:start w:w="110" w:type="dxa"/>
              <w:bottom w:w="90" w:type="dxa"/>
              <w:end w:w="110" w:type="dxa"/>
            </w:tcMar>
          </w:tcPr>
          <w:p>
            <w:pPr>
              <w:spacing w:after="0" w:line="240" w:lineRule="auto"/>
            </w:pPr>
            <w:r/>
            <w:r>
              <w:rPr>
                <w:rFonts w:ascii="Arial" w:hAnsi="Arial"/>
                <w:b w:val="0"/>
                <w:color w:val="18242F"/>
                <w:sz w:val="15"/>
              </w:rPr>
              <w:t>MVP</w:t>
            </w:r>
          </w:p>
        </w:tc>
      </w:tr>
      <w:tr>
        <w:tc>
          <w:tcPr>
            <w:tcW w:type="dxa" w:w="1037"/>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FR-06</w:t>
            </w:r>
          </w:p>
        </w:tc>
        <w:tc>
          <w:tcPr>
            <w:tcW w:type="dxa" w:w="734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Detect explicit contradictions and run a small set of deterministic anomaly rules.</w:t>
            </w:r>
          </w:p>
        </w:tc>
        <w:tc>
          <w:tcPr>
            <w:tcW w:type="dxa" w:w="136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MVP</w:t>
            </w:r>
          </w:p>
        </w:tc>
      </w:tr>
      <w:tr>
        <w:tc>
          <w:tcPr>
            <w:tcW w:type="dxa" w:w="1037"/>
            <w:vAlign w:val="center"/>
            <w:tcMar>
              <w:top w:w="90" w:type="dxa"/>
              <w:start w:w="110" w:type="dxa"/>
              <w:bottom w:w="90" w:type="dxa"/>
              <w:end w:w="110" w:type="dxa"/>
            </w:tcMar>
          </w:tcPr>
          <w:p>
            <w:pPr>
              <w:spacing w:after="0" w:line="240" w:lineRule="auto"/>
            </w:pPr>
            <w:r/>
            <w:r>
              <w:rPr>
                <w:rFonts w:ascii="Arial" w:hAnsi="Arial"/>
                <w:b w:val="0"/>
                <w:color w:val="18242F"/>
                <w:sz w:val="15"/>
              </w:rPr>
              <w:t>FR-07</w:t>
            </w:r>
          </w:p>
        </w:tc>
        <w:tc>
          <w:tcPr>
            <w:tcW w:type="dxa" w:w="7344"/>
            <w:vAlign w:val="center"/>
            <w:tcMar>
              <w:top w:w="90" w:type="dxa"/>
              <w:start w:w="110" w:type="dxa"/>
              <w:bottom w:w="90" w:type="dxa"/>
              <w:end w:w="110" w:type="dxa"/>
            </w:tcMar>
          </w:tcPr>
          <w:p>
            <w:pPr>
              <w:spacing w:after="0" w:line="240" w:lineRule="auto"/>
            </w:pPr>
            <w:r/>
            <w:r>
              <w:rPr>
                <w:rFonts w:ascii="Arial" w:hAnsi="Arial"/>
                <w:b w:val="0"/>
                <w:color w:val="18242F"/>
                <w:sz w:val="15"/>
              </w:rPr>
              <w:t>Return case-filtered graph data and transparent network metrics.</w:t>
            </w:r>
          </w:p>
        </w:tc>
        <w:tc>
          <w:tcPr>
            <w:tcW w:type="dxa" w:w="1368"/>
            <w:vAlign w:val="center"/>
            <w:tcMar>
              <w:top w:w="90" w:type="dxa"/>
              <w:start w:w="110" w:type="dxa"/>
              <w:bottom w:w="90" w:type="dxa"/>
              <w:end w:w="110" w:type="dxa"/>
            </w:tcMar>
          </w:tcPr>
          <w:p>
            <w:pPr>
              <w:spacing w:after="0" w:line="240" w:lineRule="auto"/>
            </w:pPr>
            <w:r/>
            <w:r>
              <w:rPr>
                <w:rFonts w:ascii="Arial" w:hAnsi="Arial"/>
                <w:b w:val="0"/>
                <w:color w:val="18242F"/>
                <w:sz w:val="15"/>
              </w:rPr>
              <w:t>MVP</w:t>
            </w:r>
          </w:p>
        </w:tc>
      </w:tr>
      <w:tr>
        <w:tc>
          <w:tcPr>
            <w:tcW w:type="dxa" w:w="1037"/>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FR-08</w:t>
            </w:r>
          </w:p>
        </w:tc>
        <w:tc>
          <w:tcPr>
            <w:tcW w:type="dxa" w:w="734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Execute analysis as a persisted bounded task DAG with retry/cancel and status events.</w:t>
            </w:r>
          </w:p>
        </w:tc>
        <w:tc>
          <w:tcPr>
            <w:tcW w:type="dxa" w:w="136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MVP</w:t>
            </w:r>
          </w:p>
        </w:tc>
      </w:tr>
      <w:tr>
        <w:tc>
          <w:tcPr>
            <w:tcW w:type="dxa" w:w="1037"/>
            <w:vAlign w:val="center"/>
            <w:tcMar>
              <w:top w:w="90" w:type="dxa"/>
              <w:start w:w="110" w:type="dxa"/>
              <w:bottom w:w="90" w:type="dxa"/>
              <w:end w:w="110" w:type="dxa"/>
            </w:tcMar>
          </w:tcPr>
          <w:p>
            <w:pPr>
              <w:spacing w:after="0" w:line="240" w:lineRule="auto"/>
            </w:pPr>
            <w:r/>
            <w:r>
              <w:rPr>
                <w:rFonts w:ascii="Arial" w:hAnsi="Arial"/>
                <w:b w:val="0"/>
                <w:color w:val="18242F"/>
                <w:sz w:val="15"/>
              </w:rPr>
              <w:t>FR-09</w:t>
            </w:r>
          </w:p>
        </w:tc>
        <w:tc>
          <w:tcPr>
            <w:tcW w:type="dxa" w:w="7344"/>
            <w:vAlign w:val="center"/>
            <w:tcMar>
              <w:top w:w="90" w:type="dxa"/>
              <w:start w:w="110" w:type="dxa"/>
              <w:bottom w:w="90" w:type="dxa"/>
              <w:end w:w="110" w:type="dxa"/>
            </w:tcMar>
          </w:tcPr>
          <w:p>
            <w:pPr>
              <w:spacing w:after="0" w:line="240" w:lineRule="auto"/>
            </w:pPr>
            <w:r/>
            <w:r>
              <w:rPr>
                <w:rFonts w:ascii="Arial" w:hAnsi="Arial"/>
                <w:b w:val="0"/>
                <w:color w:val="18242F"/>
                <w:sz w:val="15"/>
              </w:rPr>
              <w:t>Stream real run events to dashboard; do not fabricate progress events.</w:t>
            </w:r>
          </w:p>
        </w:tc>
        <w:tc>
          <w:tcPr>
            <w:tcW w:type="dxa" w:w="1368"/>
            <w:vAlign w:val="center"/>
            <w:tcMar>
              <w:top w:w="90" w:type="dxa"/>
              <w:start w:w="110" w:type="dxa"/>
              <w:bottom w:w="90" w:type="dxa"/>
              <w:end w:w="110" w:type="dxa"/>
            </w:tcMar>
          </w:tcPr>
          <w:p>
            <w:pPr>
              <w:spacing w:after="0" w:line="240" w:lineRule="auto"/>
            </w:pPr>
            <w:r/>
            <w:r>
              <w:rPr>
                <w:rFonts w:ascii="Arial" w:hAnsi="Arial"/>
                <w:b w:val="0"/>
                <w:color w:val="18242F"/>
                <w:sz w:val="15"/>
              </w:rPr>
              <w:t>MVP</w:t>
            </w:r>
          </w:p>
        </w:tc>
      </w:tr>
      <w:tr>
        <w:tc>
          <w:tcPr>
            <w:tcW w:type="dxa" w:w="1037"/>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FR-10</w:t>
            </w:r>
          </w:p>
        </w:tc>
        <w:tc>
          <w:tcPr>
            <w:tcW w:type="dxa" w:w="734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Provide Gemini Live voice input/output with allowlisted investigation commands.</w:t>
            </w:r>
          </w:p>
        </w:tc>
        <w:tc>
          <w:tcPr>
            <w:tcW w:type="dxa" w:w="136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MVP</w:t>
            </w:r>
          </w:p>
        </w:tc>
      </w:tr>
      <w:tr>
        <w:tc>
          <w:tcPr>
            <w:tcW w:type="dxa" w:w="1037"/>
            <w:vAlign w:val="center"/>
            <w:tcMar>
              <w:top w:w="90" w:type="dxa"/>
              <w:start w:w="110" w:type="dxa"/>
              <w:bottom w:w="90" w:type="dxa"/>
              <w:end w:w="110" w:type="dxa"/>
            </w:tcMar>
          </w:tcPr>
          <w:p>
            <w:pPr>
              <w:spacing w:after="0" w:line="240" w:lineRule="auto"/>
            </w:pPr>
            <w:r/>
            <w:r>
              <w:rPr>
                <w:rFonts w:ascii="Arial" w:hAnsi="Arial"/>
                <w:b w:val="0"/>
                <w:color w:val="18242F"/>
                <w:sz w:val="15"/>
              </w:rPr>
              <w:t>FR-11</w:t>
            </w:r>
          </w:p>
        </w:tc>
        <w:tc>
          <w:tcPr>
            <w:tcW w:type="dxa" w:w="7344"/>
            <w:vAlign w:val="center"/>
            <w:tcMar>
              <w:top w:w="90" w:type="dxa"/>
              <w:start w:w="110" w:type="dxa"/>
              <w:bottom w:w="90" w:type="dxa"/>
              <w:end w:w="110" w:type="dxa"/>
            </w:tcMar>
          </w:tcPr>
          <w:p>
            <w:pPr>
              <w:spacing w:after="0" w:line="240" w:lineRule="auto"/>
            </w:pPr>
            <w:r/>
            <w:r>
              <w:rPr>
                <w:rFonts w:ascii="Arial" w:hAnsi="Arial"/>
                <w:b w:val="0"/>
                <w:color w:val="18242F"/>
                <w:sz w:val="15"/>
              </w:rPr>
              <w:t>Generate a draft report containing findings, citations, unknowns, failures and limitations.</w:t>
            </w:r>
          </w:p>
        </w:tc>
        <w:tc>
          <w:tcPr>
            <w:tcW w:type="dxa" w:w="1368"/>
            <w:vAlign w:val="center"/>
            <w:tcMar>
              <w:top w:w="90" w:type="dxa"/>
              <w:start w:w="110" w:type="dxa"/>
              <w:bottom w:w="90" w:type="dxa"/>
              <w:end w:w="110" w:type="dxa"/>
            </w:tcMar>
          </w:tcPr>
          <w:p>
            <w:pPr>
              <w:spacing w:after="0" w:line="240" w:lineRule="auto"/>
            </w:pPr>
            <w:r/>
            <w:r>
              <w:rPr>
                <w:rFonts w:ascii="Arial" w:hAnsi="Arial"/>
                <w:b w:val="0"/>
                <w:color w:val="18242F"/>
                <w:sz w:val="15"/>
              </w:rPr>
              <w:t>MVP</w:t>
            </w:r>
          </w:p>
        </w:tc>
      </w:tr>
      <w:tr>
        <w:tc>
          <w:tcPr>
            <w:tcW w:type="dxa" w:w="1037"/>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FR-12</w:t>
            </w:r>
          </w:p>
        </w:tc>
        <w:tc>
          <w:tcPr>
            <w:tcW w:type="dxa" w:w="734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Persist audit events for task starts, approvals, review decisions and report actions.</w:t>
            </w:r>
          </w:p>
        </w:tc>
        <w:tc>
          <w:tcPr>
            <w:tcW w:type="dxa" w:w="136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MVP</w:t>
            </w:r>
          </w:p>
        </w:tc>
      </w:tr>
    </w:tbl>
    <w:p>
      <w:pPr>
        <w:spacing w:after="20"/>
      </w:pPr>
    </w:p>
    <w:p>
      <w:pPr>
        <w:pStyle w:val="Heading2"/>
      </w:pPr>
      <w:r>
        <w:t>2.2 Non-functional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vAlign w:val="center"/>
            <w:tcMar>
              <w:top w:w="90" w:type="dxa"/>
              <w:start w:w="110" w:type="dxa"/>
              <w:bottom w:w="90" w:type="dxa"/>
              <w:end w:w="110" w:type="dxa"/>
            </w:tcMar>
            <w:shd w:fill="1D3B55"/>
          </w:tcPr>
          <w:p>
            <w:pPr>
              <w:spacing w:after="0" w:line="240" w:lineRule="auto"/>
            </w:pPr>
            <w:r/>
            <w:r>
              <w:rPr>
                <w:rFonts w:ascii="Arial" w:hAnsi="Arial"/>
                <w:b/>
                <w:color w:val="FFFFFF"/>
                <w:sz w:val="16"/>
              </w:rPr>
              <w:t>Category</w:t>
            </w:r>
          </w:p>
        </w:tc>
        <w:tc>
          <w:tcPr>
            <w:tcW w:type="dxa" w:w="7920"/>
            <w:vAlign w:val="center"/>
            <w:tcMar>
              <w:top w:w="90" w:type="dxa"/>
              <w:start w:w="110" w:type="dxa"/>
              <w:bottom w:w="90" w:type="dxa"/>
              <w:end w:w="110" w:type="dxa"/>
            </w:tcMar>
            <w:shd w:fill="1D3B55"/>
          </w:tcPr>
          <w:p>
            <w:pPr>
              <w:spacing w:after="0" w:line="240" w:lineRule="auto"/>
            </w:pPr>
            <w:r/>
            <w:r>
              <w:rPr>
                <w:rFonts w:ascii="Arial" w:hAnsi="Arial"/>
                <w:b/>
                <w:color w:val="FFFFFF"/>
                <w:sz w:val="16"/>
              </w:rPr>
              <w:t>Requirement</w:t>
            </w:r>
          </w:p>
        </w:tc>
      </w:tr>
      <w:tr>
        <w:tc>
          <w:tcPr>
            <w:tcW w:type="dxa" w:w="1872"/>
            <w:vAlign w:val="center"/>
            <w:tcMar>
              <w:top w:w="90" w:type="dxa"/>
              <w:start w:w="110" w:type="dxa"/>
              <w:bottom w:w="90" w:type="dxa"/>
              <w:end w:w="110" w:type="dxa"/>
            </w:tcMar>
          </w:tcPr>
          <w:p>
            <w:pPr>
              <w:spacing w:after="0" w:line="240" w:lineRule="auto"/>
            </w:pPr>
            <w:r/>
            <w:r>
              <w:rPr>
                <w:rFonts w:ascii="Arial" w:hAnsi="Arial"/>
                <w:b w:val="0"/>
                <w:color w:val="18242F"/>
                <w:sz w:val="16"/>
              </w:rPr>
              <w:t>Security</w:t>
            </w:r>
          </w:p>
        </w:tc>
        <w:tc>
          <w:tcPr>
            <w:tcW w:type="dxa" w:w="7920"/>
            <w:vAlign w:val="center"/>
            <w:tcMar>
              <w:top w:w="90" w:type="dxa"/>
              <w:start w:w="110" w:type="dxa"/>
              <w:bottom w:w="90" w:type="dxa"/>
              <w:end w:w="110" w:type="dxa"/>
            </w:tcMar>
          </w:tcPr>
          <w:p>
            <w:pPr>
              <w:spacing w:after="0" w:line="240" w:lineRule="auto"/>
            </w:pPr>
            <w:r/>
            <w:r>
              <w:rPr>
                <w:rFonts w:ascii="Arial" w:hAnsi="Arial"/>
                <w:b w:val="0"/>
                <w:color w:val="18242F"/>
                <w:sz w:val="16"/>
              </w:rPr>
              <w:t>Authenticate users; enforce case-level permissions server-side; secrets only in backend environment/secrets store.</w:t>
            </w:r>
          </w:p>
        </w:tc>
      </w:tr>
      <w:tr>
        <w:tc>
          <w:tcPr>
            <w:tcW w:type="dxa" w:w="1872"/>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Evidence integrity</w:t>
            </w:r>
          </w:p>
        </w:tc>
        <w:tc>
          <w:tcPr>
            <w:tcW w:type="dxa" w:w="7920"/>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Store source hash, exact quote and offsets; invalid/missing citations must fail closed.</w:t>
            </w:r>
          </w:p>
        </w:tc>
      </w:tr>
      <w:tr>
        <w:tc>
          <w:tcPr>
            <w:tcW w:type="dxa" w:w="1872"/>
            <w:vAlign w:val="center"/>
            <w:tcMar>
              <w:top w:w="90" w:type="dxa"/>
              <w:start w:w="110" w:type="dxa"/>
              <w:bottom w:w="90" w:type="dxa"/>
              <w:end w:w="110" w:type="dxa"/>
            </w:tcMar>
          </w:tcPr>
          <w:p>
            <w:pPr>
              <w:spacing w:after="0" w:line="240" w:lineRule="auto"/>
            </w:pPr>
            <w:r/>
            <w:r>
              <w:rPr>
                <w:rFonts w:ascii="Arial" w:hAnsi="Arial"/>
                <w:b w:val="0"/>
                <w:color w:val="18242F"/>
                <w:sz w:val="16"/>
              </w:rPr>
              <w:t>Reliability</w:t>
            </w:r>
          </w:p>
        </w:tc>
        <w:tc>
          <w:tcPr>
            <w:tcW w:type="dxa" w:w="7920"/>
            <w:vAlign w:val="center"/>
            <w:tcMar>
              <w:top w:w="90" w:type="dxa"/>
              <w:start w:w="110" w:type="dxa"/>
              <w:bottom w:w="90" w:type="dxa"/>
              <w:end w:w="110" w:type="dxa"/>
            </w:tcMar>
          </w:tcPr>
          <w:p>
            <w:pPr>
              <w:spacing w:after="0" w:line="240" w:lineRule="auto"/>
            </w:pPr>
            <w:r/>
            <w:r>
              <w:rPr>
                <w:rFonts w:ascii="Arial" w:hAnsi="Arial"/>
                <w:b w:val="0"/>
                <w:color w:val="18242F"/>
                <w:sz w:val="16"/>
              </w:rPr>
              <w:t>Persist run/task state; distinguish completed, partial, failed, canceled and awaiting-review outcomes.</w:t>
            </w:r>
          </w:p>
        </w:tc>
      </w:tr>
      <w:tr>
        <w:tc>
          <w:tcPr>
            <w:tcW w:type="dxa" w:w="1872"/>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Performance</w:t>
            </w:r>
          </w:p>
        </w:tc>
        <w:tc>
          <w:tcPr>
            <w:tcW w:type="dxa" w:w="7920"/>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Measure provider latency separately from parsing, retrieval, deterministic checks and event delivery.</w:t>
            </w:r>
          </w:p>
        </w:tc>
      </w:tr>
      <w:tr>
        <w:tc>
          <w:tcPr>
            <w:tcW w:type="dxa" w:w="1872"/>
            <w:vAlign w:val="center"/>
            <w:tcMar>
              <w:top w:w="90" w:type="dxa"/>
              <w:start w:w="110" w:type="dxa"/>
              <w:bottom w:w="90" w:type="dxa"/>
              <w:end w:w="110" w:type="dxa"/>
            </w:tcMar>
          </w:tcPr>
          <w:p>
            <w:pPr>
              <w:spacing w:after="0" w:line="240" w:lineRule="auto"/>
            </w:pPr>
            <w:r/>
            <w:r>
              <w:rPr>
                <w:rFonts w:ascii="Arial" w:hAnsi="Arial"/>
                <w:b w:val="0"/>
                <w:color w:val="18242F"/>
                <w:sz w:val="16"/>
              </w:rPr>
              <w:t>Observability</w:t>
            </w:r>
          </w:p>
        </w:tc>
        <w:tc>
          <w:tcPr>
            <w:tcW w:type="dxa" w:w="7920"/>
            <w:vAlign w:val="center"/>
            <w:tcMar>
              <w:top w:w="90" w:type="dxa"/>
              <w:start w:w="110" w:type="dxa"/>
              <w:bottom w:w="90" w:type="dxa"/>
              <w:end w:w="110" w:type="dxa"/>
            </w:tcMar>
          </w:tcPr>
          <w:p>
            <w:pPr>
              <w:spacing w:after="0" w:line="240" w:lineRule="auto"/>
            </w:pPr>
            <w:r/>
            <w:r>
              <w:rPr>
                <w:rFonts w:ascii="Arial" w:hAnsi="Arial"/>
                <w:b w:val="0"/>
                <w:color w:val="18242F"/>
                <w:sz w:val="16"/>
              </w:rPr>
              <w:t>Correlation IDs, structured task events, redacted logs, provider usage/latency metrics and health checks.</w:t>
            </w:r>
          </w:p>
        </w:tc>
      </w:tr>
      <w:tr>
        <w:tc>
          <w:tcPr>
            <w:tcW w:type="dxa" w:w="1872"/>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Maintainability</w:t>
            </w:r>
          </w:p>
        </w:tc>
        <w:tc>
          <w:tcPr>
            <w:tcW w:type="dxa" w:w="7920"/>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Modular application, typed schemas, interfaces around LLM provider and storage, automated tests.</w:t>
            </w:r>
          </w:p>
        </w:tc>
      </w:tr>
      <w:tr>
        <w:tc>
          <w:tcPr>
            <w:tcW w:type="dxa" w:w="1872"/>
            <w:vAlign w:val="center"/>
            <w:tcMar>
              <w:top w:w="90" w:type="dxa"/>
              <w:start w:w="110" w:type="dxa"/>
              <w:bottom w:w="90" w:type="dxa"/>
              <w:end w:w="110" w:type="dxa"/>
            </w:tcMar>
          </w:tcPr>
          <w:p>
            <w:pPr>
              <w:spacing w:after="0" w:line="240" w:lineRule="auto"/>
            </w:pPr>
            <w:r/>
            <w:r>
              <w:rPr>
                <w:rFonts w:ascii="Arial" w:hAnsi="Arial"/>
                <w:b w:val="0"/>
                <w:color w:val="18242F"/>
                <w:sz w:val="16"/>
              </w:rPr>
              <w:t>Accessibility</w:t>
            </w:r>
          </w:p>
        </w:tc>
        <w:tc>
          <w:tcPr>
            <w:tcW w:type="dxa" w:w="7920"/>
            <w:vAlign w:val="center"/>
            <w:tcMar>
              <w:top w:w="90" w:type="dxa"/>
              <w:start w:w="110" w:type="dxa"/>
              <w:bottom w:w="90" w:type="dxa"/>
              <w:end w:w="110" w:type="dxa"/>
            </w:tcMar>
          </w:tcPr>
          <w:p>
            <w:pPr>
              <w:spacing w:after="0" w:line="240" w:lineRule="auto"/>
            </w:pPr>
            <w:r/>
            <w:r>
              <w:rPr>
                <w:rFonts w:ascii="Arial" w:hAnsi="Arial"/>
                <w:b w:val="0"/>
                <w:color w:val="18242F"/>
                <w:sz w:val="16"/>
              </w:rPr>
              <w:t>Transcript visible alongside spoken output; readable status labels and keyboard-accessible controls.</w:t>
            </w:r>
          </w:p>
        </w:tc>
      </w:tr>
    </w:tbl>
    <w:p>
      <w:pPr>
        <w:spacing w:after="20"/>
      </w:pPr>
    </w:p>
    <w:p>
      <w:pPr>
        <w:pStyle w:val="Heading2"/>
      </w:pPr>
      <w:r>
        <w:t>2.3 Explicit non-goals for the MVP</w:t>
      </w:r>
    </w:p>
    <w:p>
      <w:pPr>
        <w:pStyle w:val="ListBullet"/>
        <w:spacing w:after="40"/>
        <w:ind w:left="360"/>
      </w:pPr>
      <w:r>
        <w:t>No live NCRB, police, telecom, bank, surveillance or social-media integrations.</w:t>
      </w:r>
    </w:p>
    <w:p>
      <w:pPr>
        <w:pStyle w:val="ListBullet"/>
        <w:spacing w:after="40"/>
        <w:ind w:left="360"/>
      </w:pPr>
      <w:r>
        <w:t>No face recognition or automated biometric identification.</w:t>
      </w:r>
    </w:p>
    <w:p>
      <w:pPr>
        <w:pStyle w:val="ListBullet"/>
        <w:spacing w:after="40"/>
        <w:ind w:left="360"/>
      </w:pPr>
      <w:r>
        <w:t>No automated determination of guilt or opaque “criminal influence” score.</w:t>
      </w:r>
    </w:p>
    <w:p>
      <w:pPr>
        <w:pStyle w:val="ListBullet"/>
        <w:spacing w:after="40"/>
        <w:ind w:left="360"/>
      </w:pPr>
      <w:r>
        <w:t>No unrestricted shell, browser, arbitrary SQL, arbitrary Python or internet tool execution by an LLM.</w:t>
      </w:r>
    </w:p>
    <w:p>
      <w:pPr>
        <w:pStyle w:val="ListBullet"/>
        <w:spacing w:after="40"/>
        <w:ind w:left="360"/>
      </w:pPr>
      <w:r>
        <w:t>No auto-merge of ambiguous identities and no auto-export/share of reports.</w:t>
      </w:r>
    </w:p>
    <w:p>
      <w:pPr>
        <w:pStyle w:val="ListBullet"/>
        <w:spacing w:after="40"/>
        <w:ind w:left="360"/>
      </w:pPr>
      <w:r>
        <w:t>No promise of real-time or production-grade model latency before measuring it.</w:t>
      </w:r>
    </w:p>
    <w:p>
      <w:pPr>
        <w:pStyle w:val="Heading1"/>
      </w:pPr>
      <w:r>
        <w:t>3. Architecture and technology decisions</w:t>
      </w:r>
    </w:p>
    <w:p>
      <w:pPr>
        <w:pStyle w:val="Heading2"/>
      </w:pPr>
      <w:r>
        <w:t>3.1 Logical architecture</w:t>
      </w:r>
    </w:p>
    <w:p>
      <w:r>
        <w:rPr>
          <w:i w:val="0"/>
        </w:rPr>
        <w:t>Use a modular backend application with a separate background worker. Keep the browser-facing API, core domain services, orchestration state machine and provider adapters in one codebase initially. Run the voice gateway separately if that best fits the existing repository and independent WebSocket lifecycle.</w:t>
      </w:r>
    </w:p>
    <w:p>
      <w:r>
        <w:drawing>
          <wp:inline xmlns:a="http://schemas.openxmlformats.org/drawingml/2006/main" xmlns:pic="http://schemas.openxmlformats.org/drawingml/2006/picture">
            <wp:extent cx="6263640" cy="313315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3133158"/>
                    </a:xfrm>
                    <a:prstGeom prst="rect"/>
                  </pic:spPr>
                </pic:pic>
              </a:graphicData>
            </a:graphic>
          </wp:inline>
        </w:drawing>
      </w:r>
    </w:p>
    <w:p>
      <w:r>
        <w:rPr>
          <w:i/>
        </w:rPr>
        <w:t>Figure 1. Logical architecture (proposed). API authorization, the orchestrator and service code remain authoritative; model output is never directly trusted.</w:t>
      </w:r>
    </w:p>
    <w:p>
      <w:pPr>
        <w:pStyle w:val="Heading2"/>
      </w:pPr>
      <w:r>
        <w:t>3.2 Recommended stack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tcMar>
              <w:top w:w="90" w:type="dxa"/>
              <w:start w:w="110" w:type="dxa"/>
              <w:bottom w:w="90" w:type="dxa"/>
              <w:end w:w="110" w:type="dxa"/>
            </w:tcMar>
            <w:shd w:fill="1D3B55"/>
          </w:tcPr>
          <w:p>
            <w:pPr>
              <w:spacing w:after="0" w:line="240" w:lineRule="auto"/>
            </w:pPr>
            <w:r/>
            <w:r>
              <w:rPr>
                <w:rFonts w:ascii="Arial" w:hAnsi="Arial"/>
                <w:b/>
                <w:color w:val="FFFFFF"/>
                <w:sz w:val="16"/>
              </w:rPr>
              <w:t>Layer</w:t>
            </w:r>
          </w:p>
        </w:tc>
        <w:tc>
          <w:tcPr>
            <w:tcW w:type="dxa" w:w="2880"/>
            <w:vAlign w:val="center"/>
            <w:tcMar>
              <w:top w:w="90" w:type="dxa"/>
              <w:start w:w="110" w:type="dxa"/>
              <w:bottom w:w="90" w:type="dxa"/>
              <w:end w:w="110" w:type="dxa"/>
            </w:tcMar>
            <w:shd w:fill="1D3B55"/>
          </w:tcPr>
          <w:p>
            <w:pPr>
              <w:spacing w:after="0" w:line="240" w:lineRule="auto"/>
            </w:pPr>
            <w:r/>
            <w:r>
              <w:rPr>
                <w:rFonts w:ascii="Arial" w:hAnsi="Arial"/>
                <w:b/>
                <w:color w:val="FFFFFF"/>
                <w:sz w:val="16"/>
              </w:rPr>
              <w:t>Recommended choice</w:t>
            </w:r>
          </w:p>
        </w:tc>
        <w:tc>
          <w:tcPr>
            <w:tcW w:type="dxa" w:w="5184"/>
            <w:vAlign w:val="center"/>
            <w:tcMar>
              <w:top w:w="90" w:type="dxa"/>
              <w:start w:w="110" w:type="dxa"/>
              <w:bottom w:w="90" w:type="dxa"/>
              <w:end w:w="110" w:type="dxa"/>
            </w:tcMar>
            <w:shd w:fill="1D3B55"/>
          </w:tcPr>
          <w:p>
            <w:pPr>
              <w:spacing w:after="0" w:line="240" w:lineRule="auto"/>
            </w:pPr>
            <w:r/>
            <w:r>
              <w:rPr>
                <w:rFonts w:ascii="Arial" w:hAnsi="Arial"/>
                <w:b/>
                <w:color w:val="FFFFFF"/>
                <w:sz w:val="16"/>
              </w:rPr>
              <w:t>Why / notes</w:t>
            </w:r>
          </w:p>
        </w:tc>
      </w:tr>
      <w:tr>
        <w:tc>
          <w:tcPr>
            <w:tcW w:type="dxa" w:w="1728"/>
            <w:vAlign w:val="center"/>
            <w:tcMar>
              <w:top w:w="90" w:type="dxa"/>
              <w:start w:w="110" w:type="dxa"/>
              <w:bottom w:w="90" w:type="dxa"/>
              <w:end w:w="110" w:type="dxa"/>
            </w:tcMar>
          </w:tcPr>
          <w:p>
            <w:pPr>
              <w:spacing w:after="0" w:line="240" w:lineRule="auto"/>
            </w:pPr>
            <w:r/>
            <w:r>
              <w:rPr>
                <w:rFonts w:ascii="Arial" w:hAnsi="Arial"/>
                <w:b w:val="0"/>
                <w:color w:val="18242F"/>
                <w:sz w:val="15"/>
              </w:rPr>
              <w:t>UI</w:t>
            </w:r>
          </w:p>
        </w:tc>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5"/>
              </w:rPr>
              <w:t>Existing Next.js frontend + TATTVA cinematic scene</w:t>
            </w:r>
          </w:p>
        </w:tc>
        <w:tc>
          <w:tcPr>
            <w:tcW w:type="dxa" w:w="5184"/>
            <w:vAlign w:val="center"/>
            <w:tcMar>
              <w:top w:w="90" w:type="dxa"/>
              <w:start w:w="110" w:type="dxa"/>
              <w:bottom w:w="90" w:type="dxa"/>
              <w:end w:w="110" w:type="dxa"/>
            </w:tcMar>
          </w:tcPr>
          <w:p>
            <w:pPr>
              <w:spacing w:after="0" w:line="240" w:lineRule="auto"/>
            </w:pPr>
            <w:r/>
            <w:r>
              <w:rPr>
                <w:rFonts w:ascii="Arial" w:hAnsi="Arial"/>
                <w:b w:val="0"/>
                <w:color w:val="18242F"/>
                <w:sz w:val="15"/>
              </w:rPr>
              <w:t>Replace demo timers with events from the real run stream.</w:t>
            </w:r>
          </w:p>
        </w:tc>
      </w:tr>
      <w:tr>
        <w:tc>
          <w:tcPr>
            <w:tcW w:type="dxa" w:w="172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API</w:t>
            </w:r>
          </w:p>
        </w:tc>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FastAPI + Pydantic v2</w:t>
            </w:r>
          </w:p>
        </w:tc>
        <w:tc>
          <w:tcPr>
            <w:tcW w:type="dxa" w:w="518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Typed request/response contracts and async endpoints.</w:t>
            </w:r>
          </w:p>
        </w:tc>
      </w:tr>
      <w:tr>
        <w:tc>
          <w:tcPr>
            <w:tcW w:type="dxa" w:w="1728"/>
            <w:vAlign w:val="center"/>
            <w:tcMar>
              <w:top w:w="90" w:type="dxa"/>
              <w:start w:w="110" w:type="dxa"/>
              <w:bottom w:w="90" w:type="dxa"/>
              <w:end w:w="110" w:type="dxa"/>
            </w:tcMar>
          </w:tcPr>
          <w:p>
            <w:pPr>
              <w:spacing w:after="0" w:line="240" w:lineRule="auto"/>
            </w:pPr>
            <w:r/>
            <w:r>
              <w:rPr>
                <w:rFonts w:ascii="Arial" w:hAnsi="Arial"/>
                <w:b w:val="0"/>
                <w:color w:val="18242F"/>
                <w:sz w:val="15"/>
              </w:rPr>
              <w:t>Voice</w:t>
            </w:r>
          </w:p>
        </w:tc>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5"/>
              </w:rPr>
              <w:t>Gemini Live through existing voice_speech gateway</w:t>
            </w:r>
          </w:p>
        </w:tc>
        <w:tc>
          <w:tcPr>
            <w:tcW w:type="dxa" w:w="5184"/>
            <w:vAlign w:val="center"/>
            <w:tcMar>
              <w:top w:w="90" w:type="dxa"/>
              <w:start w:w="110" w:type="dxa"/>
              <w:bottom w:w="90" w:type="dxa"/>
              <w:end w:w="110" w:type="dxa"/>
            </w:tcMar>
          </w:tcPr>
          <w:p>
            <w:pPr>
              <w:spacing w:after="0" w:line="240" w:lineRule="auto"/>
            </w:pPr>
            <w:r/>
            <w:r>
              <w:rPr>
                <w:rFonts w:ascii="Arial" w:hAnsi="Arial"/>
                <w:b w:val="0"/>
                <w:color w:val="18242F"/>
                <w:sz w:val="15"/>
              </w:rPr>
              <w:t>Reuse audio session implementation; narrow its tool registry to investigation operations.</w:t>
            </w:r>
          </w:p>
        </w:tc>
      </w:tr>
      <w:tr>
        <w:tc>
          <w:tcPr>
            <w:tcW w:type="dxa" w:w="172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Core LLM</w:t>
            </w:r>
          </w:p>
        </w:tc>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Online hosted model behind CoreLLMProvider</w:t>
            </w:r>
          </w:p>
        </w:tc>
        <w:tc>
          <w:tcPr>
            <w:tcW w:type="dxa" w:w="518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Same core provider for orchestration reasoning and RAG synthesis. Keep provider/model configurable.</w:t>
            </w:r>
          </w:p>
        </w:tc>
      </w:tr>
      <w:tr>
        <w:tc>
          <w:tcPr>
            <w:tcW w:type="dxa" w:w="1728"/>
            <w:vAlign w:val="center"/>
            <w:tcMar>
              <w:top w:w="90" w:type="dxa"/>
              <w:start w:w="110" w:type="dxa"/>
              <w:bottom w:w="90" w:type="dxa"/>
              <w:end w:w="110" w:type="dxa"/>
            </w:tcMar>
          </w:tcPr>
          <w:p>
            <w:pPr>
              <w:spacing w:after="0" w:line="240" w:lineRule="auto"/>
            </w:pPr>
            <w:r/>
            <w:r>
              <w:rPr>
                <w:rFonts w:ascii="Arial" w:hAnsi="Arial"/>
                <w:b w:val="0"/>
                <w:color w:val="18242F"/>
                <w:sz w:val="15"/>
              </w:rPr>
              <w:t>Document storage</w:t>
            </w:r>
          </w:p>
        </w:tc>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5"/>
              </w:rPr>
              <w:t>Local mounted volume for MVP; object storage later</w:t>
            </w:r>
          </w:p>
        </w:tc>
        <w:tc>
          <w:tcPr>
            <w:tcW w:type="dxa" w:w="5184"/>
            <w:vAlign w:val="center"/>
            <w:tcMar>
              <w:top w:w="90" w:type="dxa"/>
              <w:start w:w="110" w:type="dxa"/>
              <w:bottom w:w="90" w:type="dxa"/>
              <w:end w:w="110" w:type="dxa"/>
            </w:tcMar>
          </w:tcPr>
          <w:p>
            <w:pPr>
              <w:spacing w:after="0" w:line="240" w:lineRule="auto"/>
            </w:pPr>
            <w:r/>
            <w:r>
              <w:rPr>
                <w:rFonts w:ascii="Arial" w:hAnsi="Arial"/>
                <w:b w:val="0"/>
                <w:color w:val="18242F"/>
                <w:sz w:val="15"/>
              </w:rPr>
              <w:t>Store originals separately from MongoDB metadata; hash and restrict access.</w:t>
            </w:r>
          </w:p>
        </w:tc>
      </w:tr>
      <w:tr>
        <w:tc>
          <w:tcPr>
            <w:tcW w:type="dxa" w:w="172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Metadata/workflow</w:t>
            </w:r>
          </w:p>
        </w:tc>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MongoDB with PyMongo Async API</w:t>
            </w:r>
          </w:p>
        </w:tc>
        <w:tc>
          <w:tcPr>
            <w:tcW w:type="dxa" w:w="518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Cases, documents, entities, evidence, runs, tasks, findings, audits. Prefer current PyMongo Async over introducing Motor in new code.</w:t>
            </w:r>
          </w:p>
        </w:tc>
      </w:tr>
      <w:tr>
        <w:tc>
          <w:tcPr>
            <w:tcW w:type="dxa" w:w="1728"/>
            <w:vAlign w:val="center"/>
            <w:tcMar>
              <w:top w:w="90" w:type="dxa"/>
              <w:start w:w="110" w:type="dxa"/>
              <w:bottom w:w="90" w:type="dxa"/>
              <w:end w:w="110" w:type="dxa"/>
            </w:tcMar>
          </w:tcPr>
          <w:p>
            <w:pPr>
              <w:spacing w:after="0" w:line="240" w:lineRule="auto"/>
            </w:pPr>
            <w:r/>
            <w:r>
              <w:rPr>
                <w:rFonts w:ascii="Arial" w:hAnsi="Arial"/>
                <w:b w:val="0"/>
                <w:color w:val="18242F"/>
                <w:sz w:val="15"/>
              </w:rPr>
              <w:t>RAG vector index</w:t>
            </w:r>
          </w:p>
        </w:tc>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5"/>
              </w:rPr>
              <w:t>Qdrant</w:t>
            </w:r>
          </w:p>
        </w:tc>
        <w:tc>
          <w:tcPr>
            <w:tcW w:type="dxa" w:w="5184"/>
            <w:vAlign w:val="center"/>
            <w:tcMar>
              <w:top w:w="90" w:type="dxa"/>
              <w:start w:w="110" w:type="dxa"/>
              <w:bottom w:w="90" w:type="dxa"/>
              <w:end w:w="110" w:type="dxa"/>
            </w:tcMar>
          </w:tcPr>
          <w:p>
            <w:pPr>
              <w:spacing w:after="0" w:line="240" w:lineRule="auto"/>
            </w:pPr>
            <w:r/>
            <w:r>
              <w:rPr>
                <w:rFonts w:ascii="Arial" w:hAnsi="Arial"/>
                <w:b w:val="0"/>
                <w:color w:val="18242F"/>
                <w:sz w:val="15"/>
              </w:rPr>
              <w:t>Store chunk embeddings plus case/document/page metadata; every search must apply authorized case filters.</w:t>
            </w:r>
          </w:p>
        </w:tc>
      </w:tr>
      <w:tr>
        <w:tc>
          <w:tcPr>
            <w:tcW w:type="dxa" w:w="172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Embeddings</w:t>
            </w:r>
          </w:p>
        </w:tc>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Reuse configured FastEmbed model initially</w:t>
            </w:r>
          </w:p>
        </w:tc>
        <w:tc>
          <w:tcPr>
            <w:tcW w:type="dxa" w:w="518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Embedding model is not a third conversational/reasoning LLM. Benchmark recall and latency.</w:t>
            </w:r>
          </w:p>
        </w:tc>
      </w:tr>
      <w:tr>
        <w:tc>
          <w:tcPr>
            <w:tcW w:type="dxa" w:w="1728"/>
            <w:vAlign w:val="center"/>
            <w:tcMar>
              <w:top w:w="90" w:type="dxa"/>
              <w:start w:w="110" w:type="dxa"/>
              <w:bottom w:w="90" w:type="dxa"/>
              <w:end w:w="110" w:type="dxa"/>
            </w:tcMar>
          </w:tcPr>
          <w:p>
            <w:pPr>
              <w:spacing w:after="0" w:line="240" w:lineRule="auto"/>
            </w:pPr>
            <w:r/>
            <w:r>
              <w:rPr>
                <w:rFonts w:ascii="Arial" w:hAnsi="Arial"/>
                <w:b w:val="0"/>
                <w:color w:val="18242F"/>
                <w:sz w:val="15"/>
              </w:rPr>
              <w:t>Task queue</w:t>
            </w:r>
          </w:p>
        </w:tc>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5"/>
              </w:rPr>
              <w:t>Celery + Redis or existing compatible queue</w:t>
            </w:r>
          </w:p>
        </w:tc>
        <w:tc>
          <w:tcPr>
            <w:tcW w:type="dxa" w:w="5184"/>
            <w:vAlign w:val="center"/>
            <w:tcMar>
              <w:top w:w="90" w:type="dxa"/>
              <w:start w:w="110" w:type="dxa"/>
              <w:bottom w:w="90" w:type="dxa"/>
              <w:end w:w="110" w:type="dxa"/>
            </w:tcMar>
          </w:tcPr>
          <w:p>
            <w:pPr>
              <w:spacing w:after="0" w:line="240" w:lineRule="auto"/>
            </w:pPr>
            <w:r/>
            <w:r>
              <w:rPr>
                <w:rFonts w:ascii="Arial" w:hAnsi="Arial"/>
                <w:b w:val="0"/>
                <w:color w:val="18242F"/>
                <w:sz w:val="15"/>
              </w:rPr>
              <w:t>Long-running jobs should not live in the request handler. Pick one queue, standardize task IDs and cancellation.</w:t>
            </w:r>
          </w:p>
        </w:tc>
      </w:tr>
      <w:tr>
        <w:tc>
          <w:tcPr>
            <w:tcW w:type="dxa" w:w="172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Graph</w:t>
            </w:r>
          </w:p>
        </w:tc>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NetworkX</w:t>
            </w:r>
          </w:p>
        </w:tc>
        <w:tc>
          <w:tcPr>
            <w:tcW w:type="dxa" w:w="518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Transparent graph metrics computed from a case snapshot.</w:t>
            </w:r>
          </w:p>
        </w:tc>
      </w:tr>
      <w:tr>
        <w:tc>
          <w:tcPr>
            <w:tcW w:type="dxa" w:w="1728"/>
            <w:vAlign w:val="center"/>
            <w:tcMar>
              <w:top w:w="90" w:type="dxa"/>
              <w:start w:w="110" w:type="dxa"/>
              <w:bottom w:w="90" w:type="dxa"/>
              <w:end w:w="110" w:type="dxa"/>
            </w:tcMar>
          </w:tcPr>
          <w:p>
            <w:pPr>
              <w:spacing w:after="0" w:line="240" w:lineRule="auto"/>
            </w:pPr>
            <w:r/>
            <w:r>
              <w:rPr>
                <w:rFonts w:ascii="Arial" w:hAnsi="Arial"/>
                <w:b w:val="0"/>
                <w:color w:val="18242F"/>
                <w:sz w:val="15"/>
              </w:rPr>
              <w:t>Testing</w:t>
            </w:r>
          </w:p>
        </w:tc>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5"/>
              </w:rPr>
              <w:t>pytest, httpx/TestClient, deterministic fixtures</w:t>
            </w:r>
          </w:p>
        </w:tc>
        <w:tc>
          <w:tcPr>
            <w:tcW w:type="dxa" w:w="5184"/>
            <w:vAlign w:val="center"/>
            <w:tcMar>
              <w:top w:w="90" w:type="dxa"/>
              <w:start w:w="110" w:type="dxa"/>
              <w:bottom w:w="90" w:type="dxa"/>
              <w:end w:w="110" w:type="dxa"/>
            </w:tcMar>
          </w:tcPr>
          <w:p>
            <w:pPr>
              <w:spacing w:after="0" w:line="240" w:lineRule="auto"/>
            </w:pPr>
            <w:r/>
            <w:r>
              <w:rPr>
                <w:rFonts w:ascii="Arial" w:hAnsi="Arial"/>
                <w:b w:val="0"/>
                <w:color w:val="18242F"/>
                <w:sz w:val="15"/>
              </w:rPr>
              <w:t>Unit, contract, integration, prompt-injection and benchmark tests.</w:t>
            </w:r>
          </w:p>
        </w:tc>
      </w:tr>
      <w:tr>
        <w:tc>
          <w:tcPr>
            <w:tcW w:type="dxa" w:w="172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Deployment</w:t>
            </w:r>
          </w:p>
        </w:tc>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Docker Compose for local development</w:t>
            </w:r>
          </w:p>
        </w:tc>
        <w:tc>
          <w:tcPr>
            <w:tcW w:type="dxa" w:w="518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API, worker, MongoDB, Redis, Qdrant, frontend and voice gateway as applicable.</w:t>
            </w:r>
          </w:p>
        </w:tc>
      </w:tr>
    </w:tbl>
    <w:p>
      <w:pPr>
        <w:spacing w:after="20"/>
      </w:pPr>
    </w:p>
    <w:p>
      <w:pPr>
        <w:pStyle w:val="Heading2"/>
      </w:pPr>
      <w:r>
        <w:t>3.3 Design decisions that must remain stable</w:t>
      </w:r>
    </w:p>
    <w:p>
      <w:pPr>
        <w:pStyle w:val="ListBullet"/>
        <w:spacing w:after="40"/>
        <w:ind w:left="360"/>
      </w:pPr>
      <w:r>
        <w:t>MongoDB is the source of truth for domain records and analysis-run/task states; Redis is a queue/cache, not the only record of an investigation.</w:t>
      </w:r>
    </w:p>
    <w:p>
      <w:pPr>
        <w:pStyle w:val="ListBullet"/>
        <w:spacing w:after="40"/>
        <w:ind w:left="360"/>
      </w:pPr>
      <w:r>
        <w:t>Qdrant is a retrieval index, not the authoritative source record. Store exact text spans and provenance in a durable source/evidence store.</w:t>
      </w:r>
    </w:p>
    <w:p>
      <w:pPr>
        <w:pStyle w:val="ListBullet"/>
        <w:spacing w:after="40"/>
        <w:ind w:left="360"/>
      </w:pPr>
      <w:r>
        <w:t>One shared core LLM provider powers orchestration reasoning and RAG generation. Gemini Live is the separate voice interaction stack.</w:t>
      </w:r>
    </w:p>
    <w:p>
      <w:pPr>
        <w:pStyle w:val="ListBullet"/>
        <w:spacing w:after="40"/>
        <w:ind w:left="360"/>
      </w:pPr>
      <w:r>
        <w:t>Use a strict task registry: the planner can choose only known task types, schemas, inputs and timeouts.</w:t>
      </w:r>
    </w:p>
    <w:p>
      <w:pPr>
        <w:pStyle w:val="ListBullet"/>
        <w:spacing w:after="40"/>
        <w:ind w:left="360"/>
      </w:pPr>
      <w:r>
        <w:t>Every visible progress indicator must be derived from a persisted backend state/event.</w:t>
      </w:r>
    </w:p>
    <w:p>
      <w:pPr>
        <w:pStyle w:val="ListBullet"/>
        <w:spacing w:after="40"/>
        <w:ind w:left="360"/>
      </w:pPr>
      <w:r>
        <w:t>Use API version prefix `/api/v1`; use UTC timestamps in storage and wire contracts.</w:t>
      </w:r>
    </w:p>
    <w:p>
      <w:pPr>
        <w:pStyle w:val="Heading1"/>
      </w:pPr>
      <w:r>
        <w:t>4. Two-LLM responsibilities and boundaries</w:t>
      </w:r>
    </w:p>
    <w:p>
      <w:pPr>
        <w:pStyle w:val="Heading2"/>
      </w:pPr>
      <w:r>
        <w:t>4.1 LLM 1 — Gemini Live voice layer</w:t>
      </w:r>
    </w:p>
    <w:p>
      <w:r>
        <w:rPr>
          <w:i w:val="0"/>
        </w:rPr>
        <w:t>Responsibilities: realtime speech/audio interaction, user-facing conversation, command interpretation, short progress acknowledgements, clarification and spoken summaries. Existing Riva-AGI code already contains Gemini streaming/session/tool wiring to reuse after security review.</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tcMar>
              <w:top w:w="90" w:type="dxa"/>
              <w:start w:w="110" w:type="dxa"/>
              <w:bottom w:w="90" w:type="dxa"/>
              <w:end w:w="110" w:type="dxa"/>
            </w:tcMar>
            <w:shd w:fill="1D3B55"/>
          </w:tcPr>
          <w:p>
            <w:pPr>
              <w:spacing w:after="0" w:line="240" w:lineRule="auto"/>
            </w:pPr>
            <w:r/>
            <w:r>
              <w:rPr>
                <w:rFonts w:ascii="Arial" w:hAnsi="Arial"/>
                <w:b/>
                <w:color w:val="FFFFFF"/>
                <w:sz w:val="16"/>
              </w:rPr>
              <w:t>Allowed voice operation</w:t>
            </w:r>
          </w:p>
        </w:tc>
        <w:tc>
          <w:tcPr>
            <w:tcW w:type="dxa" w:w="7200"/>
            <w:vAlign w:val="center"/>
            <w:tcMar>
              <w:top w:w="90" w:type="dxa"/>
              <w:start w:w="110" w:type="dxa"/>
              <w:bottom w:w="90" w:type="dxa"/>
              <w:end w:w="110" w:type="dxa"/>
            </w:tcMar>
            <w:shd w:fill="1D3B55"/>
          </w:tcPr>
          <w:p>
            <w:pPr>
              <w:spacing w:after="0" w:line="240" w:lineRule="auto"/>
            </w:pPr>
            <w:r/>
            <w:r>
              <w:rPr>
                <w:rFonts w:ascii="Arial" w:hAnsi="Arial"/>
                <w:b/>
                <w:color w:val="FFFFFF"/>
                <w:sz w:val="16"/>
              </w:rPr>
              <w:t>Backend action</w:t>
            </w:r>
          </w:p>
        </w:tc>
      </w:tr>
      <w:tr>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6"/>
              </w:rPr>
              <w:t>start_case_analysis</w:t>
            </w:r>
          </w:p>
        </w:tc>
        <w:tc>
          <w:tcPr>
            <w:tcW w:type="dxa" w:w="7200"/>
            <w:vAlign w:val="center"/>
            <w:tcMar>
              <w:top w:w="90" w:type="dxa"/>
              <w:start w:w="110" w:type="dxa"/>
              <w:bottom w:w="90" w:type="dxa"/>
              <w:end w:w="110" w:type="dxa"/>
            </w:tcMar>
          </w:tcPr>
          <w:p>
            <w:pPr>
              <w:spacing w:after="0" w:line="240" w:lineRule="auto"/>
            </w:pPr>
            <w:r/>
            <w:r>
              <w:rPr>
                <w:rFonts w:ascii="Arial" w:hAnsi="Arial"/>
                <w:b w:val="0"/>
                <w:color w:val="18242F"/>
                <w:sz w:val="16"/>
              </w:rPr>
              <w:t>Validate case access and the requested analysis profile; create an analysis run and return its run_id.</w:t>
            </w:r>
          </w:p>
        </w:tc>
      </w:tr>
      <w:tr>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get_run_status</w:t>
            </w:r>
          </w:p>
        </w:tc>
        <w:tc>
          <w:tcPr>
            <w:tcW w:type="dxa" w:w="7200"/>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Return only a run the current user can access.</w:t>
            </w:r>
          </w:p>
        </w:tc>
      </w:tr>
      <w:tr>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6"/>
              </w:rPr>
              <w:t>get_case_summary</w:t>
            </w:r>
          </w:p>
        </w:tc>
        <w:tc>
          <w:tcPr>
            <w:tcW w:type="dxa" w:w="7200"/>
            <w:vAlign w:val="center"/>
            <w:tcMar>
              <w:top w:w="90" w:type="dxa"/>
              <w:start w:w="110" w:type="dxa"/>
              <w:bottom w:w="90" w:type="dxa"/>
              <w:end w:w="110" w:type="dxa"/>
            </w:tcMar>
          </w:tcPr>
          <w:p>
            <w:pPr>
              <w:spacing w:after="0" w:line="240" w:lineRule="auto"/>
            </w:pPr>
            <w:r/>
            <w:r>
              <w:rPr>
                <w:rFonts w:ascii="Arial" w:hAnsi="Arial"/>
                <w:b w:val="0"/>
                <w:color w:val="18242F"/>
                <w:sz w:val="16"/>
              </w:rPr>
              <w:t>Return a redacted/authorized summary and cited findings.</w:t>
            </w:r>
          </w:p>
        </w:tc>
      </w:tr>
      <w:tr>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cancel_analysis</w:t>
            </w:r>
          </w:p>
        </w:tc>
        <w:tc>
          <w:tcPr>
            <w:tcW w:type="dxa" w:w="7200"/>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Request cancellation after authorization and validate run state.</w:t>
            </w:r>
          </w:p>
        </w:tc>
      </w:tr>
      <w:tr>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6"/>
              </w:rPr>
              <w:t>clarify_request</w:t>
            </w:r>
          </w:p>
        </w:tc>
        <w:tc>
          <w:tcPr>
            <w:tcW w:type="dxa" w:w="7200"/>
            <w:vAlign w:val="center"/>
            <w:tcMar>
              <w:top w:w="90" w:type="dxa"/>
              <w:start w:w="110" w:type="dxa"/>
              <w:bottom w:w="90" w:type="dxa"/>
              <w:end w:w="110" w:type="dxa"/>
            </w:tcMar>
          </w:tcPr>
          <w:p>
            <w:pPr>
              <w:spacing w:after="0" w:line="240" w:lineRule="auto"/>
            </w:pPr>
            <w:r/>
            <w:r>
              <w:rPr>
                <w:rFonts w:ascii="Arial" w:hAnsi="Arial"/>
                <w:b w:val="0"/>
                <w:color w:val="18242F"/>
                <w:sz w:val="16"/>
              </w:rPr>
              <w:t>No operation; ask the user for a missing case or intended action.</w:t>
            </w:r>
          </w:p>
        </w:tc>
      </w:tr>
      <w:tr>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request_report_draft</w:t>
            </w:r>
          </w:p>
        </w:tc>
        <w:tc>
          <w:tcPr>
            <w:tcW w:type="dxa" w:w="7200"/>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Create a report draft; sharing/export still requires explicit authorization/approval.</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0E8"/>
            <w:tcMar>
              <w:top w:w="140" w:type="dxa"/>
              <w:start w:w="180" w:type="dxa"/>
              <w:bottom w:w="140" w:type="dxa"/>
              <w:end w:w="180" w:type="dxa"/>
            </w:tcMar>
          </w:tcPr>
          <w:p>
            <w:pPr>
              <w:spacing w:after="60"/>
            </w:pPr>
            <w:r/>
            <w:r>
              <w:rPr>
                <w:b/>
                <w:color w:val="E07A45"/>
                <w:sz w:val="20"/>
              </w:rPr>
              <w:t>Voice safety rule</w:t>
            </w:r>
          </w:p>
          <w:p>
            <w:pPr>
              <w:spacing w:after="0" w:line="252" w:lineRule="auto"/>
            </w:pPr>
            <w:r>
              <w:rPr>
                <w:color w:val="18242F"/>
                <w:sz w:val="18"/>
              </w:rPr>
              <w:t>Gemini may request a tool call, but the server validates user, case, schema, task allow-list and approval rules before execution. The voice model must not receive arbitrary shell, file-system, browser, database-administration or external-network capabilities.</w:t>
            </w:r>
          </w:p>
        </w:tc>
      </w:tr>
    </w:tbl>
    <w:p>
      <w:pPr>
        <w:spacing w:after="20"/>
      </w:pPr>
    </w:p>
    <w:p>
      <w:pPr>
        <w:pStyle w:val="Heading2"/>
      </w:pPr>
      <w:r>
        <w:t>4.2 LLM 2 — Online Core Intelligence</w:t>
      </w:r>
    </w:p>
    <w:p>
      <w:r>
        <w:rPr>
          <w:i w:val="0"/>
        </w:rPr>
        <w:t>Responsibilities: structured extraction suggestions, plan proposals, evidence-grounded synthesis, alternative hypotheses, concise explanation of detected patterns and report wording. The same configured core provider can be called from orchestration and RAG services.</w:t>
      </w:r>
    </w:p>
    <w:p>
      <w:pPr>
        <w:pStyle w:val="Heading3"/>
      </w:pPr>
      <w:r>
        <w:t>Provider abstraction</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class CoreLLMProvider(Protocol):</w:t>
            </w:r>
          </w:p>
          <w:p>
            <w:pPr>
              <w:pStyle w:val="TATTVACode"/>
              <w:keepLines/>
            </w:pPr>
            <w:r>
              <w:rPr>
                <w:rFonts w:ascii="Consolas" w:hAnsi="Consolas"/>
                <w:color w:val="203448"/>
                <w:sz w:val="14"/>
              </w:rPr>
              <w:t xml:space="preserve">    async def generate_structured(</w:t>
            </w:r>
          </w:p>
          <w:p>
            <w:pPr>
              <w:pStyle w:val="TATTVACode"/>
              <w:keepLines/>
            </w:pPr>
            <w:r>
              <w:rPr>
                <w:rFonts w:ascii="Consolas" w:hAnsi="Consolas"/>
                <w:color w:val="203448"/>
                <w:sz w:val="14"/>
              </w:rPr>
              <w:t xml:space="preserve">        self, *, system: str, input_data: dict, schema: type[BaseModel],</w:t>
            </w:r>
          </w:p>
          <w:p>
            <w:pPr>
              <w:pStyle w:val="TATTVACode"/>
              <w:keepLines/>
            </w:pPr>
            <w:r>
              <w:rPr>
                <w:rFonts w:ascii="Consolas" w:hAnsi="Consolas"/>
                <w:color w:val="203448"/>
                <w:sz w:val="14"/>
              </w:rPr>
              <w:t xml:space="preserve">        timeout_s: float, max_output_tokens: int</w:t>
            </w:r>
          </w:p>
          <w:p>
            <w:pPr>
              <w:pStyle w:val="TATTVACode"/>
              <w:keepLines/>
            </w:pPr>
            <w:r>
              <w:rPr>
                <w:rFonts w:ascii="Consolas" w:hAnsi="Consolas"/>
                <w:color w:val="203448"/>
                <w:sz w:val="14"/>
              </w:rPr>
              <w:t xml:space="preserve">    ) -&gt; BaseModel: ...</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xml:space="preserve">    async def generate_text(</w:t>
            </w:r>
          </w:p>
          <w:p>
            <w:pPr>
              <w:pStyle w:val="TATTVACode"/>
              <w:keepLines/>
            </w:pPr>
            <w:r>
              <w:rPr>
                <w:rFonts w:ascii="Consolas" w:hAnsi="Consolas"/>
                <w:color w:val="203448"/>
                <w:sz w:val="14"/>
              </w:rPr>
              <w:t xml:space="preserve">        self, *, system: str, messages: list[dict],</w:t>
            </w:r>
          </w:p>
          <w:p>
            <w:pPr>
              <w:pStyle w:val="TATTVACode"/>
              <w:keepLines/>
            </w:pPr>
            <w:r>
              <w:rPr>
                <w:rFonts w:ascii="Consolas" w:hAnsi="Consolas"/>
                <w:color w:val="203448"/>
                <w:sz w:val="14"/>
              </w:rPr>
              <w:t xml:space="preserve">        timeout_s: float, max_output_tokens: int</w:t>
            </w:r>
          </w:p>
          <w:p>
            <w:pPr>
              <w:pStyle w:val="TATTVACode"/>
              <w:keepLines/>
            </w:pPr>
            <w:r>
              <w:rPr>
                <w:rFonts w:ascii="Consolas" w:hAnsi="Consolas"/>
                <w:color w:val="203448"/>
                <w:sz w:val="14"/>
              </w:rPr>
              <w:t xml:space="preserve">    ) -&gt; str: ...</w:t>
            </w:r>
          </w:p>
        </w:tc>
      </w:tr>
    </w:tbl>
    <w:p>
      <w:pPr>
        <w:spacing w:after="20"/>
      </w:pPr>
    </w:p>
    <w:p>
      <w:r>
        <w:rPr>
          <w:i w:val="0"/>
        </w:rPr>
        <w:t>Implement one adapter for the chosen online provider (for example, an OpenAI-compatible hosted inference endpoint) and keep provider/model/base URL/API key configurable. Do not hard-code provider names in agent code. The document does not lock a permanent model ID or price because provider offerings change; record the selected model/version per run.</w:t>
      </w:r>
    </w:p>
    <w:p>
      <w:pPr>
        <w:pStyle w:val="Heading2"/>
      </w:pPr>
      <w:r>
        <w:t>4.3 Work that does not need an LLM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744"/>
            <w:vAlign w:val="center"/>
            <w:tcMar>
              <w:top w:w="90" w:type="dxa"/>
              <w:start w:w="110" w:type="dxa"/>
              <w:bottom w:w="90" w:type="dxa"/>
              <w:end w:w="110" w:type="dxa"/>
            </w:tcMar>
            <w:shd w:fill="1D3B55"/>
          </w:tcPr>
          <w:p>
            <w:pPr>
              <w:spacing w:after="0" w:line="240" w:lineRule="auto"/>
            </w:pPr>
            <w:r/>
            <w:r>
              <w:rPr>
                <w:rFonts w:ascii="Arial" w:hAnsi="Arial"/>
                <w:b/>
                <w:color w:val="FFFFFF"/>
                <w:sz w:val="16"/>
              </w:rPr>
              <w:t>Work</w:t>
            </w:r>
          </w:p>
        </w:tc>
        <w:tc>
          <w:tcPr>
            <w:tcW w:type="dxa" w:w="6048"/>
            <w:vAlign w:val="center"/>
            <w:tcMar>
              <w:top w:w="90" w:type="dxa"/>
              <w:start w:w="110" w:type="dxa"/>
              <w:bottom w:w="90" w:type="dxa"/>
              <w:end w:w="110" w:type="dxa"/>
            </w:tcMar>
            <w:shd w:fill="1D3B55"/>
          </w:tcPr>
          <w:p>
            <w:pPr>
              <w:spacing w:after="0" w:line="240" w:lineRule="auto"/>
            </w:pPr>
            <w:r/>
            <w:r>
              <w:rPr>
                <w:rFonts w:ascii="Arial" w:hAnsi="Arial"/>
                <w:b/>
                <w:color w:val="FFFFFF"/>
                <w:sz w:val="16"/>
              </w:rPr>
              <w:t>Implementation</w:t>
            </w:r>
          </w:p>
        </w:tc>
      </w:tr>
      <w:tr>
        <w:tc>
          <w:tcPr>
            <w:tcW w:type="dxa" w:w="3744"/>
            <w:vAlign w:val="center"/>
            <w:tcMar>
              <w:top w:w="90" w:type="dxa"/>
              <w:start w:w="110" w:type="dxa"/>
              <w:bottom w:w="90" w:type="dxa"/>
              <w:end w:w="110" w:type="dxa"/>
            </w:tcMar>
          </w:tcPr>
          <w:p>
            <w:pPr>
              <w:spacing w:after="0" w:line="240" w:lineRule="auto"/>
            </w:pPr>
            <w:r/>
            <w:r>
              <w:rPr>
                <w:rFonts w:ascii="Arial" w:hAnsi="Arial"/>
                <w:b w:val="0"/>
                <w:color w:val="18242F"/>
                <w:sz w:val="16"/>
              </w:rPr>
              <w:t>Authentication and case authorization</w:t>
            </w:r>
          </w:p>
        </w:tc>
        <w:tc>
          <w:tcPr>
            <w:tcW w:type="dxa" w:w="6048"/>
            <w:vAlign w:val="center"/>
            <w:tcMar>
              <w:top w:w="90" w:type="dxa"/>
              <w:start w:w="110" w:type="dxa"/>
              <w:bottom w:w="90" w:type="dxa"/>
              <w:end w:w="110" w:type="dxa"/>
            </w:tcMar>
          </w:tcPr>
          <w:p>
            <w:pPr>
              <w:spacing w:after="0" w:line="240" w:lineRule="auto"/>
            </w:pPr>
            <w:r/>
            <w:r>
              <w:rPr>
                <w:rFonts w:ascii="Arial" w:hAnsi="Arial"/>
                <w:b w:val="0"/>
                <w:color w:val="18242F"/>
                <w:sz w:val="16"/>
              </w:rPr>
              <w:t>Deterministic backend policy code</w:t>
            </w:r>
          </w:p>
        </w:tc>
      </w:tr>
      <w:tr>
        <w:tc>
          <w:tcPr>
            <w:tcW w:type="dxa" w:w="3744"/>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Source hash, page/offset validation and exact quote check</w:t>
            </w:r>
          </w:p>
        </w:tc>
        <w:tc>
          <w:tcPr>
            <w:tcW w:type="dxa" w:w="6048"/>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Deterministic Python validation</w:t>
            </w:r>
          </w:p>
        </w:tc>
      </w:tr>
      <w:tr>
        <w:tc>
          <w:tcPr>
            <w:tcW w:type="dxa" w:w="3744"/>
            <w:vAlign w:val="center"/>
            <w:tcMar>
              <w:top w:w="90" w:type="dxa"/>
              <w:start w:w="110" w:type="dxa"/>
              <w:bottom w:w="90" w:type="dxa"/>
              <w:end w:w="110" w:type="dxa"/>
            </w:tcMar>
          </w:tcPr>
          <w:p>
            <w:pPr>
              <w:spacing w:after="0" w:line="240" w:lineRule="auto"/>
            </w:pPr>
            <w:r/>
            <w:r>
              <w:rPr>
                <w:rFonts w:ascii="Arial" w:hAnsi="Arial"/>
                <w:b w:val="0"/>
                <w:color w:val="18242F"/>
                <w:sz w:val="16"/>
              </w:rPr>
              <w:t>Dependency scheduling, retry count, cancellation and concurrency</w:t>
            </w:r>
          </w:p>
        </w:tc>
        <w:tc>
          <w:tcPr>
            <w:tcW w:type="dxa" w:w="6048"/>
            <w:vAlign w:val="center"/>
            <w:tcMar>
              <w:top w:w="90" w:type="dxa"/>
              <w:start w:w="110" w:type="dxa"/>
              <w:bottom w:w="90" w:type="dxa"/>
              <w:end w:w="110" w:type="dxa"/>
            </w:tcMar>
          </w:tcPr>
          <w:p>
            <w:pPr>
              <w:spacing w:after="0" w:line="240" w:lineRule="auto"/>
            </w:pPr>
            <w:r/>
            <w:r>
              <w:rPr>
                <w:rFonts w:ascii="Arial" w:hAnsi="Arial"/>
                <w:b w:val="0"/>
                <w:color w:val="18242F"/>
                <w:sz w:val="16"/>
              </w:rPr>
              <w:t>Orchestrator state machine</w:t>
            </w:r>
          </w:p>
        </w:tc>
      </w:tr>
      <w:tr>
        <w:tc>
          <w:tcPr>
            <w:tcW w:type="dxa" w:w="3744"/>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Basic transaction/call-pattern rules</w:t>
            </w:r>
          </w:p>
        </w:tc>
        <w:tc>
          <w:tcPr>
            <w:tcW w:type="dxa" w:w="6048"/>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Deterministic configurable rules</w:t>
            </w:r>
          </w:p>
        </w:tc>
      </w:tr>
      <w:tr>
        <w:tc>
          <w:tcPr>
            <w:tcW w:type="dxa" w:w="3744"/>
            <w:vAlign w:val="center"/>
            <w:tcMar>
              <w:top w:w="90" w:type="dxa"/>
              <w:start w:w="110" w:type="dxa"/>
              <w:bottom w:w="90" w:type="dxa"/>
              <w:end w:w="110" w:type="dxa"/>
            </w:tcMar>
          </w:tcPr>
          <w:p>
            <w:pPr>
              <w:spacing w:after="0" w:line="240" w:lineRule="auto"/>
            </w:pPr>
            <w:r/>
            <w:r>
              <w:rPr>
                <w:rFonts w:ascii="Arial" w:hAnsi="Arial"/>
                <w:b w:val="0"/>
                <w:color w:val="18242F"/>
                <w:sz w:val="16"/>
              </w:rPr>
              <w:t>Network metrics</w:t>
            </w:r>
          </w:p>
        </w:tc>
        <w:tc>
          <w:tcPr>
            <w:tcW w:type="dxa" w:w="6048"/>
            <w:vAlign w:val="center"/>
            <w:tcMar>
              <w:top w:w="90" w:type="dxa"/>
              <w:start w:w="110" w:type="dxa"/>
              <w:bottom w:w="90" w:type="dxa"/>
              <w:end w:w="110" w:type="dxa"/>
            </w:tcMar>
          </w:tcPr>
          <w:p>
            <w:pPr>
              <w:spacing w:after="0" w:line="240" w:lineRule="auto"/>
            </w:pPr>
            <w:r/>
            <w:r>
              <w:rPr>
                <w:rFonts w:ascii="Arial" w:hAnsi="Arial"/>
                <w:b w:val="0"/>
                <w:color w:val="18242F"/>
                <w:sz w:val="16"/>
              </w:rPr>
              <w:t>NetworkX</w:t>
            </w:r>
          </w:p>
        </w:tc>
      </w:tr>
      <w:tr>
        <w:tc>
          <w:tcPr>
            <w:tcW w:type="dxa" w:w="3744"/>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JSON Schema/Pydantic validation</w:t>
            </w:r>
          </w:p>
        </w:tc>
        <w:tc>
          <w:tcPr>
            <w:tcW w:type="dxa" w:w="6048"/>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Backend schema validators</w:t>
            </w:r>
          </w:p>
        </w:tc>
      </w:tr>
      <w:tr>
        <w:tc>
          <w:tcPr>
            <w:tcW w:type="dxa" w:w="3744"/>
            <w:vAlign w:val="center"/>
            <w:tcMar>
              <w:top w:w="90" w:type="dxa"/>
              <w:start w:w="110" w:type="dxa"/>
              <w:bottom w:w="90" w:type="dxa"/>
              <w:end w:w="110" w:type="dxa"/>
            </w:tcMar>
          </w:tcPr>
          <w:p>
            <w:pPr>
              <w:spacing w:after="0" w:line="240" w:lineRule="auto"/>
            </w:pPr>
            <w:r/>
            <w:r>
              <w:rPr>
                <w:rFonts w:ascii="Arial" w:hAnsi="Arial"/>
                <w:b w:val="0"/>
                <w:color w:val="18242F"/>
                <w:sz w:val="16"/>
              </w:rPr>
              <w:t>RAG retrieval filters</w:t>
            </w:r>
          </w:p>
        </w:tc>
        <w:tc>
          <w:tcPr>
            <w:tcW w:type="dxa" w:w="6048"/>
            <w:vAlign w:val="center"/>
            <w:tcMar>
              <w:top w:w="90" w:type="dxa"/>
              <w:start w:w="110" w:type="dxa"/>
              <w:bottom w:w="90" w:type="dxa"/>
              <w:end w:w="110" w:type="dxa"/>
            </w:tcMar>
          </w:tcPr>
          <w:p>
            <w:pPr>
              <w:spacing w:after="0" w:line="240" w:lineRule="auto"/>
            </w:pPr>
            <w:r/>
            <w:r>
              <w:rPr>
                <w:rFonts w:ascii="Arial" w:hAnsi="Arial"/>
                <w:b w:val="0"/>
                <w:color w:val="18242F"/>
                <w:sz w:val="16"/>
              </w:rPr>
              <w:t>Qdrant query filters with case/tenant constraints</w:t>
            </w:r>
          </w:p>
        </w:tc>
      </w:tr>
    </w:tbl>
    <w:p>
      <w:pPr>
        <w:spacing w:after="20"/>
      </w:pPr>
    </w:p>
    <w:p>
      <w:pPr>
        <w:pStyle w:val="Heading2"/>
      </w:pPr>
      <w:r>
        <w:t>4.4 Latency strategy</w:t>
      </w:r>
    </w:p>
    <w:p>
      <w:pPr>
        <w:pStyle w:val="ListBullet"/>
        <w:spacing w:after="40"/>
        <w:ind w:left="360"/>
      </w:pPr>
      <w:r>
        <w:t>Prefer one structured planning call per run; do not call the core LLM for every trivial deterministic task.</w:t>
      </w:r>
    </w:p>
    <w:p>
      <w:pPr>
        <w:pStyle w:val="ListBullet"/>
        <w:spacing w:after="40"/>
        <w:ind w:left="360"/>
      </w:pPr>
      <w:r>
        <w:t>Parallelize independent tasks only when their dependencies and resource budgets permit.</w:t>
      </w:r>
    </w:p>
    <w:p>
      <w:pPr>
        <w:pStyle w:val="ListBullet"/>
        <w:spacing w:after="40"/>
        <w:ind w:left="360"/>
      </w:pPr>
      <w:r>
        <w:t>Set max output tokens, task timeouts, concurrency caps and a per-run token/cost budget.</w:t>
      </w:r>
    </w:p>
    <w:p>
      <w:pPr>
        <w:pStyle w:val="ListBullet"/>
        <w:spacing w:after="40"/>
        <w:ind w:left="360"/>
      </w:pPr>
      <w:r>
        <w:t>Cache safe deterministic document parsing and embeddings by source hash; invalidate on parser/model version changes.</w:t>
      </w:r>
    </w:p>
    <w:p>
      <w:pPr>
        <w:pStyle w:val="ListBullet"/>
        <w:spacing w:after="40"/>
        <w:ind w:left="360"/>
      </w:pPr>
      <w:r>
        <w:t>Use short spoken summaries and keep detailed evidence reports on screen.</w:t>
      </w:r>
    </w:p>
    <w:p>
      <w:pPr>
        <w:pStyle w:val="ListBullet"/>
        <w:spacing w:after="40"/>
        <w:ind w:left="360"/>
      </w:pPr>
      <w:r>
        <w:t>Measure p50/p95 model time, first response time, retrieval time and UI event lag separately.</w:t>
      </w:r>
    </w:p>
    <w:p>
      <w:pPr>
        <w:pStyle w:val="Heading1"/>
      </w:pPr>
      <w:r>
        <w:t>5. Riva-AGI code reuse and refactoring plan</w:t>
      </w:r>
    </w:p>
    <w:p>
      <w:r>
        <w:rPr>
          <w:i w:val="0"/>
        </w:rPr>
        <w:t>This section is based on the uploaded `Riva-AGI---Copy-main.zip` codebase reviewed for TATTVA integration. Existing modules are a starting point, not production-ready guarantees. Paths below identify likely reuse points and recommended changes.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vAlign w:val="center"/>
            <w:tcMar>
              <w:top w:w="90" w:type="dxa"/>
              <w:start w:w="110" w:type="dxa"/>
              <w:bottom w:w="90" w:type="dxa"/>
              <w:end w:w="110" w:type="dxa"/>
            </w:tcMar>
            <w:shd w:fill="1D3B55"/>
          </w:tcPr>
          <w:p>
            <w:pPr>
              <w:spacing w:after="0" w:line="240" w:lineRule="auto"/>
            </w:pPr>
            <w:r/>
            <w:r>
              <w:rPr>
                <w:rFonts w:ascii="Arial" w:hAnsi="Arial"/>
                <w:b/>
                <w:color w:val="FFFFFF"/>
                <w:sz w:val="16"/>
              </w:rPr>
              <w:t>Existing path / subsystem</w:t>
            </w:r>
          </w:p>
        </w:tc>
        <w:tc>
          <w:tcPr>
            <w:tcW w:type="dxa" w:w="2592"/>
            <w:vAlign w:val="center"/>
            <w:tcMar>
              <w:top w:w="90" w:type="dxa"/>
              <w:start w:w="110" w:type="dxa"/>
              <w:bottom w:w="90" w:type="dxa"/>
              <w:end w:w="110" w:type="dxa"/>
            </w:tcMar>
            <w:shd w:fill="1D3B55"/>
          </w:tcPr>
          <w:p>
            <w:pPr>
              <w:spacing w:after="0" w:line="240" w:lineRule="auto"/>
            </w:pPr>
            <w:r/>
            <w:r>
              <w:rPr>
                <w:rFonts w:ascii="Arial" w:hAnsi="Arial"/>
                <w:b/>
                <w:color w:val="FFFFFF"/>
                <w:sz w:val="16"/>
              </w:rPr>
              <w:t>Reuse value</w:t>
            </w:r>
          </w:p>
        </w:tc>
        <w:tc>
          <w:tcPr>
            <w:tcW w:type="dxa" w:w="4248"/>
            <w:vAlign w:val="center"/>
            <w:tcMar>
              <w:top w:w="90" w:type="dxa"/>
              <w:start w:w="110" w:type="dxa"/>
              <w:bottom w:w="90" w:type="dxa"/>
              <w:end w:w="110" w:type="dxa"/>
            </w:tcMar>
            <w:shd w:fill="1D3B55"/>
          </w:tcPr>
          <w:p>
            <w:pPr>
              <w:spacing w:after="0" w:line="240" w:lineRule="auto"/>
            </w:pPr>
            <w:r/>
            <w:r>
              <w:rPr>
                <w:rFonts w:ascii="Arial" w:hAnsi="Arial"/>
                <w:b/>
                <w:color w:val="FFFFFF"/>
                <w:sz w:val="16"/>
              </w:rPr>
              <w:t>Required change before TATTVA</w:t>
            </w:r>
          </w:p>
        </w:tc>
      </w:tr>
      <w:tr>
        <w:tc>
          <w:tcPr>
            <w:tcW w:type="dxa" w:w="2952"/>
            <w:vAlign w:val="center"/>
            <w:tcMar>
              <w:top w:w="90" w:type="dxa"/>
              <w:start w:w="110" w:type="dxa"/>
              <w:bottom w:w="90" w:type="dxa"/>
              <w:end w:w="110" w:type="dxa"/>
            </w:tcMar>
          </w:tcPr>
          <w:p>
            <w:pPr>
              <w:spacing w:after="0" w:line="240" w:lineRule="auto"/>
            </w:pPr>
            <w:r/>
            <w:r>
              <w:rPr>
                <w:rFonts w:ascii="Arial" w:hAnsi="Arial"/>
                <w:b w:val="0"/>
                <w:color w:val="18242F"/>
                <w:sz w:val="14"/>
              </w:rPr>
              <w:t>`voice_speech/engine/gemini/streaming.py`, `session.py`</w:t>
            </w:r>
          </w:p>
        </w:tc>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4"/>
              </w:rPr>
              <w:t>Realtime Gemini Live audio/session handling</w:t>
            </w:r>
          </w:p>
        </w:tc>
        <w:tc>
          <w:tcPr>
            <w:tcW w:type="dxa" w:w="4248"/>
            <w:vAlign w:val="center"/>
            <w:tcMar>
              <w:top w:w="90" w:type="dxa"/>
              <w:start w:w="110" w:type="dxa"/>
              <w:bottom w:w="90" w:type="dxa"/>
              <w:end w:w="110" w:type="dxa"/>
            </w:tcMar>
          </w:tcPr>
          <w:p>
            <w:pPr>
              <w:spacing w:after="0" w:line="240" w:lineRule="auto"/>
            </w:pPr>
            <w:r/>
            <w:r>
              <w:rPr>
                <w:rFonts w:ascii="Arial" w:hAnsi="Arial"/>
                <w:b w:val="0"/>
                <w:color w:val="18242F"/>
                <w:sz w:val="14"/>
              </w:rPr>
              <w:t>Keep session handling; add explicit transcript event emission, run/case correlation, graceful reconnect and bounded tool response handling.</w:t>
            </w:r>
          </w:p>
        </w:tc>
      </w:tr>
      <w:tr>
        <w:tc>
          <w:tcPr>
            <w:tcW w:type="dxa" w:w="295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`voice_speech/engine/gemini/tools.py`</w:t>
            </w:r>
          </w:p>
        </w:tc>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Existing voice tool registration and orchestration call</w:t>
            </w:r>
          </w:p>
        </w:tc>
        <w:tc>
          <w:tcPr>
            <w:tcW w:type="dxa" w:w="424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Replace broad generic task tool with TATTVA allowlisted tools; validate case/run IDs, action schema and actor permissions on server.</w:t>
            </w:r>
          </w:p>
        </w:tc>
      </w:tr>
      <w:tr>
        <w:tc>
          <w:tcPr>
            <w:tcW w:type="dxa" w:w="2952"/>
            <w:vAlign w:val="center"/>
            <w:tcMar>
              <w:top w:w="90" w:type="dxa"/>
              <w:start w:w="110" w:type="dxa"/>
              <w:bottom w:w="90" w:type="dxa"/>
              <w:end w:w="110" w:type="dxa"/>
            </w:tcMar>
          </w:tcPr>
          <w:p>
            <w:pPr>
              <w:spacing w:after="0" w:line="240" w:lineRule="auto"/>
            </w:pPr>
            <w:r/>
            <w:r>
              <w:rPr>
                <w:rFonts w:ascii="Arial" w:hAnsi="Arial"/>
                <w:b w:val="0"/>
                <w:color w:val="18242F"/>
                <w:sz w:val="14"/>
              </w:rPr>
              <w:t>`voice_speech/web_server.py`, `voice_speech/web/*`</w:t>
            </w:r>
          </w:p>
        </w:tc>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4"/>
              </w:rPr>
              <w:t>Browser microphone/audio UI and WebSocket gateway</w:t>
            </w:r>
          </w:p>
        </w:tc>
        <w:tc>
          <w:tcPr>
            <w:tcW w:type="dxa" w:w="4248"/>
            <w:vAlign w:val="center"/>
            <w:tcMar>
              <w:top w:w="90" w:type="dxa"/>
              <w:start w:w="110" w:type="dxa"/>
              <w:bottom w:w="90" w:type="dxa"/>
              <w:end w:w="110" w:type="dxa"/>
            </w:tcMar>
          </w:tcPr>
          <w:p>
            <w:pPr>
              <w:spacing w:after="0" w:line="240" w:lineRule="auto"/>
            </w:pPr>
            <w:r/>
            <w:r>
              <w:rPr>
                <w:rFonts w:ascii="Arial" w:hAnsi="Arial"/>
                <w:b w:val="0"/>
                <w:color w:val="18242F"/>
                <w:sz w:val="14"/>
              </w:rPr>
              <w:t>Add run-status binding, event stream connection, clear transcript confirmation and visible failure fallback.</w:t>
            </w:r>
          </w:p>
        </w:tc>
      </w:tr>
      <w:tr>
        <w:tc>
          <w:tcPr>
            <w:tcW w:type="dxa" w:w="295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`orchestration/orchestrator/main.py`</w:t>
            </w:r>
          </w:p>
        </w:tc>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Current orchestrator graph/control-flow base</w:t>
            </w:r>
          </w:p>
        </w:tc>
        <w:tc>
          <w:tcPr>
            <w:tcW w:type="dxa" w:w="424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Refactor worker dispatch so each task receives its actual TaskSpec/subtask, not only original request; persist run/task state.</w:t>
            </w:r>
          </w:p>
        </w:tc>
      </w:tr>
      <w:tr>
        <w:tc>
          <w:tcPr>
            <w:tcW w:type="dxa" w:w="2952"/>
            <w:vAlign w:val="center"/>
            <w:tcMar>
              <w:top w:w="90" w:type="dxa"/>
              <w:start w:w="110" w:type="dxa"/>
              <w:bottom w:w="90" w:type="dxa"/>
              <w:end w:w="110" w:type="dxa"/>
            </w:tcMar>
          </w:tcPr>
          <w:p>
            <w:pPr>
              <w:spacing w:after="0" w:line="240" w:lineRule="auto"/>
            </w:pPr>
            <w:r/>
            <w:r>
              <w:rPr>
                <w:rFonts w:ascii="Arial" w:hAnsi="Arial"/>
                <w:b w:val="0"/>
                <w:color w:val="18242F"/>
                <w:sz w:val="14"/>
              </w:rPr>
              <w:t>`orchestration/orchestrator/planner.py`, `executor.py`</w:t>
            </w:r>
          </w:p>
        </w:tc>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4"/>
              </w:rPr>
              <w:t>Planning/execution base</w:t>
            </w:r>
          </w:p>
        </w:tc>
        <w:tc>
          <w:tcPr>
            <w:tcW w:type="dxa" w:w="4248"/>
            <w:vAlign w:val="center"/>
            <w:tcMar>
              <w:top w:w="90" w:type="dxa"/>
              <w:start w:w="110" w:type="dxa"/>
              <w:bottom w:w="90" w:type="dxa"/>
              <w:end w:w="110" w:type="dxa"/>
            </w:tcMar>
          </w:tcPr>
          <w:p>
            <w:pPr>
              <w:spacing w:after="0" w:line="240" w:lineRule="auto"/>
            </w:pPr>
            <w:r/>
            <w:r>
              <w:rPr>
                <w:rFonts w:ascii="Arial" w:hAnsi="Arial"/>
                <w:b w:val="0"/>
                <w:color w:val="18242F"/>
                <w:sz w:val="14"/>
              </w:rPr>
              <w:t>Use allowlisted templates and a validated DAG; enforce dependencies, current-step progress, timeouts and retry limits.</w:t>
            </w:r>
          </w:p>
        </w:tc>
      </w:tr>
      <w:tr>
        <w:tc>
          <w:tcPr>
            <w:tcW w:type="dxa" w:w="295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`orchestration/orchestrator/reviewer.py`</w:t>
            </w:r>
          </w:p>
        </w:tc>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Review stage concept</w:t>
            </w:r>
          </w:p>
        </w:tc>
        <w:tc>
          <w:tcPr>
            <w:tcW w:type="dxa" w:w="424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Fail closed: parse errors/timeouts must become `review_failed` or `needs_review`, never default to approved.</w:t>
            </w:r>
          </w:p>
        </w:tc>
      </w:tr>
      <w:tr>
        <w:tc>
          <w:tcPr>
            <w:tcW w:type="dxa" w:w="2952"/>
            <w:vAlign w:val="center"/>
            <w:tcMar>
              <w:top w:w="90" w:type="dxa"/>
              <w:start w:w="110" w:type="dxa"/>
              <w:bottom w:w="90" w:type="dxa"/>
              <w:end w:w="110" w:type="dxa"/>
            </w:tcMar>
          </w:tcPr>
          <w:p>
            <w:pPr>
              <w:spacing w:after="0" w:line="240" w:lineRule="auto"/>
            </w:pPr>
            <w:r/>
            <w:r>
              <w:rPr>
                <w:rFonts w:ascii="Arial" w:hAnsi="Arial"/>
                <w:b w:val="0"/>
                <w:color w:val="18242F"/>
                <w:sz w:val="14"/>
              </w:rPr>
              <w:t>`orchestration/orchestrator/state_manager.py`</w:t>
            </w:r>
          </w:p>
        </w:tc>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4"/>
              </w:rPr>
              <w:t>Existing task-state logic</w:t>
            </w:r>
          </w:p>
        </w:tc>
        <w:tc>
          <w:tcPr>
            <w:tcW w:type="dxa" w:w="4248"/>
            <w:vAlign w:val="center"/>
            <w:tcMar>
              <w:top w:w="90" w:type="dxa"/>
              <w:start w:w="110" w:type="dxa"/>
              <w:bottom w:w="90" w:type="dxa"/>
              <w:end w:w="110" w:type="dxa"/>
            </w:tcMar>
          </w:tcPr>
          <w:p>
            <w:pPr>
              <w:spacing w:after="0" w:line="240" w:lineRule="auto"/>
            </w:pPr>
            <w:r/>
            <w:r>
              <w:rPr>
                <w:rFonts w:ascii="Arial" w:hAnsi="Arial"/>
                <w:b w:val="0"/>
                <w:color w:val="18242F"/>
                <w:sz w:val="14"/>
              </w:rPr>
              <w:t>Add durable MongoDB repository and stable states; Redis may coordinate queue but cannot be sole run history.</w:t>
            </w:r>
          </w:p>
        </w:tc>
      </w:tr>
      <w:tr>
        <w:tc>
          <w:tcPr>
            <w:tcW w:type="dxa" w:w="295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`rag_knowledge/ingestion/ingest.py`</w:t>
            </w:r>
          </w:p>
        </w:tc>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Multi-format document ingestion</w:t>
            </w:r>
          </w:p>
        </w:tc>
        <w:tc>
          <w:tcPr>
            <w:tcW w:type="dxa" w:w="424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Add case_id/document_id/source_hash/page+offset provenance to every chunk and strict per-case access controls.</w:t>
            </w:r>
          </w:p>
        </w:tc>
      </w:tr>
      <w:tr>
        <w:tc>
          <w:tcPr>
            <w:tcW w:type="dxa" w:w="2952"/>
            <w:vAlign w:val="center"/>
            <w:tcMar>
              <w:top w:w="90" w:type="dxa"/>
              <w:start w:w="110" w:type="dxa"/>
              <w:bottom w:w="90" w:type="dxa"/>
              <w:end w:w="110" w:type="dxa"/>
            </w:tcMar>
          </w:tcPr>
          <w:p>
            <w:pPr>
              <w:spacing w:after="0" w:line="240" w:lineRule="auto"/>
            </w:pPr>
            <w:r/>
            <w:r>
              <w:rPr>
                <w:rFonts w:ascii="Arial" w:hAnsi="Arial"/>
                <w:b w:val="0"/>
                <w:color w:val="18242F"/>
                <w:sz w:val="14"/>
              </w:rPr>
              <w:t>`rag_knowledge/retrieval/retriever.py`, `storage/qdrant_storage.py`</w:t>
            </w:r>
          </w:p>
        </w:tc>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4"/>
              </w:rPr>
              <w:t>Vector search and storage</w:t>
            </w:r>
          </w:p>
        </w:tc>
        <w:tc>
          <w:tcPr>
            <w:tcW w:type="dxa" w:w="4248"/>
            <w:vAlign w:val="center"/>
            <w:tcMar>
              <w:top w:w="90" w:type="dxa"/>
              <w:start w:w="110" w:type="dxa"/>
              <w:bottom w:w="90" w:type="dxa"/>
              <w:end w:w="110" w:type="dxa"/>
            </w:tcMar>
          </w:tcPr>
          <w:p>
            <w:pPr>
              <w:spacing w:after="0" w:line="240" w:lineRule="auto"/>
            </w:pPr>
            <w:r/>
            <w:r>
              <w:rPr>
                <w:rFonts w:ascii="Arial" w:hAnsi="Arial"/>
                <w:b w:val="0"/>
                <w:color w:val="18242F"/>
                <w:sz w:val="14"/>
              </w:rPr>
              <w:t>Require case/tenant filter on every query; add payload indexes for filtering fields and citation-preserving results.</w:t>
            </w:r>
          </w:p>
        </w:tc>
      </w:tr>
      <w:tr>
        <w:tc>
          <w:tcPr>
            <w:tcW w:type="dxa" w:w="295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`rag_knowledge/clients/gemini_client.py`</w:t>
            </w:r>
          </w:p>
        </w:tc>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Current RAG synthesis client</w:t>
            </w:r>
          </w:p>
        </w:tc>
        <w:tc>
          <w:tcPr>
            <w:tcW w:type="dxa" w:w="424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Introduce shared CoreLLMProvider and route RAG synthesis through the chosen hosted core model; retain Gemini only for voice if that remains the design.</w:t>
            </w:r>
          </w:p>
        </w:tc>
      </w:tr>
      <w:tr>
        <w:tc>
          <w:tcPr>
            <w:tcW w:type="dxa" w:w="2952"/>
            <w:vAlign w:val="center"/>
            <w:tcMar>
              <w:top w:w="90" w:type="dxa"/>
              <w:start w:w="110" w:type="dxa"/>
              <w:bottom w:w="90" w:type="dxa"/>
              <w:end w:w="110" w:type="dxa"/>
            </w:tcMar>
          </w:tcPr>
          <w:p>
            <w:pPr>
              <w:spacing w:after="0" w:line="240" w:lineRule="auto"/>
            </w:pPr>
            <w:r/>
            <w:r>
              <w:rPr>
                <w:rFonts w:ascii="Arial" w:hAnsi="Arial"/>
                <w:b w:val="0"/>
                <w:color w:val="18242F"/>
                <w:sz w:val="14"/>
              </w:rPr>
              <w:t>`observability/*`</w:t>
            </w:r>
          </w:p>
        </w:tc>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4"/>
              </w:rPr>
              <w:t>Structured logging and metrics foundations</w:t>
            </w:r>
          </w:p>
        </w:tc>
        <w:tc>
          <w:tcPr>
            <w:tcW w:type="dxa" w:w="4248"/>
            <w:vAlign w:val="center"/>
            <w:tcMar>
              <w:top w:w="90" w:type="dxa"/>
              <w:start w:w="110" w:type="dxa"/>
              <w:bottom w:w="90" w:type="dxa"/>
              <w:end w:w="110" w:type="dxa"/>
            </w:tcMar>
          </w:tcPr>
          <w:p>
            <w:pPr>
              <w:spacing w:after="0" w:line="240" w:lineRule="auto"/>
            </w:pPr>
            <w:r/>
            <w:r>
              <w:rPr>
                <w:rFonts w:ascii="Arial" w:hAnsi="Arial"/>
                <w:b w:val="0"/>
                <w:color w:val="18242F"/>
                <w:sz w:val="14"/>
              </w:rPr>
              <w:t>Use correlation/run/task IDs, redact sensitive data, and publish safe UI events without raw case text.</w:t>
            </w:r>
          </w:p>
        </w:tc>
      </w:tr>
      <w:tr>
        <w:tc>
          <w:tcPr>
            <w:tcW w:type="dxa" w:w="295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`docker-compose.yml` and frontend</w:t>
            </w:r>
          </w:p>
        </w:tc>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Local dev and UI baseline</w:t>
            </w:r>
          </w:p>
        </w:tc>
        <w:tc>
          <w:tcPr>
            <w:tcW w:type="dxa" w:w="424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Add/verify API, worker, Redis, MongoDB, Qdrant, file volume and environment wiring; replace simulation with backend event stream.</w:t>
            </w:r>
          </w:p>
        </w:tc>
      </w:tr>
    </w:tbl>
    <w:p>
      <w:pPr>
        <w:spacing w:after="20"/>
      </w:pPr>
    </w:p>
    <w:p>
      <w:pPr>
        <w:pStyle w:val="Heading2"/>
      </w:pPr>
      <w:r>
        <w:t>5.1 High-priority correctness fixes</w:t>
      </w:r>
    </w:p>
    <w:p>
      <w:pPr>
        <w:pStyle w:val="ListNumber"/>
        <w:spacing w:after="40"/>
      </w:pPr>
      <w:r>
        <w:t>Task dispatch: every worker receives the assigned `TaskSpec`, validated input payload, allowed tool set and dependency outputs. It must not be sent only the original user request.</w:t>
      </w:r>
    </w:p>
    <w:p>
      <w:pPr>
        <w:pStyle w:val="ListNumber"/>
        <w:spacing w:after="40"/>
      </w:pPr>
      <w:r>
        <w:t>Task progression: update current task index/status transactionally or with optimistic concurrency; avoid repeating the same plan step indefinitely.</w:t>
      </w:r>
    </w:p>
    <w:p>
      <w:pPr>
        <w:pStyle w:val="ListNumber"/>
        <w:spacing w:after="40"/>
      </w:pPr>
      <w:r>
        <w:t>Reviewer fail-closed: malformed reviewer JSON, timeout or provider error cannot set a result to approved.</w:t>
      </w:r>
    </w:p>
    <w:p>
      <w:pPr>
        <w:pStyle w:val="ListNumber"/>
        <w:spacing w:after="40"/>
      </w:pPr>
      <w:r>
        <w:t>Tool permission boundary: generic system/file/web tools must not be exposed to case agents by default. Register only narrow domain tools.</w:t>
      </w:r>
    </w:p>
    <w:p>
      <w:pPr>
        <w:pStyle w:val="ListNumber"/>
        <w:spacing w:after="40"/>
      </w:pPr>
      <w:r>
        <w:t>RAG isolation: every query requires case/tenant authorization and an explicit filter; missing case_id is an error, not an unfiltered search.</w:t>
      </w:r>
    </w:p>
    <w:p>
      <w:pPr>
        <w:pStyle w:val="ListNumber"/>
        <w:spacing w:after="40"/>
      </w:pPr>
      <w:r>
        <w:t>Event integrity: publish only after a state transition is stored successfully; avoid emitting “complete” before task persistence.</w:t>
      </w:r>
    </w:p>
    <w:tbl>
      <w:tblPr>
        <w:tblW w:type="auto" w:w="0"/>
        <w:jc w:val="center"/>
        <w:tblLook w:firstColumn="1" w:firstRow="1" w:lastColumn="0" w:lastRow="0" w:noHBand="0" w:noVBand="1" w:val="04A0"/>
      </w:tblPr>
      <w:tblGrid>
        <w:gridCol w:w="10166"/>
      </w:tblGrid>
      <w:tr>
        <w:tc>
          <w:tcPr>
            <w:tcW w:type="dxa" w:w="10166"/>
            <w:shd w:fill="E7F5F4"/>
            <w:tcMar>
              <w:top w:w="140" w:type="dxa"/>
              <w:start w:w="180" w:type="dxa"/>
              <w:bottom w:w="140" w:type="dxa"/>
              <w:end w:w="180" w:type="dxa"/>
            </w:tcMar>
          </w:tcPr>
          <w:p>
            <w:pPr>
              <w:spacing w:after="60"/>
            </w:pPr>
            <w:r/>
            <w:r>
              <w:rPr>
                <w:b/>
                <w:color w:val="0F8B8D"/>
                <w:sz w:val="20"/>
              </w:rPr>
              <w:t>Reuse principle</w:t>
            </w:r>
          </w:p>
          <w:p>
            <w:pPr>
              <w:spacing w:after="0" w:line="252" w:lineRule="auto"/>
            </w:pPr>
            <w:r>
              <w:rPr>
                <w:color w:val="18242F"/>
                <w:sz w:val="18"/>
              </w:rPr>
              <w:t>Reuse mature plumbing (voice sessions, parsing, vector store, observability). Refactor domain semantics (generic agents, task plan, tools, evidence model and access controls) for TATTVA. Do not copy the generic system tool permissions into the investigation runtime.</w:t>
            </w:r>
          </w:p>
        </w:tc>
      </w:tr>
    </w:tbl>
    <w:p>
      <w:pPr>
        <w:spacing w:after="20"/>
      </w:pPr>
    </w:p>
    <w:p>
      <w:pPr>
        <w:pStyle w:val="Heading1"/>
      </w:pPr>
      <w:r>
        <w:t>6. Backend repository structure</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backend/</w:t>
            </w:r>
          </w:p>
          <w:p>
            <w:pPr>
              <w:pStyle w:val="TATTVACode"/>
              <w:keepLines/>
            </w:pPr>
            <w:r>
              <w:rPr>
                <w:rFonts w:ascii="Consolas" w:hAnsi="Consolas"/>
                <w:color w:val="203448"/>
                <w:sz w:val="14"/>
              </w:rPr>
              <w:t xml:space="preserve">  app/</w:t>
            </w:r>
          </w:p>
          <w:p>
            <w:pPr>
              <w:pStyle w:val="TATTVACode"/>
              <w:keepLines/>
            </w:pPr>
            <w:r>
              <w:rPr>
                <w:rFonts w:ascii="Consolas" w:hAnsi="Consolas"/>
                <w:color w:val="203448"/>
                <w:sz w:val="14"/>
              </w:rPr>
              <w:t xml:space="preserve">    main.py</w:t>
            </w:r>
          </w:p>
          <w:p>
            <w:pPr>
              <w:pStyle w:val="TATTVACode"/>
              <w:keepLines/>
            </w:pPr>
            <w:r>
              <w:rPr>
                <w:rFonts w:ascii="Consolas" w:hAnsi="Consolas"/>
                <w:color w:val="203448"/>
                <w:sz w:val="14"/>
              </w:rPr>
              <w:t xml:space="preserve">    config.py</w:t>
            </w:r>
          </w:p>
          <w:p>
            <w:pPr>
              <w:pStyle w:val="TATTVACode"/>
              <w:keepLines/>
            </w:pPr>
            <w:r>
              <w:rPr>
                <w:rFonts w:ascii="Consolas" w:hAnsi="Consolas"/>
                <w:color w:val="203448"/>
                <w:sz w:val="14"/>
              </w:rPr>
              <w:t xml:space="preserve">    dependencies.py</w:t>
            </w:r>
          </w:p>
          <w:p>
            <w:pPr>
              <w:pStyle w:val="TATTVACode"/>
              <w:keepLines/>
            </w:pPr>
            <w:r>
              <w:rPr>
                <w:rFonts w:ascii="Consolas" w:hAnsi="Consolas"/>
                <w:color w:val="203448"/>
                <w:sz w:val="14"/>
              </w:rPr>
              <w:t xml:space="preserve">    api/v1/</w:t>
            </w:r>
          </w:p>
          <w:p>
            <w:pPr>
              <w:pStyle w:val="TATTVACode"/>
              <w:keepLines/>
            </w:pPr>
            <w:r>
              <w:rPr>
                <w:rFonts w:ascii="Consolas" w:hAnsi="Consolas"/>
                <w:color w:val="203448"/>
                <w:sz w:val="14"/>
              </w:rPr>
              <w:t xml:space="preserve">      auth.py</w:t>
            </w:r>
          </w:p>
          <w:p>
            <w:pPr>
              <w:pStyle w:val="TATTVACode"/>
              <w:keepLines/>
            </w:pPr>
            <w:r>
              <w:rPr>
                <w:rFonts w:ascii="Consolas" w:hAnsi="Consolas"/>
                <w:color w:val="203448"/>
                <w:sz w:val="14"/>
              </w:rPr>
              <w:t xml:space="preserve">      cases.py</w:t>
            </w:r>
          </w:p>
          <w:p>
            <w:pPr>
              <w:pStyle w:val="TATTVACode"/>
              <w:keepLines/>
            </w:pPr>
            <w:r>
              <w:rPr>
                <w:rFonts w:ascii="Consolas" w:hAnsi="Consolas"/>
                <w:color w:val="203448"/>
                <w:sz w:val="14"/>
              </w:rPr>
              <w:t xml:space="preserve">      documents.py</w:t>
            </w:r>
          </w:p>
          <w:p>
            <w:pPr>
              <w:pStyle w:val="TATTVACode"/>
              <w:keepLines/>
            </w:pPr>
            <w:r>
              <w:rPr>
                <w:rFonts w:ascii="Consolas" w:hAnsi="Consolas"/>
                <w:color w:val="203448"/>
                <w:sz w:val="14"/>
              </w:rPr>
              <w:t xml:space="preserve">      analysis_runs.py</w:t>
            </w:r>
          </w:p>
          <w:p>
            <w:pPr>
              <w:pStyle w:val="TATTVACode"/>
              <w:keepLines/>
            </w:pPr>
            <w:r>
              <w:rPr>
                <w:rFonts w:ascii="Consolas" w:hAnsi="Consolas"/>
                <w:color w:val="203448"/>
                <w:sz w:val="14"/>
              </w:rPr>
              <w:t xml:space="preserve">      entities.py</w:t>
            </w:r>
          </w:p>
          <w:p>
            <w:pPr>
              <w:pStyle w:val="TATTVACode"/>
              <w:keepLines/>
            </w:pPr>
            <w:r>
              <w:rPr>
                <w:rFonts w:ascii="Consolas" w:hAnsi="Consolas"/>
                <w:color w:val="203448"/>
                <w:sz w:val="14"/>
              </w:rPr>
              <w:t xml:space="preserve">      relationships.py</w:t>
            </w:r>
          </w:p>
          <w:p>
            <w:pPr>
              <w:pStyle w:val="TATTVACode"/>
              <w:keepLines/>
            </w:pPr>
            <w:r>
              <w:rPr>
                <w:rFonts w:ascii="Consolas" w:hAnsi="Consolas"/>
                <w:color w:val="203448"/>
                <w:sz w:val="14"/>
              </w:rPr>
              <w:t xml:space="preserve">      graph.py</w:t>
            </w:r>
          </w:p>
          <w:p>
            <w:pPr>
              <w:pStyle w:val="TATTVACode"/>
              <w:keepLines/>
            </w:pPr>
            <w:r>
              <w:rPr>
                <w:rFonts w:ascii="Consolas" w:hAnsi="Consolas"/>
                <w:color w:val="203448"/>
                <w:sz w:val="14"/>
              </w:rPr>
              <w:t xml:space="preserve">      findings.py</w:t>
            </w:r>
          </w:p>
          <w:p>
            <w:pPr>
              <w:pStyle w:val="TATTVACode"/>
              <w:keepLines/>
            </w:pPr>
            <w:r>
              <w:rPr>
                <w:rFonts w:ascii="Consolas" w:hAnsi="Consolas"/>
                <w:color w:val="203448"/>
                <w:sz w:val="14"/>
              </w:rPr>
              <w:t xml:space="preserve">      reports.py</w:t>
            </w:r>
          </w:p>
          <w:p>
            <w:pPr>
              <w:pStyle w:val="TATTVACode"/>
              <w:keepLines/>
            </w:pPr>
            <w:r>
              <w:rPr>
                <w:rFonts w:ascii="Consolas" w:hAnsi="Consolas"/>
                <w:color w:val="203448"/>
                <w:sz w:val="14"/>
              </w:rPr>
              <w:t xml:space="preserve">      voice.py</w:t>
            </w:r>
          </w:p>
          <w:p>
            <w:pPr>
              <w:pStyle w:val="TATTVACode"/>
              <w:keepLines/>
            </w:pPr>
            <w:r>
              <w:rPr>
                <w:rFonts w:ascii="Consolas" w:hAnsi="Consolas"/>
                <w:color w:val="203448"/>
                <w:sz w:val="14"/>
              </w:rPr>
              <w:t xml:space="preserve">      health.py</w:t>
            </w:r>
          </w:p>
          <w:p>
            <w:pPr>
              <w:pStyle w:val="TATTVACode"/>
              <w:keepLines/>
            </w:pPr>
            <w:r>
              <w:rPr>
                <w:rFonts w:ascii="Consolas" w:hAnsi="Consolas"/>
                <w:color w:val="203448"/>
                <w:sz w:val="14"/>
              </w:rPr>
              <w:t xml:space="preserve">    core/</w:t>
            </w:r>
          </w:p>
          <w:p>
            <w:pPr>
              <w:pStyle w:val="TATTVACode"/>
              <w:keepLines/>
            </w:pPr>
            <w:r>
              <w:rPr>
                <w:rFonts w:ascii="Consolas" w:hAnsi="Consolas"/>
                <w:color w:val="203448"/>
                <w:sz w:val="14"/>
              </w:rPr>
              <w:t xml:space="preserve">      errors.py</w:t>
            </w:r>
          </w:p>
          <w:p>
            <w:pPr>
              <w:pStyle w:val="TATTVACode"/>
              <w:keepLines/>
            </w:pPr>
            <w:r>
              <w:rPr>
                <w:rFonts w:ascii="Consolas" w:hAnsi="Consolas"/>
                <w:color w:val="203448"/>
                <w:sz w:val="14"/>
              </w:rPr>
              <w:t xml:space="preserve">      logging.py</w:t>
            </w:r>
          </w:p>
          <w:p>
            <w:pPr>
              <w:pStyle w:val="TATTVACode"/>
              <w:keepLines/>
            </w:pPr>
            <w:r>
              <w:rPr>
                <w:rFonts w:ascii="Consolas" w:hAnsi="Consolas"/>
                <w:color w:val="203448"/>
                <w:sz w:val="14"/>
              </w:rPr>
              <w:t xml:space="preserve">      security.py</w:t>
            </w:r>
          </w:p>
          <w:p>
            <w:pPr>
              <w:pStyle w:val="TATTVACode"/>
              <w:keepLines/>
            </w:pPr>
            <w:r>
              <w:rPr>
                <w:rFonts w:ascii="Consolas" w:hAnsi="Consolas"/>
                <w:color w:val="203448"/>
                <w:sz w:val="14"/>
              </w:rPr>
              <w:t xml:space="preserve">      correlation.py</w:t>
            </w:r>
          </w:p>
          <w:p>
            <w:pPr>
              <w:pStyle w:val="TATTVACode"/>
              <w:keepLines/>
            </w:pPr>
            <w:r>
              <w:rPr>
                <w:rFonts w:ascii="Consolas" w:hAnsi="Consolas"/>
                <w:color w:val="203448"/>
                <w:sz w:val="14"/>
              </w:rPr>
              <w:t xml:space="preserve">    domain/</w:t>
            </w:r>
          </w:p>
          <w:p>
            <w:pPr>
              <w:pStyle w:val="TATTVACode"/>
              <w:keepLines/>
            </w:pPr>
            <w:r>
              <w:rPr>
                <w:rFonts w:ascii="Consolas" w:hAnsi="Consolas"/>
                <w:color w:val="203448"/>
                <w:sz w:val="14"/>
              </w:rPr>
              <w:t xml:space="preserve">      enums.py</w:t>
            </w:r>
          </w:p>
          <w:p>
            <w:pPr>
              <w:pStyle w:val="TATTVACode"/>
              <w:keepLines/>
            </w:pPr>
            <w:r>
              <w:rPr>
                <w:rFonts w:ascii="Consolas" w:hAnsi="Consolas"/>
                <w:color w:val="203448"/>
                <w:sz w:val="14"/>
              </w:rPr>
              <w:t xml:space="preserve">      case.py</w:t>
            </w:r>
          </w:p>
          <w:p>
            <w:pPr>
              <w:pStyle w:val="TATTVACode"/>
              <w:keepLines/>
            </w:pPr>
            <w:r>
              <w:rPr>
                <w:rFonts w:ascii="Consolas" w:hAnsi="Consolas"/>
                <w:color w:val="203448"/>
                <w:sz w:val="14"/>
              </w:rPr>
              <w:t xml:space="preserve">      document.py</w:t>
            </w:r>
          </w:p>
          <w:p>
            <w:pPr>
              <w:pStyle w:val="TATTVACode"/>
              <w:keepLines/>
            </w:pPr>
            <w:r>
              <w:rPr>
                <w:rFonts w:ascii="Consolas" w:hAnsi="Consolas"/>
                <w:color w:val="203448"/>
                <w:sz w:val="14"/>
              </w:rPr>
              <w:t xml:space="preserve">      entity.py</w:t>
            </w:r>
          </w:p>
          <w:p>
            <w:pPr>
              <w:pStyle w:val="TATTVACode"/>
              <w:keepLines/>
            </w:pPr>
            <w:r>
              <w:rPr>
                <w:rFonts w:ascii="Consolas" w:hAnsi="Consolas"/>
                <w:color w:val="203448"/>
                <w:sz w:val="14"/>
              </w:rPr>
              <w:t xml:space="preserve">      relationship.py</w:t>
            </w:r>
          </w:p>
          <w:p>
            <w:pPr>
              <w:pStyle w:val="TATTVACode"/>
              <w:keepLines/>
            </w:pPr>
            <w:r>
              <w:rPr>
                <w:rFonts w:ascii="Consolas" w:hAnsi="Consolas"/>
                <w:color w:val="203448"/>
                <w:sz w:val="14"/>
              </w:rPr>
              <w:t xml:space="preserve">      evidence.py</w:t>
            </w:r>
          </w:p>
          <w:p>
            <w:pPr>
              <w:pStyle w:val="TATTVACode"/>
              <w:keepLines/>
            </w:pPr>
            <w:r>
              <w:rPr>
                <w:rFonts w:ascii="Consolas" w:hAnsi="Consolas"/>
                <w:color w:val="203448"/>
                <w:sz w:val="14"/>
              </w:rPr>
              <w:t xml:space="preserve">      finding.py</w:t>
            </w:r>
          </w:p>
          <w:p>
            <w:pPr>
              <w:pStyle w:val="TATTVACode"/>
              <w:keepLines/>
            </w:pPr>
            <w:r>
              <w:rPr>
                <w:rFonts w:ascii="Consolas" w:hAnsi="Consolas"/>
                <w:color w:val="203448"/>
                <w:sz w:val="14"/>
              </w:rPr>
              <w:t xml:space="preserve">      task_spec.py</w:t>
            </w:r>
          </w:p>
          <w:p>
            <w:pPr>
              <w:pStyle w:val="TATTVACode"/>
              <w:keepLines/>
            </w:pPr>
            <w:r>
              <w:rPr>
                <w:rFonts w:ascii="Consolas" w:hAnsi="Consolas"/>
                <w:color w:val="203448"/>
                <w:sz w:val="14"/>
              </w:rPr>
              <w:t xml:space="preserve">      analysis_run.py</w:t>
            </w:r>
          </w:p>
          <w:p>
            <w:pPr>
              <w:pStyle w:val="TATTVACode"/>
              <w:keepLines/>
            </w:pPr>
            <w:r>
              <w:rPr>
                <w:rFonts w:ascii="Consolas" w:hAnsi="Consolas"/>
                <w:color w:val="203448"/>
                <w:sz w:val="14"/>
              </w:rPr>
              <w:t xml:space="preserve">    schemas/</w:t>
            </w:r>
          </w:p>
          <w:p>
            <w:pPr>
              <w:pStyle w:val="TATTVACode"/>
              <w:keepLines/>
            </w:pPr>
            <w:r>
              <w:rPr>
                <w:rFonts w:ascii="Consolas" w:hAnsi="Consolas"/>
                <w:color w:val="203448"/>
                <w:sz w:val="14"/>
              </w:rPr>
              <w:t xml:space="preserve">      requests.py</w:t>
            </w:r>
          </w:p>
          <w:p>
            <w:pPr>
              <w:pStyle w:val="TATTVACode"/>
              <w:keepLines/>
            </w:pPr>
            <w:r>
              <w:rPr>
                <w:rFonts w:ascii="Consolas" w:hAnsi="Consolas"/>
                <w:color w:val="203448"/>
                <w:sz w:val="14"/>
              </w:rPr>
              <w:t xml:space="preserve">      responses.py</w:t>
            </w:r>
          </w:p>
          <w:p>
            <w:pPr>
              <w:pStyle w:val="TATTVACode"/>
              <w:keepLines/>
            </w:pPr>
            <w:r>
              <w:rPr>
                <w:rFonts w:ascii="Consolas" w:hAnsi="Consolas"/>
                <w:color w:val="203448"/>
                <w:sz w:val="14"/>
              </w:rPr>
              <w:t xml:space="preserve">      events.py</w:t>
            </w:r>
          </w:p>
          <w:p>
            <w:pPr>
              <w:pStyle w:val="TATTVACode"/>
              <w:keepLines/>
            </w:pPr>
            <w:r>
              <w:rPr>
                <w:rFonts w:ascii="Consolas" w:hAnsi="Consolas"/>
                <w:color w:val="203448"/>
                <w:sz w:val="14"/>
              </w:rPr>
              <w:t xml:space="preserve">    repositories/</w:t>
            </w:r>
          </w:p>
          <w:p>
            <w:pPr>
              <w:pStyle w:val="TATTVACode"/>
              <w:keepLines/>
            </w:pPr>
            <w:r>
              <w:rPr>
                <w:rFonts w:ascii="Consolas" w:hAnsi="Consolas"/>
                <w:color w:val="203448"/>
                <w:sz w:val="14"/>
              </w:rPr>
              <w:t xml:space="preserve">      cases_repo.py</w:t>
            </w:r>
          </w:p>
          <w:p>
            <w:pPr>
              <w:pStyle w:val="TATTVACode"/>
              <w:keepLines/>
            </w:pPr>
            <w:r>
              <w:rPr>
                <w:rFonts w:ascii="Consolas" w:hAnsi="Consolas"/>
                <w:color w:val="203448"/>
                <w:sz w:val="14"/>
              </w:rPr>
              <w:t xml:space="preserve">      documents_repo.py</w:t>
            </w:r>
          </w:p>
          <w:p>
            <w:pPr>
              <w:pStyle w:val="TATTVACode"/>
              <w:keepLines/>
            </w:pPr>
            <w:r>
              <w:rPr>
                <w:rFonts w:ascii="Consolas" w:hAnsi="Consolas"/>
                <w:color w:val="203448"/>
                <w:sz w:val="14"/>
              </w:rPr>
              <w:t xml:space="preserve">      evidence_repo.py</w:t>
            </w:r>
          </w:p>
          <w:p>
            <w:pPr>
              <w:pStyle w:val="TATTVACode"/>
              <w:keepLines/>
            </w:pPr>
            <w:r>
              <w:rPr>
                <w:rFonts w:ascii="Consolas" w:hAnsi="Consolas"/>
                <w:color w:val="203448"/>
                <w:sz w:val="14"/>
              </w:rPr>
              <w:t xml:space="preserve">      entities_repo.py</w:t>
            </w:r>
          </w:p>
          <w:p>
            <w:pPr>
              <w:pStyle w:val="TATTVACode"/>
              <w:keepLines/>
            </w:pPr>
            <w:r>
              <w:rPr>
                <w:rFonts w:ascii="Consolas" w:hAnsi="Consolas"/>
                <w:color w:val="203448"/>
                <w:sz w:val="14"/>
              </w:rPr>
              <w:t xml:space="preserve">      relationships_repo.py</w:t>
            </w:r>
          </w:p>
          <w:p>
            <w:pPr>
              <w:pStyle w:val="TATTVACode"/>
              <w:keepLines/>
            </w:pPr>
            <w:r>
              <w:rPr>
                <w:rFonts w:ascii="Consolas" w:hAnsi="Consolas"/>
                <w:color w:val="203448"/>
                <w:sz w:val="14"/>
              </w:rPr>
              <w:t xml:space="preserve">      runs_repo.py</w:t>
            </w:r>
          </w:p>
          <w:p>
            <w:pPr>
              <w:pStyle w:val="TATTVACode"/>
              <w:keepLines/>
            </w:pPr>
            <w:r>
              <w:rPr>
                <w:rFonts w:ascii="Consolas" w:hAnsi="Consolas"/>
                <w:color w:val="203448"/>
                <w:sz w:val="14"/>
              </w:rPr>
              <w:t xml:space="preserve">      events_repo.py</w:t>
            </w:r>
          </w:p>
          <w:p>
            <w:pPr>
              <w:pStyle w:val="TATTVACode"/>
              <w:keepLines/>
            </w:pPr>
            <w:r>
              <w:rPr>
                <w:rFonts w:ascii="Consolas" w:hAnsi="Consolas"/>
                <w:color w:val="203448"/>
                <w:sz w:val="14"/>
              </w:rPr>
              <w:t xml:space="preserve">      audit_repo.py</w:t>
            </w:r>
          </w:p>
          <w:p>
            <w:pPr>
              <w:pStyle w:val="TATTVACode"/>
              <w:keepLines/>
            </w:pPr>
            <w:r>
              <w:rPr>
                <w:rFonts w:ascii="Consolas" w:hAnsi="Consolas"/>
                <w:color w:val="203448"/>
                <w:sz w:val="14"/>
              </w:rPr>
              <w:t xml:space="preserve">    services/</w:t>
            </w:r>
          </w:p>
          <w:p>
            <w:pPr>
              <w:pStyle w:val="TATTVACode"/>
              <w:keepLines/>
            </w:pPr>
            <w:r>
              <w:rPr>
                <w:rFonts w:ascii="Consolas" w:hAnsi="Consolas"/>
                <w:color w:val="203448"/>
                <w:sz w:val="14"/>
              </w:rPr>
              <w:t xml:space="preserve">      file_storage.py</w:t>
            </w:r>
          </w:p>
          <w:p>
            <w:pPr>
              <w:pStyle w:val="TATTVACode"/>
              <w:keepLines/>
            </w:pPr>
            <w:r>
              <w:rPr>
                <w:rFonts w:ascii="Consolas" w:hAnsi="Consolas"/>
                <w:color w:val="203448"/>
                <w:sz w:val="14"/>
              </w:rPr>
              <w:t xml:space="preserve">      document_parser.py</w:t>
            </w:r>
          </w:p>
          <w:p>
            <w:pPr>
              <w:pStyle w:val="TATTVACode"/>
              <w:keepLines/>
            </w:pPr>
            <w:r>
              <w:rPr>
                <w:rFonts w:ascii="Consolas" w:hAnsi="Consolas"/>
                <w:color w:val="203448"/>
                <w:sz w:val="14"/>
              </w:rPr>
              <w:t xml:space="preserve">      ingestion_service.py</w:t>
            </w:r>
          </w:p>
          <w:p>
            <w:pPr>
              <w:pStyle w:val="TATTVACode"/>
              <w:keepLines/>
            </w:pPr>
            <w:r>
              <w:rPr>
                <w:rFonts w:ascii="Consolas" w:hAnsi="Consolas"/>
                <w:color w:val="203448"/>
                <w:sz w:val="14"/>
              </w:rPr>
              <w:t xml:space="preserve">      embedding_service.py</w:t>
            </w:r>
          </w:p>
          <w:p>
            <w:pPr>
              <w:pStyle w:val="TATTVACode"/>
              <w:keepLines/>
            </w:pPr>
            <w:r>
              <w:rPr>
                <w:rFonts w:ascii="Consolas" w:hAnsi="Consolas"/>
                <w:color w:val="203448"/>
                <w:sz w:val="14"/>
              </w:rPr>
              <w:t xml:space="preserve">      retrieval_service.py</w:t>
            </w:r>
          </w:p>
          <w:p>
            <w:pPr>
              <w:pStyle w:val="TATTVACode"/>
              <w:keepLines/>
            </w:pPr>
            <w:r>
              <w:rPr>
                <w:rFonts w:ascii="Consolas" w:hAnsi="Consolas"/>
                <w:color w:val="203448"/>
                <w:sz w:val="14"/>
              </w:rPr>
              <w:t xml:space="preserve">      evidence_validator.py</w:t>
            </w:r>
          </w:p>
          <w:p>
            <w:pPr>
              <w:pStyle w:val="TATTVACode"/>
              <w:keepLines/>
            </w:pPr>
            <w:r>
              <w:rPr>
                <w:rFonts w:ascii="Consolas" w:hAnsi="Consolas"/>
                <w:color w:val="203448"/>
                <w:sz w:val="14"/>
              </w:rPr>
              <w:t xml:space="preserve">      graph_service.py</w:t>
            </w:r>
          </w:p>
          <w:p>
            <w:pPr>
              <w:pStyle w:val="TATTVACode"/>
              <w:keepLines/>
            </w:pPr>
            <w:r>
              <w:rPr>
                <w:rFonts w:ascii="Consolas" w:hAnsi="Consolas"/>
                <w:color w:val="203448"/>
                <w:sz w:val="14"/>
              </w:rPr>
              <w:t xml:space="preserve">      anomaly_service.py</w:t>
            </w:r>
          </w:p>
          <w:p>
            <w:pPr>
              <w:pStyle w:val="TATTVACode"/>
              <w:keepLines/>
            </w:pPr>
            <w:r>
              <w:rPr>
                <w:rFonts w:ascii="Consolas" w:hAnsi="Consolas"/>
                <w:color w:val="203448"/>
                <w:sz w:val="14"/>
              </w:rPr>
              <w:t xml:space="preserve">      report_service.py</w:t>
            </w:r>
          </w:p>
          <w:p>
            <w:pPr>
              <w:pStyle w:val="TATTVACode"/>
              <w:keepLines/>
            </w:pPr>
            <w:r>
              <w:rPr>
                <w:rFonts w:ascii="Consolas" w:hAnsi="Consolas"/>
                <w:color w:val="203448"/>
                <w:sz w:val="14"/>
              </w:rPr>
              <w:t xml:space="preserve">    llm/</w:t>
            </w:r>
          </w:p>
          <w:p>
            <w:pPr>
              <w:pStyle w:val="TATTVACode"/>
              <w:keepLines/>
            </w:pPr>
            <w:r>
              <w:rPr>
                <w:rFonts w:ascii="Consolas" w:hAnsi="Consolas"/>
                <w:color w:val="203448"/>
                <w:sz w:val="14"/>
              </w:rPr>
              <w:t xml:space="preserve">      core_provider.py</w:t>
            </w:r>
          </w:p>
          <w:p>
            <w:pPr>
              <w:pStyle w:val="TATTVACode"/>
              <w:keepLines/>
            </w:pPr>
            <w:r>
              <w:rPr>
                <w:rFonts w:ascii="Consolas" w:hAnsi="Consolas"/>
                <w:color w:val="203448"/>
                <w:sz w:val="14"/>
              </w:rPr>
              <w:t xml:space="preserve">      hosted_provider.py</w:t>
            </w:r>
          </w:p>
          <w:p>
            <w:pPr>
              <w:pStyle w:val="TATTVACode"/>
              <w:keepLines/>
            </w:pPr>
            <w:r>
              <w:rPr>
                <w:rFonts w:ascii="Consolas" w:hAnsi="Consolas"/>
                <w:color w:val="203448"/>
                <w:sz w:val="14"/>
              </w:rPr>
              <w:t xml:space="preserve">      prompts.py</w:t>
            </w:r>
          </w:p>
          <w:p>
            <w:pPr>
              <w:pStyle w:val="TATTVACode"/>
              <w:keepLines/>
            </w:pPr>
            <w:r>
              <w:rPr>
                <w:rFonts w:ascii="Consolas" w:hAnsi="Consolas"/>
                <w:color w:val="203448"/>
                <w:sz w:val="14"/>
              </w:rPr>
              <w:t xml:space="preserve">      output_validation.py</w:t>
            </w:r>
          </w:p>
          <w:p>
            <w:pPr>
              <w:pStyle w:val="TATTVACode"/>
              <w:keepLines/>
            </w:pPr>
            <w:r>
              <w:rPr>
                <w:rFonts w:ascii="Consolas" w:hAnsi="Consolas"/>
                <w:color w:val="203448"/>
                <w:sz w:val="14"/>
              </w:rPr>
              <w:t xml:space="preserve">    orchestrator/</w:t>
            </w:r>
          </w:p>
          <w:p>
            <w:pPr>
              <w:pStyle w:val="TATTVACode"/>
              <w:keepLines/>
            </w:pPr>
            <w:r>
              <w:rPr>
                <w:rFonts w:ascii="Consolas" w:hAnsi="Consolas"/>
                <w:color w:val="203448"/>
                <w:sz w:val="14"/>
              </w:rPr>
              <w:t xml:space="preserve">      planner.py</w:t>
            </w:r>
          </w:p>
          <w:p>
            <w:pPr>
              <w:pStyle w:val="TATTVACode"/>
              <w:keepLines/>
            </w:pPr>
            <w:r>
              <w:rPr>
                <w:rFonts w:ascii="Consolas" w:hAnsi="Consolas"/>
                <w:color w:val="203448"/>
                <w:sz w:val="14"/>
              </w:rPr>
              <w:t xml:space="preserve">      task_registry.py</w:t>
            </w:r>
          </w:p>
          <w:p>
            <w:pPr>
              <w:pStyle w:val="TATTVACode"/>
              <w:keepLines/>
            </w:pPr>
            <w:r>
              <w:rPr>
                <w:rFonts w:ascii="Consolas" w:hAnsi="Consolas"/>
                <w:color w:val="203448"/>
                <w:sz w:val="14"/>
              </w:rPr>
              <w:t xml:space="preserve">      scheduler.py</w:t>
            </w:r>
          </w:p>
          <w:p>
            <w:pPr>
              <w:pStyle w:val="TATTVACode"/>
              <w:keepLines/>
            </w:pPr>
            <w:r>
              <w:rPr>
                <w:rFonts w:ascii="Consolas" w:hAnsi="Consolas"/>
                <w:color w:val="203448"/>
                <w:sz w:val="14"/>
              </w:rPr>
              <w:t xml:space="preserve">      executor.py</w:t>
            </w:r>
          </w:p>
          <w:p>
            <w:pPr>
              <w:pStyle w:val="TATTVACode"/>
              <w:keepLines/>
            </w:pPr>
            <w:r>
              <w:rPr>
                <w:rFonts w:ascii="Consolas" w:hAnsi="Consolas"/>
                <w:color w:val="203448"/>
                <w:sz w:val="14"/>
              </w:rPr>
              <w:t xml:space="preserve">      policies.py</w:t>
            </w:r>
          </w:p>
          <w:p>
            <w:pPr>
              <w:pStyle w:val="TATTVACode"/>
              <w:keepLines/>
            </w:pPr>
            <w:r>
              <w:rPr>
                <w:rFonts w:ascii="Consolas" w:hAnsi="Consolas"/>
                <w:color w:val="203448"/>
                <w:sz w:val="14"/>
              </w:rPr>
              <w:t xml:space="preserve">      event_publisher.py</w:t>
            </w:r>
          </w:p>
          <w:p>
            <w:pPr>
              <w:pStyle w:val="TATTVACode"/>
              <w:keepLines/>
            </w:pPr>
            <w:r>
              <w:rPr>
                <w:rFonts w:ascii="Consolas" w:hAnsi="Consolas"/>
                <w:color w:val="203448"/>
                <w:sz w:val="14"/>
              </w:rPr>
              <w:t xml:space="preserve">    agents/</w:t>
            </w:r>
          </w:p>
          <w:p>
            <w:pPr>
              <w:pStyle w:val="TATTVACode"/>
              <w:keepLines/>
            </w:pPr>
            <w:r>
              <w:rPr>
                <w:rFonts w:ascii="Consolas" w:hAnsi="Consolas"/>
                <w:color w:val="203448"/>
                <w:sz w:val="14"/>
              </w:rPr>
              <w:t xml:space="preserve">      extraction.py</w:t>
            </w:r>
          </w:p>
          <w:p>
            <w:pPr>
              <w:pStyle w:val="TATTVACode"/>
              <w:keepLines/>
            </w:pPr>
            <w:r>
              <w:rPr>
                <w:rFonts w:ascii="Consolas" w:hAnsi="Consolas"/>
                <w:color w:val="203448"/>
                <w:sz w:val="14"/>
              </w:rPr>
              <w:t xml:space="preserve">      entity_resolution.py</w:t>
            </w:r>
          </w:p>
          <w:p>
            <w:pPr>
              <w:pStyle w:val="TATTVACode"/>
              <w:keepLines/>
            </w:pPr>
            <w:r>
              <w:rPr>
                <w:rFonts w:ascii="Consolas" w:hAnsi="Consolas"/>
                <w:color w:val="203448"/>
                <w:sz w:val="14"/>
              </w:rPr>
              <w:t xml:space="preserve">      relationship_verifier.py</w:t>
            </w:r>
          </w:p>
          <w:p>
            <w:pPr>
              <w:pStyle w:val="TATTVACode"/>
              <w:keepLines/>
            </w:pPr>
            <w:r>
              <w:rPr>
                <w:rFonts w:ascii="Consolas" w:hAnsi="Consolas"/>
                <w:color w:val="203448"/>
                <w:sz w:val="14"/>
              </w:rPr>
              <w:t xml:space="preserve">      contradiction_analyst.py</w:t>
            </w:r>
          </w:p>
          <w:p>
            <w:pPr>
              <w:pStyle w:val="TATTVACode"/>
              <w:keepLines/>
            </w:pPr>
            <w:r>
              <w:rPr>
                <w:rFonts w:ascii="Consolas" w:hAnsi="Consolas"/>
                <w:color w:val="203448"/>
                <w:sz w:val="14"/>
              </w:rPr>
              <w:t xml:space="preserve">      pattern_analyst.py</w:t>
            </w:r>
          </w:p>
          <w:p>
            <w:pPr>
              <w:pStyle w:val="TATTVACode"/>
              <w:keepLines/>
            </w:pPr>
            <w:r>
              <w:rPr>
                <w:rFonts w:ascii="Consolas" w:hAnsi="Consolas"/>
                <w:color w:val="203448"/>
                <w:sz w:val="14"/>
              </w:rPr>
              <w:t xml:space="preserve">      hypothesis_analyst.py</w:t>
            </w:r>
          </w:p>
          <w:p>
            <w:pPr>
              <w:pStyle w:val="TATTVACode"/>
              <w:keepLines/>
            </w:pPr>
            <w:r>
              <w:rPr>
                <w:rFonts w:ascii="Consolas" w:hAnsi="Consolas"/>
                <w:color w:val="203448"/>
                <w:sz w:val="14"/>
              </w:rPr>
              <w:t xml:space="preserve">      report_builder.py</w:t>
            </w:r>
          </w:p>
          <w:p>
            <w:pPr>
              <w:pStyle w:val="TATTVACode"/>
              <w:keepLines/>
            </w:pPr>
            <w:r>
              <w:rPr>
                <w:rFonts w:ascii="Consolas" w:hAnsi="Consolas"/>
                <w:color w:val="203448"/>
                <w:sz w:val="14"/>
              </w:rPr>
              <w:t xml:space="preserve">    workers/</w:t>
            </w:r>
          </w:p>
          <w:p>
            <w:pPr>
              <w:pStyle w:val="TATTVACode"/>
              <w:keepLines/>
            </w:pPr>
            <w:r>
              <w:rPr>
                <w:rFonts w:ascii="Consolas" w:hAnsi="Consolas"/>
                <w:color w:val="203448"/>
                <w:sz w:val="14"/>
              </w:rPr>
              <w:t xml:space="preserve">      celery_app.py</w:t>
            </w:r>
          </w:p>
          <w:p>
            <w:pPr>
              <w:pStyle w:val="TATTVACode"/>
              <w:keepLines/>
            </w:pPr>
            <w:r>
              <w:rPr>
                <w:rFonts w:ascii="Consolas" w:hAnsi="Consolas"/>
                <w:color w:val="203448"/>
                <w:sz w:val="14"/>
              </w:rPr>
              <w:t xml:space="preserve">      run_analysis.py</w:t>
            </w:r>
          </w:p>
          <w:p>
            <w:pPr>
              <w:pStyle w:val="TATTVACode"/>
              <w:keepLines/>
            </w:pPr>
            <w:r>
              <w:rPr>
                <w:rFonts w:ascii="Consolas" w:hAnsi="Consolas"/>
                <w:color w:val="203448"/>
                <w:sz w:val="14"/>
              </w:rPr>
              <w:t xml:space="preserve">    voice/</w:t>
            </w:r>
          </w:p>
          <w:p>
            <w:pPr>
              <w:pStyle w:val="TATTVACode"/>
              <w:keepLines/>
            </w:pPr>
            <w:r>
              <w:rPr>
                <w:rFonts w:ascii="Consolas" w:hAnsi="Consolas"/>
                <w:color w:val="203448"/>
                <w:sz w:val="14"/>
              </w:rPr>
              <w:t xml:space="preserve">      gemini_live_adapter.py</w:t>
            </w:r>
          </w:p>
          <w:p>
            <w:pPr>
              <w:pStyle w:val="TATTVACode"/>
              <w:keepLines/>
            </w:pPr>
            <w:r>
              <w:rPr>
                <w:rFonts w:ascii="Consolas" w:hAnsi="Consolas"/>
                <w:color w:val="203448"/>
                <w:sz w:val="14"/>
              </w:rPr>
              <w:t xml:space="preserve">      intent_schema.py</w:t>
            </w:r>
          </w:p>
          <w:p>
            <w:pPr>
              <w:pStyle w:val="TATTVACode"/>
              <w:keepLines/>
            </w:pPr>
            <w:r>
              <w:rPr>
                <w:rFonts w:ascii="Consolas" w:hAnsi="Consolas"/>
                <w:color w:val="203448"/>
                <w:sz w:val="14"/>
              </w:rPr>
              <w:t xml:space="preserve">      tool_dispatch.py</w:t>
            </w:r>
          </w:p>
          <w:p>
            <w:pPr>
              <w:pStyle w:val="TATTVACode"/>
              <w:keepLines/>
            </w:pPr>
            <w:r>
              <w:rPr>
                <w:rFonts w:ascii="Consolas" w:hAnsi="Consolas"/>
                <w:color w:val="203448"/>
                <w:sz w:val="14"/>
              </w:rPr>
              <w:t xml:space="preserve">    tests/</w:t>
            </w:r>
          </w:p>
          <w:p>
            <w:pPr>
              <w:pStyle w:val="TATTVACode"/>
              <w:keepLines/>
            </w:pPr>
            <w:r>
              <w:rPr>
                <w:rFonts w:ascii="Consolas" w:hAnsi="Consolas"/>
                <w:color w:val="203448"/>
                <w:sz w:val="14"/>
              </w:rPr>
              <w:t xml:space="preserve">      unit/</w:t>
            </w:r>
          </w:p>
          <w:p>
            <w:pPr>
              <w:pStyle w:val="TATTVACode"/>
              <w:keepLines/>
            </w:pPr>
            <w:r>
              <w:rPr>
                <w:rFonts w:ascii="Consolas" w:hAnsi="Consolas"/>
                <w:color w:val="203448"/>
                <w:sz w:val="14"/>
              </w:rPr>
              <w:t xml:space="preserve">      integration/</w:t>
            </w:r>
          </w:p>
          <w:p>
            <w:pPr>
              <w:pStyle w:val="TATTVACode"/>
              <w:keepLines/>
            </w:pPr>
            <w:r>
              <w:rPr>
                <w:rFonts w:ascii="Consolas" w:hAnsi="Consolas"/>
                <w:color w:val="203448"/>
                <w:sz w:val="14"/>
              </w:rPr>
              <w:t xml:space="preserve">      security/</w:t>
            </w:r>
          </w:p>
          <w:p>
            <w:pPr>
              <w:pStyle w:val="TATTVACode"/>
              <w:keepLines/>
            </w:pPr>
            <w:r>
              <w:rPr>
                <w:rFonts w:ascii="Consolas" w:hAnsi="Consolas"/>
                <w:color w:val="203448"/>
                <w:sz w:val="14"/>
              </w:rPr>
              <w:t xml:space="preserve">      evaluation/</w:t>
            </w:r>
          </w:p>
          <w:p>
            <w:pPr>
              <w:pStyle w:val="TATTVACode"/>
              <w:keepLines/>
            </w:pPr>
            <w:r>
              <w:rPr>
                <w:rFonts w:ascii="Consolas" w:hAnsi="Consolas"/>
                <w:color w:val="203448"/>
                <w:sz w:val="14"/>
              </w:rPr>
              <w:t xml:space="preserve">  migrations_or_indexes/</w:t>
            </w:r>
          </w:p>
          <w:p>
            <w:pPr>
              <w:pStyle w:val="TATTVACode"/>
              <w:keepLines/>
            </w:pPr>
            <w:r>
              <w:rPr>
                <w:rFonts w:ascii="Consolas" w:hAnsi="Consolas"/>
                <w:color w:val="203448"/>
                <w:sz w:val="14"/>
              </w:rPr>
              <w:t xml:space="preserve">  sample_data/</w:t>
            </w:r>
          </w:p>
          <w:p>
            <w:pPr>
              <w:pStyle w:val="TATTVACode"/>
              <w:keepLines/>
            </w:pPr>
            <w:r>
              <w:rPr>
                <w:rFonts w:ascii="Consolas" w:hAnsi="Consolas"/>
                <w:color w:val="203448"/>
                <w:sz w:val="14"/>
              </w:rPr>
              <w:t xml:space="preserve">  Dockerfile</w:t>
            </w:r>
          </w:p>
          <w:p>
            <w:pPr>
              <w:pStyle w:val="TATTVACode"/>
              <w:keepLines/>
            </w:pPr>
            <w:r>
              <w:rPr>
                <w:rFonts w:ascii="Consolas" w:hAnsi="Consolas"/>
                <w:color w:val="203448"/>
                <w:sz w:val="14"/>
              </w:rPr>
              <w:t xml:space="preserve">  requirements.txt</w:t>
            </w:r>
          </w:p>
          <w:p>
            <w:pPr>
              <w:pStyle w:val="TATTVACode"/>
              <w:keepLines/>
            </w:pPr>
            <w:r>
              <w:rPr>
                <w:rFonts w:ascii="Consolas" w:hAnsi="Consolas"/>
                <w:color w:val="203448"/>
                <w:sz w:val="14"/>
              </w:rPr>
              <w:t xml:space="preserve">  .env.example</w:t>
            </w:r>
          </w:p>
          <w:p>
            <w:pPr>
              <w:pStyle w:val="TATTVACode"/>
              <w:keepLines/>
            </w:pPr>
            <w:r>
              <w:rPr>
                <w:rFonts w:ascii="Consolas" w:hAnsi="Consolas"/>
                <w:color w:val="203448"/>
                <w:sz w:val="14"/>
              </w:rPr>
              <w:t xml:space="preserve">  README.md</w:t>
            </w:r>
          </w:p>
        </w:tc>
      </w:tr>
    </w:tbl>
    <w:p>
      <w:pPr>
        <w:spacing w:after="20"/>
      </w:pPr>
    </w:p>
    <w:p>
      <w:pPr>
        <w:pStyle w:val="Heading2"/>
      </w:pPr>
      <w:r>
        <w:t>6.1 Layering rules</w:t>
      </w:r>
    </w:p>
    <w:p>
      <w:pPr>
        <w:pStyle w:val="ListBullet"/>
        <w:spacing w:after="40"/>
        <w:ind w:left="360"/>
      </w:pPr>
      <w:r>
        <w:t>API modules parse requests and delegate to services; they do not contain model prompts or graph logic.</w:t>
      </w:r>
    </w:p>
    <w:p>
      <w:pPr>
        <w:pStyle w:val="ListBullet"/>
        <w:spacing w:after="40"/>
        <w:ind w:left="360"/>
      </w:pPr>
      <w:r>
        <w:t>Repositories own database operations; domain services own business rules.</w:t>
      </w:r>
    </w:p>
    <w:p>
      <w:pPr>
        <w:pStyle w:val="ListBullet"/>
        <w:spacing w:after="40"/>
        <w:ind w:left="360"/>
      </w:pPr>
      <w:r>
        <w:t>LLM adapters know provider specifics; agents depend on CoreLLMProvider interface.</w:t>
      </w:r>
    </w:p>
    <w:p>
      <w:pPr>
        <w:pStyle w:val="ListBullet"/>
        <w:spacing w:after="40"/>
        <w:ind w:left="360"/>
      </w:pPr>
      <w:r>
        <w:t>The orchestrator owns run/task state transitions. Agents return typed results and never mark another task complete directly.</w:t>
      </w:r>
    </w:p>
    <w:p>
      <w:pPr>
        <w:pStyle w:val="ListBullet"/>
        <w:spacing w:after="40"/>
        <w:ind w:left="360"/>
      </w:pPr>
      <w:r>
        <w:t>Only repositories and service policies can read or write case evidence; every access passes case authorization.</w:t>
      </w:r>
    </w:p>
    <w:p>
      <w:pPr>
        <w:pStyle w:val="Heading1"/>
      </w:pPr>
      <w:r>
        <w:t>7. Core domain model and status vocabulary</w:t>
      </w:r>
    </w:p>
    <w:p>
      <w:pPr>
        <w:pStyle w:val="Heading2"/>
      </w:pPr>
      <w:r>
        <w:t>7.1 IDs and case references</w:t>
      </w:r>
    </w:p>
    <w:p>
      <w:r>
        <w:rPr>
          <w:i w:val="0"/>
        </w:rPr>
        <w:t>Use opaque stable IDs (UUID/ULID-style strings) for `case_id`, `document_id`, `entity_id`, `relationship_id`, `evidence_id`, `run_id`, `task_id`, `finding_id` and `event_id`. Display Case No. 345 as a human-readable `case_number` field, not as a globally trusted authorization key. A case number can collide between tenants or environments; internal IDs and membership checks govern access.</w:t>
      </w:r>
    </w:p>
    <w:p>
      <w:pPr>
        <w:pStyle w:val="Heading2"/>
      </w:pPr>
      <w:r>
        <w:t>7.2 Required statuses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90" w:type="dxa"/>
              <w:start w:w="110" w:type="dxa"/>
              <w:bottom w:w="90" w:type="dxa"/>
              <w:end w:w="110" w:type="dxa"/>
            </w:tcMar>
            <w:shd w:fill="1D3B55"/>
          </w:tcPr>
          <w:p>
            <w:pPr>
              <w:spacing w:after="0" w:line="240" w:lineRule="auto"/>
            </w:pPr>
            <w:r/>
            <w:r>
              <w:rPr>
                <w:rFonts w:ascii="Arial" w:hAnsi="Arial"/>
                <w:b/>
                <w:color w:val="FFFFFF"/>
                <w:sz w:val="16"/>
              </w:rPr>
              <w:t>Object</w:t>
            </w:r>
          </w:p>
        </w:tc>
        <w:tc>
          <w:tcPr>
            <w:tcW w:type="dxa" w:w="3888"/>
            <w:vAlign w:val="center"/>
            <w:tcMar>
              <w:top w:w="90" w:type="dxa"/>
              <w:start w:w="110" w:type="dxa"/>
              <w:bottom w:w="90" w:type="dxa"/>
              <w:end w:w="110" w:type="dxa"/>
            </w:tcMar>
            <w:shd w:fill="1D3B55"/>
          </w:tcPr>
          <w:p>
            <w:pPr>
              <w:spacing w:after="0" w:line="240" w:lineRule="auto"/>
            </w:pPr>
            <w:r/>
            <w:r>
              <w:rPr>
                <w:rFonts w:ascii="Arial" w:hAnsi="Arial"/>
                <w:b/>
                <w:color w:val="FFFFFF"/>
                <w:sz w:val="16"/>
              </w:rPr>
              <w:t>Allowed state values</w:t>
            </w:r>
          </w:p>
        </w:tc>
        <w:tc>
          <w:tcPr>
            <w:tcW w:type="dxa" w:w="3816"/>
            <w:vAlign w:val="center"/>
            <w:tcMar>
              <w:top w:w="90" w:type="dxa"/>
              <w:start w:w="110" w:type="dxa"/>
              <w:bottom w:w="90" w:type="dxa"/>
              <w:end w:w="110" w:type="dxa"/>
            </w:tcMar>
            <w:shd w:fill="1D3B55"/>
          </w:tcPr>
          <w:p>
            <w:pPr>
              <w:spacing w:after="0" w:line="240" w:lineRule="auto"/>
            </w:pPr>
            <w:r/>
            <w:r>
              <w:rPr>
                <w:rFonts w:ascii="Arial" w:hAnsi="Arial"/>
                <w:b/>
                <w:color w:val="FFFFFF"/>
                <w:sz w:val="16"/>
              </w:rPr>
              <w:t>Meaning</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4"/>
              </w:rPr>
              <w:t>Analysis run</w:t>
            </w:r>
          </w:p>
        </w:tc>
        <w:tc>
          <w:tcPr>
            <w:tcW w:type="dxa" w:w="3888"/>
            <w:vAlign w:val="center"/>
            <w:tcMar>
              <w:top w:w="90" w:type="dxa"/>
              <w:start w:w="110" w:type="dxa"/>
              <w:bottom w:w="90" w:type="dxa"/>
              <w:end w:w="110" w:type="dxa"/>
            </w:tcMar>
          </w:tcPr>
          <w:p>
            <w:pPr>
              <w:spacing w:after="0" w:line="240" w:lineRule="auto"/>
            </w:pPr>
            <w:r/>
            <w:r>
              <w:rPr>
                <w:rFonts w:ascii="Arial" w:hAnsi="Arial"/>
                <w:b w:val="0"/>
                <w:color w:val="18242F"/>
                <w:sz w:val="14"/>
              </w:rPr>
              <w:t>queued, running, awaiting_review, completed, completed_with_warnings, failed, cancel_requested, cancelled</w:t>
            </w:r>
          </w:p>
        </w:tc>
        <w:tc>
          <w:tcPr>
            <w:tcW w:type="dxa" w:w="3816"/>
            <w:vAlign w:val="center"/>
            <w:tcMar>
              <w:top w:w="90" w:type="dxa"/>
              <w:start w:w="110" w:type="dxa"/>
              <w:bottom w:w="90" w:type="dxa"/>
              <w:end w:w="110" w:type="dxa"/>
            </w:tcMar>
          </w:tcPr>
          <w:p>
            <w:pPr>
              <w:spacing w:after="0" w:line="240" w:lineRule="auto"/>
            </w:pPr>
            <w:r/>
            <w:r>
              <w:rPr>
                <w:rFonts w:ascii="Arial" w:hAnsi="Arial"/>
                <w:b w:val="0"/>
                <w:color w:val="18242F"/>
                <w:sz w:val="14"/>
              </w:rPr>
              <w:t>Overall progress/result; never treat `completed_with_warnings` as full success.</w:t>
            </w:r>
          </w:p>
        </w:tc>
      </w:tr>
      <w:tr>
        <w:tc>
          <w:tcPr>
            <w:tcW w:type="dxa" w:w="20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Task</w:t>
            </w:r>
          </w:p>
        </w:tc>
        <w:tc>
          <w:tcPr>
            <w:tcW w:type="dxa" w:w="38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blocked, queued, running, retry_wait, succeeded, failed, skipped, cancel_requested, cancelled</w:t>
            </w:r>
          </w:p>
        </w:tc>
        <w:tc>
          <w:tcPr>
            <w:tcW w:type="dxa" w:w="381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Task state governed by dependency scheduler.</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4"/>
              </w:rPr>
              <w:t>Relationship verification</w:t>
            </w:r>
          </w:p>
        </w:tc>
        <w:tc>
          <w:tcPr>
            <w:tcW w:type="dxa" w:w="3888"/>
            <w:vAlign w:val="center"/>
            <w:tcMar>
              <w:top w:w="90" w:type="dxa"/>
              <w:start w:w="110" w:type="dxa"/>
              <w:bottom w:w="90" w:type="dxa"/>
              <w:end w:w="110" w:type="dxa"/>
            </w:tcMar>
          </w:tcPr>
          <w:p>
            <w:pPr>
              <w:spacing w:after="0" w:line="240" w:lineRule="auto"/>
            </w:pPr>
            <w:r/>
            <w:r>
              <w:rPr>
                <w:rFonts w:ascii="Arial" w:hAnsi="Arial"/>
                <w:b w:val="0"/>
                <w:color w:val="18242F"/>
                <w:sz w:val="14"/>
              </w:rPr>
              <w:t>candidate, supported, disputed, insufficient_evidence, verification_failed</w:t>
            </w:r>
          </w:p>
        </w:tc>
        <w:tc>
          <w:tcPr>
            <w:tcW w:type="dxa" w:w="3816"/>
            <w:vAlign w:val="center"/>
            <w:tcMar>
              <w:top w:w="90" w:type="dxa"/>
              <w:start w:w="110" w:type="dxa"/>
              <w:bottom w:w="90" w:type="dxa"/>
              <w:end w:w="110" w:type="dxa"/>
            </w:tcMar>
          </w:tcPr>
          <w:p>
            <w:pPr>
              <w:spacing w:after="0" w:line="240" w:lineRule="auto"/>
            </w:pPr>
            <w:r/>
            <w:r>
              <w:rPr>
                <w:rFonts w:ascii="Arial" w:hAnsi="Arial"/>
                <w:b w:val="0"/>
                <w:color w:val="18242F"/>
                <w:sz w:val="14"/>
              </w:rPr>
              <w:t>Machine assessment. Does not imply investigator acceptance.</w:t>
            </w:r>
          </w:p>
        </w:tc>
      </w:tr>
      <w:tr>
        <w:tc>
          <w:tcPr>
            <w:tcW w:type="dxa" w:w="20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Investigator review</w:t>
            </w:r>
          </w:p>
        </w:tc>
        <w:tc>
          <w:tcPr>
            <w:tcW w:type="dxa" w:w="38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not_reviewed, accepted_for_report, rejected, needs_more_evidence</w:t>
            </w:r>
          </w:p>
        </w:tc>
        <w:tc>
          <w:tcPr>
            <w:tcW w:type="dxa" w:w="381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Separate human decision state.</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4"/>
              </w:rPr>
              <w:t>Document processing</w:t>
            </w:r>
          </w:p>
        </w:tc>
        <w:tc>
          <w:tcPr>
            <w:tcW w:type="dxa" w:w="3888"/>
            <w:vAlign w:val="center"/>
            <w:tcMar>
              <w:top w:w="90" w:type="dxa"/>
              <w:start w:w="110" w:type="dxa"/>
              <w:bottom w:w="90" w:type="dxa"/>
              <w:end w:w="110" w:type="dxa"/>
            </w:tcMar>
          </w:tcPr>
          <w:p>
            <w:pPr>
              <w:spacing w:after="0" w:line="240" w:lineRule="auto"/>
            </w:pPr>
            <w:r/>
            <w:r>
              <w:rPr>
                <w:rFonts w:ascii="Arial" w:hAnsi="Arial"/>
                <w:b w:val="0"/>
                <w:color w:val="18242F"/>
                <w:sz w:val="14"/>
              </w:rPr>
              <w:t>uploaded, quarantined, parsing, indexed, parse_failed, indexing_failed</w:t>
            </w:r>
          </w:p>
        </w:tc>
        <w:tc>
          <w:tcPr>
            <w:tcW w:type="dxa" w:w="3816"/>
            <w:vAlign w:val="center"/>
            <w:tcMar>
              <w:top w:w="90" w:type="dxa"/>
              <w:start w:w="110" w:type="dxa"/>
              <w:bottom w:w="90" w:type="dxa"/>
              <w:end w:w="110" w:type="dxa"/>
            </w:tcMar>
          </w:tcPr>
          <w:p>
            <w:pPr>
              <w:spacing w:after="0" w:line="240" w:lineRule="auto"/>
            </w:pPr>
            <w:r/>
            <w:r>
              <w:rPr>
                <w:rFonts w:ascii="Arial" w:hAnsi="Arial"/>
                <w:b w:val="0"/>
                <w:color w:val="18242F"/>
                <w:sz w:val="14"/>
              </w:rPr>
              <w:t>Original document availability and ingestion state.</w:t>
            </w:r>
          </w:p>
        </w:tc>
      </w:tr>
      <w:tr>
        <w:tc>
          <w:tcPr>
            <w:tcW w:type="dxa" w:w="20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Finding</w:t>
            </w:r>
          </w:p>
        </w:tc>
        <w:tc>
          <w:tcPr>
            <w:tcW w:type="dxa" w:w="38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new, under_review, accepted_for_report, rejected, resolved</w:t>
            </w:r>
          </w:p>
        </w:tc>
        <w:tc>
          <w:tcPr>
            <w:tcW w:type="dxa" w:w="381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Lead/review lifecycle.</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4"/>
              </w:rPr>
              <w:t>Approval request</w:t>
            </w:r>
          </w:p>
        </w:tc>
        <w:tc>
          <w:tcPr>
            <w:tcW w:type="dxa" w:w="3888"/>
            <w:vAlign w:val="center"/>
            <w:tcMar>
              <w:top w:w="90" w:type="dxa"/>
              <w:start w:w="110" w:type="dxa"/>
              <w:bottom w:w="90" w:type="dxa"/>
              <w:end w:w="110" w:type="dxa"/>
            </w:tcMar>
          </w:tcPr>
          <w:p>
            <w:pPr>
              <w:spacing w:after="0" w:line="240" w:lineRule="auto"/>
            </w:pPr>
            <w:r/>
            <w:r>
              <w:rPr>
                <w:rFonts w:ascii="Arial" w:hAnsi="Arial"/>
                <w:b w:val="0"/>
                <w:color w:val="18242F"/>
                <w:sz w:val="14"/>
              </w:rPr>
              <w:t>not_required, pending, approved, rejected, expired</w:t>
            </w:r>
          </w:p>
        </w:tc>
        <w:tc>
          <w:tcPr>
            <w:tcW w:type="dxa" w:w="3816"/>
            <w:vAlign w:val="center"/>
            <w:tcMar>
              <w:top w:w="90" w:type="dxa"/>
              <w:start w:w="110" w:type="dxa"/>
              <w:bottom w:w="90" w:type="dxa"/>
              <w:end w:w="110" w:type="dxa"/>
            </w:tcMar>
          </w:tcPr>
          <w:p>
            <w:pPr>
              <w:spacing w:after="0" w:line="240" w:lineRule="auto"/>
            </w:pPr>
            <w:r/>
            <w:r>
              <w:rPr>
                <w:rFonts w:ascii="Arial" w:hAnsi="Arial"/>
                <w:b w:val="0"/>
                <w:color w:val="18242F"/>
                <w:sz w:val="14"/>
              </w:rPr>
              <w:t>For protected actions; approval record must name approver and action scope.</w:t>
            </w:r>
          </w:p>
        </w:tc>
      </w:tr>
    </w:tbl>
    <w:p>
      <w:pPr>
        <w:spacing w:after="20"/>
      </w:pPr>
    </w:p>
    <w:p>
      <w:pPr>
        <w:pStyle w:val="Heading2"/>
      </w:pPr>
      <w:r>
        <w:t>7.3 Entity and relationship types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tcMar>
              <w:top w:w="90" w:type="dxa"/>
              <w:start w:w="110" w:type="dxa"/>
              <w:bottom w:w="90" w:type="dxa"/>
              <w:end w:w="110" w:type="dxa"/>
            </w:tcMar>
            <w:shd w:fill="1D3B55"/>
          </w:tcPr>
          <w:p>
            <w:pPr>
              <w:spacing w:after="0" w:line="240" w:lineRule="auto"/>
            </w:pPr>
            <w:r/>
            <w:r>
              <w:rPr>
                <w:rFonts w:ascii="Arial" w:hAnsi="Arial"/>
                <w:b/>
                <w:color w:val="FFFFFF"/>
                <w:sz w:val="16"/>
              </w:rPr>
              <w:t>Entity type examples</w:t>
            </w:r>
          </w:p>
        </w:tc>
        <w:tc>
          <w:tcPr>
            <w:tcW w:type="dxa" w:w="2880"/>
            <w:vAlign w:val="center"/>
            <w:tcMar>
              <w:top w:w="90" w:type="dxa"/>
              <w:start w:w="110" w:type="dxa"/>
              <w:bottom w:w="90" w:type="dxa"/>
              <w:end w:w="110" w:type="dxa"/>
            </w:tcMar>
            <w:shd w:fill="1D3B55"/>
          </w:tcPr>
          <w:p>
            <w:pPr>
              <w:spacing w:after="0" w:line="240" w:lineRule="auto"/>
            </w:pPr>
            <w:r/>
            <w:r>
              <w:rPr>
                <w:rFonts w:ascii="Arial" w:hAnsi="Arial"/>
                <w:b/>
                <w:color w:val="FFFFFF"/>
                <w:sz w:val="16"/>
              </w:rPr>
              <w:t>Relationship type examples</w:t>
            </w:r>
          </w:p>
        </w:tc>
        <w:tc>
          <w:tcPr>
            <w:tcW w:type="dxa" w:w="4032"/>
            <w:vAlign w:val="center"/>
            <w:tcMar>
              <w:top w:w="90" w:type="dxa"/>
              <w:start w:w="110" w:type="dxa"/>
              <w:bottom w:w="90" w:type="dxa"/>
              <w:end w:w="110" w:type="dxa"/>
            </w:tcMar>
            <w:shd w:fill="1D3B55"/>
          </w:tcPr>
          <w:p>
            <w:pPr>
              <w:spacing w:after="0" w:line="240" w:lineRule="auto"/>
            </w:pPr>
            <w:r/>
            <w:r>
              <w:rPr>
                <w:rFonts w:ascii="Arial" w:hAnsi="Arial"/>
                <w:b/>
                <w:color w:val="FFFFFF"/>
                <w:sz w:val="16"/>
              </w:rPr>
              <w:t>Rules</w:t>
            </w:r>
          </w:p>
        </w:tc>
      </w:tr>
      <w:tr>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5"/>
              </w:rPr>
              <w:t>person, phone, vehicle, account, organization, location, event, document</w:t>
            </w:r>
          </w:p>
        </w:tc>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5"/>
              </w:rPr>
              <w:t>communicated_with, transferred_to, registered_to, located_at, mentioned_in, associated_with</w:t>
            </w:r>
          </w:p>
        </w:tc>
        <w:tc>
          <w:tcPr>
            <w:tcW w:type="dxa" w:w="4032"/>
            <w:vAlign w:val="center"/>
            <w:tcMar>
              <w:top w:w="90" w:type="dxa"/>
              <w:start w:w="110" w:type="dxa"/>
              <w:bottom w:w="90" w:type="dxa"/>
              <w:end w:w="110" w:type="dxa"/>
            </w:tcMar>
          </w:tcPr>
          <w:p>
            <w:pPr>
              <w:spacing w:after="0" w:line="240" w:lineRule="auto"/>
            </w:pPr>
            <w:r/>
            <w:r>
              <w:rPr>
                <w:rFonts w:ascii="Arial" w:hAnsi="Arial"/>
                <w:b w:val="0"/>
                <w:color w:val="18242F"/>
                <w:sz w:val="15"/>
              </w:rPr>
              <w:t>Keep source claim and normalized entity distinct. Relationship labels must specify direction/meaning.</w:t>
            </w:r>
          </w:p>
        </w:tc>
      </w:tr>
      <w:tr>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Identifiers should be typed and normalized without destroying raw values.</w:t>
            </w:r>
          </w:p>
        </w:tc>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Predicate should be controlled by registry/schema.</w:t>
            </w:r>
          </w:p>
        </w:tc>
        <w:tc>
          <w:tcPr>
            <w:tcW w:type="dxa" w:w="4032"/>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A shared identifier or co-mention can create a candidate for review, not an automatically supported edge.</w:t>
            </w:r>
          </w:p>
        </w:tc>
      </w:tr>
    </w:tbl>
    <w:p>
      <w:pPr>
        <w:spacing w:after="20"/>
      </w:pPr>
    </w:p>
    <w:p>
      <w:pPr>
        <w:pStyle w:val="Heading1"/>
      </w:pPr>
      <w:r>
        <w:t>8. MongoDB data design</w:t>
      </w:r>
    </w:p>
    <w:p>
      <w:pPr>
        <w:pStyle w:val="Heading2"/>
      </w:pPr>
      <w:r>
        <w:t>8.1 Collections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87"/>
            <w:vAlign w:val="center"/>
            <w:tcMar>
              <w:top w:w="90" w:type="dxa"/>
              <w:start w:w="110" w:type="dxa"/>
              <w:bottom w:w="90" w:type="dxa"/>
              <w:end w:w="110" w:type="dxa"/>
            </w:tcMar>
            <w:shd w:fill="1D3B55"/>
          </w:tcPr>
          <w:p>
            <w:pPr>
              <w:spacing w:after="0" w:line="240" w:lineRule="auto"/>
            </w:pPr>
            <w:r/>
            <w:r>
              <w:rPr>
                <w:rFonts w:ascii="Arial" w:hAnsi="Arial"/>
                <w:b/>
                <w:color w:val="FFFFFF"/>
                <w:sz w:val="16"/>
              </w:rPr>
              <w:t>Collection</w:t>
            </w:r>
          </w:p>
        </w:tc>
        <w:tc>
          <w:tcPr>
            <w:tcW w:type="dxa" w:w="5328"/>
            <w:vAlign w:val="center"/>
            <w:tcMar>
              <w:top w:w="90" w:type="dxa"/>
              <w:start w:w="110" w:type="dxa"/>
              <w:bottom w:w="90" w:type="dxa"/>
              <w:end w:w="110" w:type="dxa"/>
            </w:tcMar>
            <w:shd w:fill="1D3B55"/>
          </w:tcPr>
          <w:p>
            <w:pPr>
              <w:spacing w:after="0" w:line="240" w:lineRule="auto"/>
            </w:pPr>
            <w:r/>
            <w:r>
              <w:rPr>
                <w:rFonts w:ascii="Arial" w:hAnsi="Arial"/>
                <w:b/>
                <w:color w:val="FFFFFF"/>
                <w:sz w:val="16"/>
              </w:rPr>
              <w:t>Core fields</w:t>
            </w:r>
          </w:p>
        </w:tc>
        <w:tc>
          <w:tcPr>
            <w:tcW w:type="dxa" w:w="2477"/>
            <w:vAlign w:val="center"/>
            <w:tcMar>
              <w:top w:w="90" w:type="dxa"/>
              <w:start w:w="110" w:type="dxa"/>
              <w:bottom w:w="90" w:type="dxa"/>
              <w:end w:w="110" w:type="dxa"/>
            </w:tcMar>
            <w:shd w:fill="1D3B55"/>
          </w:tcPr>
          <w:p>
            <w:pPr>
              <w:spacing w:after="0" w:line="240" w:lineRule="auto"/>
            </w:pPr>
            <w:r/>
            <w:r>
              <w:rPr>
                <w:rFonts w:ascii="Arial" w:hAnsi="Arial"/>
                <w:b/>
                <w:color w:val="FFFFFF"/>
                <w:sz w:val="16"/>
              </w:rPr>
              <w:t>Notes</w:t>
            </w:r>
          </w:p>
        </w:tc>
      </w:tr>
      <w:tr>
        <w:tc>
          <w:tcPr>
            <w:tcW w:type="dxa" w:w="1987"/>
            <w:vAlign w:val="center"/>
            <w:tcMar>
              <w:top w:w="90" w:type="dxa"/>
              <w:start w:w="110" w:type="dxa"/>
              <w:bottom w:w="90" w:type="dxa"/>
              <w:end w:w="110" w:type="dxa"/>
            </w:tcMar>
          </w:tcPr>
          <w:p>
            <w:pPr>
              <w:spacing w:after="0" w:line="240" w:lineRule="auto"/>
            </w:pPr>
            <w:r/>
            <w:r>
              <w:rPr>
                <w:rFonts w:ascii="Arial" w:hAnsi="Arial"/>
                <w:b w:val="0"/>
                <w:color w:val="18242F"/>
                <w:sz w:val="13"/>
              </w:rPr>
              <w:t>cases</w:t>
            </w:r>
          </w:p>
        </w:tc>
        <w:tc>
          <w:tcPr>
            <w:tcW w:type="dxa" w:w="5328"/>
            <w:vAlign w:val="center"/>
            <w:tcMar>
              <w:top w:w="90" w:type="dxa"/>
              <w:start w:w="110" w:type="dxa"/>
              <w:bottom w:w="90" w:type="dxa"/>
              <w:end w:w="110" w:type="dxa"/>
            </w:tcMar>
          </w:tcPr>
          <w:p>
            <w:pPr>
              <w:spacing w:after="0" w:line="240" w:lineRule="auto"/>
            </w:pPr>
            <w:r/>
            <w:r>
              <w:rPr>
                <w:rFonts w:ascii="Arial" w:hAnsi="Arial"/>
                <w:b w:val="0"/>
                <w:color w:val="18242F"/>
                <w:sz w:val="13"/>
              </w:rPr>
              <w:t>_id, case_number, title, status, created_by, created_at, updated_at, tenant_id</w:t>
            </w:r>
          </w:p>
        </w:tc>
        <w:tc>
          <w:tcPr>
            <w:tcW w:type="dxa" w:w="2477"/>
            <w:vAlign w:val="center"/>
            <w:tcMar>
              <w:top w:w="90" w:type="dxa"/>
              <w:start w:w="110" w:type="dxa"/>
              <w:bottom w:w="90" w:type="dxa"/>
              <w:end w:w="110" w:type="dxa"/>
            </w:tcMar>
          </w:tcPr>
          <w:p>
            <w:pPr>
              <w:spacing w:after="0" w:line="240" w:lineRule="auto"/>
            </w:pPr>
            <w:r/>
            <w:r>
              <w:rPr>
                <w:rFonts w:ascii="Arial" w:hAnsi="Arial"/>
                <w:b w:val="0"/>
                <w:color w:val="18242F"/>
                <w:sz w:val="13"/>
              </w:rPr>
              <w:t>Index tenant_id + case_number; access via case membership policy.</w:t>
            </w:r>
          </w:p>
        </w:tc>
      </w:tr>
      <w:tr>
        <w:tc>
          <w:tcPr>
            <w:tcW w:type="dxa" w:w="198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case_memberships</w:t>
            </w:r>
          </w:p>
        </w:tc>
        <w:tc>
          <w:tcPr>
            <w:tcW w:type="dxa" w:w="5328"/>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case_id, user_id, role, created_at</w:t>
            </w:r>
          </w:p>
        </w:tc>
        <w:tc>
          <w:tcPr>
            <w:tcW w:type="dxa" w:w="247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Only roles explicitly granted to a case may access it.</w:t>
            </w:r>
          </w:p>
        </w:tc>
      </w:tr>
      <w:tr>
        <w:tc>
          <w:tcPr>
            <w:tcW w:type="dxa" w:w="1987"/>
            <w:vAlign w:val="center"/>
            <w:tcMar>
              <w:top w:w="90" w:type="dxa"/>
              <w:start w:w="110" w:type="dxa"/>
              <w:bottom w:w="90" w:type="dxa"/>
              <w:end w:w="110" w:type="dxa"/>
            </w:tcMar>
          </w:tcPr>
          <w:p>
            <w:pPr>
              <w:spacing w:after="0" w:line="240" w:lineRule="auto"/>
            </w:pPr>
            <w:r/>
            <w:r>
              <w:rPr>
                <w:rFonts w:ascii="Arial" w:hAnsi="Arial"/>
                <w:b w:val="0"/>
                <w:color w:val="18242F"/>
                <w:sz w:val="13"/>
              </w:rPr>
              <w:t>documents</w:t>
            </w:r>
          </w:p>
        </w:tc>
        <w:tc>
          <w:tcPr>
            <w:tcW w:type="dxa" w:w="5328"/>
            <w:vAlign w:val="center"/>
            <w:tcMar>
              <w:top w:w="90" w:type="dxa"/>
              <w:start w:w="110" w:type="dxa"/>
              <w:bottom w:w="90" w:type="dxa"/>
              <w:end w:w="110" w:type="dxa"/>
            </w:tcMar>
          </w:tcPr>
          <w:p>
            <w:pPr>
              <w:spacing w:after="0" w:line="240" w:lineRule="auto"/>
            </w:pPr>
            <w:r/>
            <w:r>
              <w:rPr>
                <w:rFonts w:ascii="Arial" w:hAnsi="Arial"/>
                <w:b w:val="0"/>
                <w:color w:val="18242F"/>
                <w:sz w:val="13"/>
              </w:rPr>
              <w:t>_id, case_id, filename, media_type, storage_key, sha256, status, page_count, uploaded_by</w:t>
            </w:r>
          </w:p>
        </w:tc>
        <w:tc>
          <w:tcPr>
            <w:tcW w:type="dxa" w:w="2477"/>
            <w:vAlign w:val="center"/>
            <w:tcMar>
              <w:top w:w="90" w:type="dxa"/>
              <w:start w:w="110" w:type="dxa"/>
              <w:bottom w:w="90" w:type="dxa"/>
              <w:end w:w="110" w:type="dxa"/>
            </w:tcMar>
          </w:tcPr>
          <w:p>
            <w:pPr>
              <w:spacing w:after="0" w:line="240" w:lineRule="auto"/>
            </w:pPr>
            <w:r/>
            <w:r>
              <w:rPr>
                <w:rFonts w:ascii="Arial" w:hAnsi="Arial"/>
                <w:b w:val="0"/>
                <w:color w:val="18242F"/>
                <w:sz w:val="13"/>
              </w:rPr>
              <w:t>Never trust client filename as storage path.</w:t>
            </w:r>
          </w:p>
        </w:tc>
      </w:tr>
      <w:tr>
        <w:tc>
          <w:tcPr>
            <w:tcW w:type="dxa" w:w="198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document_chunks</w:t>
            </w:r>
          </w:p>
        </w:tc>
        <w:tc>
          <w:tcPr>
            <w:tcW w:type="dxa" w:w="5328"/>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_id, case_id, document_id, chunk_index, text, page, char_start, char_end, source_hash</w:t>
            </w:r>
          </w:p>
        </w:tc>
        <w:tc>
          <w:tcPr>
            <w:tcW w:type="dxa" w:w="247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Could store chunk metadata in Mongo while embeddings live in Qdrant.</w:t>
            </w:r>
          </w:p>
        </w:tc>
      </w:tr>
      <w:tr>
        <w:tc>
          <w:tcPr>
            <w:tcW w:type="dxa" w:w="1987"/>
            <w:vAlign w:val="center"/>
            <w:tcMar>
              <w:top w:w="90" w:type="dxa"/>
              <w:start w:w="110" w:type="dxa"/>
              <w:bottom w:w="90" w:type="dxa"/>
              <w:end w:w="110" w:type="dxa"/>
            </w:tcMar>
          </w:tcPr>
          <w:p>
            <w:pPr>
              <w:spacing w:after="0" w:line="240" w:lineRule="auto"/>
            </w:pPr>
            <w:r/>
            <w:r>
              <w:rPr>
                <w:rFonts w:ascii="Arial" w:hAnsi="Arial"/>
                <w:b w:val="0"/>
                <w:color w:val="18242F"/>
                <w:sz w:val="13"/>
              </w:rPr>
              <w:t>entities</w:t>
            </w:r>
          </w:p>
        </w:tc>
        <w:tc>
          <w:tcPr>
            <w:tcW w:type="dxa" w:w="5328"/>
            <w:vAlign w:val="center"/>
            <w:tcMar>
              <w:top w:w="90" w:type="dxa"/>
              <w:start w:w="110" w:type="dxa"/>
              <w:bottom w:w="90" w:type="dxa"/>
              <w:end w:w="110" w:type="dxa"/>
            </w:tcMar>
          </w:tcPr>
          <w:p>
            <w:pPr>
              <w:spacing w:after="0" w:line="240" w:lineRule="auto"/>
            </w:pPr>
            <w:r/>
            <w:r>
              <w:rPr>
                <w:rFonts w:ascii="Arial" w:hAnsi="Arial"/>
                <w:b w:val="0"/>
                <w:color w:val="18242F"/>
                <w:sz w:val="13"/>
              </w:rPr>
              <w:t>_id, case_id, entity_type, raw_values, normalized_values, created_from_mentions</w:t>
            </w:r>
          </w:p>
        </w:tc>
        <w:tc>
          <w:tcPr>
            <w:tcW w:type="dxa" w:w="2477"/>
            <w:vAlign w:val="center"/>
            <w:tcMar>
              <w:top w:w="90" w:type="dxa"/>
              <w:start w:w="110" w:type="dxa"/>
              <w:bottom w:w="90" w:type="dxa"/>
              <w:end w:w="110" w:type="dxa"/>
            </w:tcMar>
          </w:tcPr>
          <w:p>
            <w:pPr>
              <w:spacing w:after="0" w:line="240" w:lineRule="auto"/>
            </w:pPr>
            <w:r/>
            <w:r>
              <w:rPr>
                <w:rFonts w:ascii="Arial" w:hAnsi="Arial"/>
                <w:b w:val="0"/>
                <w:color w:val="18242F"/>
                <w:sz w:val="13"/>
              </w:rPr>
              <w:t>Preserve alias history and resolution decision.</w:t>
            </w:r>
          </w:p>
        </w:tc>
      </w:tr>
      <w:tr>
        <w:tc>
          <w:tcPr>
            <w:tcW w:type="dxa" w:w="198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entity_mentions</w:t>
            </w:r>
          </w:p>
        </w:tc>
        <w:tc>
          <w:tcPr>
            <w:tcW w:type="dxa" w:w="5328"/>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_id, case_id, document_id, entity_id, page, start, end, quote, extraction_method</w:t>
            </w:r>
          </w:p>
        </w:tc>
        <w:tc>
          <w:tcPr>
            <w:tcW w:type="dxa" w:w="247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All offsets reference the canonical extracted document text version.</w:t>
            </w:r>
          </w:p>
        </w:tc>
      </w:tr>
      <w:tr>
        <w:tc>
          <w:tcPr>
            <w:tcW w:type="dxa" w:w="1987"/>
            <w:vAlign w:val="center"/>
            <w:tcMar>
              <w:top w:w="90" w:type="dxa"/>
              <w:start w:w="110" w:type="dxa"/>
              <w:bottom w:w="90" w:type="dxa"/>
              <w:end w:w="110" w:type="dxa"/>
            </w:tcMar>
          </w:tcPr>
          <w:p>
            <w:pPr>
              <w:spacing w:after="0" w:line="240" w:lineRule="auto"/>
            </w:pPr>
            <w:r/>
            <w:r>
              <w:rPr>
                <w:rFonts w:ascii="Arial" w:hAnsi="Arial"/>
                <w:b w:val="0"/>
                <w:color w:val="18242F"/>
                <w:sz w:val="13"/>
              </w:rPr>
              <w:t>relationships</w:t>
            </w:r>
          </w:p>
        </w:tc>
        <w:tc>
          <w:tcPr>
            <w:tcW w:type="dxa" w:w="5328"/>
            <w:vAlign w:val="center"/>
            <w:tcMar>
              <w:top w:w="90" w:type="dxa"/>
              <w:start w:w="110" w:type="dxa"/>
              <w:bottom w:w="90" w:type="dxa"/>
              <w:end w:w="110" w:type="dxa"/>
            </w:tcMar>
          </w:tcPr>
          <w:p>
            <w:pPr>
              <w:spacing w:after="0" w:line="240" w:lineRule="auto"/>
            </w:pPr>
            <w:r/>
            <w:r>
              <w:rPr>
                <w:rFonts w:ascii="Arial" w:hAnsi="Arial"/>
                <w:b w:val="0"/>
                <w:color w:val="18242F"/>
                <w:sz w:val="13"/>
              </w:rPr>
              <w:t>_id, case_id, subject_id, predicate, object_id, verification_status, review_status, evidence_ids</w:t>
            </w:r>
          </w:p>
        </w:tc>
        <w:tc>
          <w:tcPr>
            <w:tcW w:type="dxa" w:w="2477"/>
            <w:vAlign w:val="center"/>
            <w:tcMar>
              <w:top w:w="90" w:type="dxa"/>
              <w:start w:w="110" w:type="dxa"/>
              <w:bottom w:w="90" w:type="dxa"/>
              <w:end w:w="110" w:type="dxa"/>
            </w:tcMar>
          </w:tcPr>
          <w:p>
            <w:pPr>
              <w:spacing w:after="0" w:line="240" w:lineRule="auto"/>
            </w:pPr>
            <w:r/>
            <w:r>
              <w:rPr>
                <w:rFonts w:ascii="Arial" w:hAnsi="Arial"/>
                <w:b w:val="0"/>
                <w:color w:val="18242F"/>
                <w:sz w:val="13"/>
              </w:rPr>
              <w:t>Store machine verification and human review in separate fields.</w:t>
            </w:r>
          </w:p>
        </w:tc>
      </w:tr>
      <w:tr>
        <w:tc>
          <w:tcPr>
            <w:tcW w:type="dxa" w:w="198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evidence_records</w:t>
            </w:r>
          </w:p>
        </w:tc>
        <w:tc>
          <w:tcPr>
            <w:tcW w:type="dxa" w:w="5328"/>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_id, case_id, document_id, page, char_start, char_end, exact_quote, source_hash, claim_refs</w:t>
            </w:r>
          </w:p>
        </w:tc>
        <w:tc>
          <w:tcPr>
            <w:tcW w:type="dxa" w:w="247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Exact quote must match server-held source text.</w:t>
            </w:r>
          </w:p>
        </w:tc>
      </w:tr>
      <w:tr>
        <w:tc>
          <w:tcPr>
            <w:tcW w:type="dxa" w:w="1987"/>
            <w:vAlign w:val="center"/>
            <w:tcMar>
              <w:top w:w="90" w:type="dxa"/>
              <w:start w:w="110" w:type="dxa"/>
              <w:bottom w:w="90" w:type="dxa"/>
              <w:end w:w="110" w:type="dxa"/>
            </w:tcMar>
          </w:tcPr>
          <w:p>
            <w:pPr>
              <w:spacing w:after="0" w:line="240" w:lineRule="auto"/>
            </w:pPr>
            <w:r/>
            <w:r>
              <w:rPr>
                <w:rFonts w:ascii="Arial" w:hAnsi="Arial"/>
                <w:b w:val="0"/>
                <w:color w:val="18242F"/>
                <w:sz w:val="13"/>
              </w:rPr>
              <w:t>findings</w:t>
            </w:r>
          </w:p>
        </w:tc>
        <w:tc>
          <w:tcPr>
            <w:tcW w:type="dxa" w:w="5328"/>
            <w:vAlign w:val="center"/>
            <w:tcMar>
              <w:top w:w="90" w:type="dxa"/>
              <w:start w:w="110" w:type="dxa"/>
              <w:bottom w:w="90" w:type="dxa"/>
              <w:end w:w="110" w:type="dxa"/>
            </w:tcMar>
          </w:tcPr>
          <w:p>
            <w:pPr>
              <w:spacing w:after="0" w:line="240" w:lineRule="auto"/>
            </w:pPr>
            <w:r/>
            <w:r>
              <w:rPr>
                <w:rFonts w:ascii="Arial" w:hAnsi="Arial"/>
                <w:b w:val="0"/>
                <w:color w:val="18242F"/>
                <w:sz w:val="13"/>
              </w:rPr>
              <w:t>_id, case_id, finding_type, rule_id, involved_ids, explanation, evidence_ids, status</w:t>
            </w:r>
          </w:p>
        </w:tc>
        <w:tc>
          <w:tcPr>
            <w:tcW w:type="dxa" w:w="2477"/>
            <w:vAlign w:val="center"/>
            <w:tcMar>
              <w:top w:w="90" w:type="dxa"/>
              <w:start w:w="110" w:type="dxa"/>
              <w:bottom w:w="90" w:type="dxa"/>
              <w:end w:w="110" w:type="dxa"/>
            </w:tcMar>
          </w:tcPr>
          <w:p>
            <w:pPr>
              <w:spacing w:after="0" w:line="240" w:lineRule="auto"/>
            </w:pPr>
            <w:r/>
            <w:r>
              <w:rPr>
                <w:rFonts w:ascii="Arial" w:hAnsi="Arial"/>
                <w:b w:val="0"/>
                <w:color w:val="18242F"/>
                <w:sz w:val="13"/>
              </w:rPr>
              <w:t>A finding is a lead; preserve reason, rule version and review trail.</w:t>
            </w:r>
          </w:p>
        </w:tc>
      </w:tr>
      <w:tr>
        <w:tc>
          <w:tcPr>
            <w:tcW w:type="dxa" w:w="198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analysis_runs</w:t>
            </w:r>
          </w:p>
        </w:tc>
        <w:tc>
          <w:tcPr>
            <w:tcW w:type="dxa" w:w="5328"/>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_id, case_id, requested_by, objective, plan_version, status, started_at, finished_at, limits</w:t>
            </w:r>
          </w:p>
        </w:tc>
        <w:tc>
          <w:tcPr>
            <w:tcW w:type="dxa" w:w="247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One immutable run record per execution attempt.</w:t>
            </w:r>
          </w:p>
        </w:tc>
      </w:tr>
      <w:tr>
        <w:tc>
          <w:tcPr>
            <w:tcW w:type="dxa" w:w="1987"/>
            <w:vAlign w:val="center"/>
            <w:tcMar>
              <w:top w:w="90" w:type="dxa"/>
              <w:start w:w="110" w:type="dxa"/>
              <w:bottom w:w="90" w:type="dxa"/>
              <w:end w:w="110" w:type="dxa"/>
            </w:tcMar>
          </w:tcPr>
          <w:p>
            <w:pPr>
              <w:spacing w:after="0" w:line="240" w:lineRule="auto"/>
            </w:pPr>
            <w:r/>
            <w:r>
              <w:rPr>
                <w:rFonts w:ascii="Arial" w:hAnsi="Arial"/>
                <w:b w:val="0"/>
                <w:color w:val="18242F"/>
                <w:sz w:val="13"/>
              </w:rPr>
              <w:t>tasks</w:t>
            </w:r>
          </w:p>
        </w:tc>
        <w:tc>
          <w:tcPr>
            <w:tcW w:type="dxa" w:w="5328"/>
            <w:vAlign w:val="center"/>
            <w:tcMar>
              <w:top w:w="90" w:type="dxa"/>
              <w:start w:w="110" w:type="dxa"/>
              <w:bottom w:w="90" w:type="dxa"/>
              <w:end w:w="110" w:type="dxa"/>
            </w:tcMar>
          </w:tcPr>
          <w:p>
            <w:pPr>
              <w:spacing w:after="0" w:line="240" w:lineRule="auto"/>
            </w:pPr>
            <w:r/>
            <w:r>
              <w:rPr>
                <w:rFonts w:ascii="Arial" w:hAnsi="Arial"/>
                <w:b w:val="0"/>
                <w:color w:val="18242F"/>
                <w:sz w:val="13"/>
              </w:rPr>
              <w:t>_id, run_id, case_id, task_type, dependencies, status, attempt_count, input_ref, output_ref, error_code</w:t>
            </w:r>
          </w:p>
        </w:tc>
        <w:tc>
          <w:tcPr>
            <w:tcW w:type="dxa" w:w="2477"/>
            <w:vAlign w:val="center"/>
            <w:tcMar>
              <w:top w:w="90" w:type="dxa"/>
              <w:start w:w="110" w:type="dxa"/>
              <w:bottom w:w="90" w:type="dxa"/>
              <w:end w:w="110" w:type="dxa"/>
            </w:tcMar>
          </w:tcPr>
          <w:p>
            <w:pPr>
              <w:spacing w:after="0" w:line="240" w:lineRule="auto"/>
            </w:pPr>
            <w:r/>
            <w:r>
              <w:rPr>
                <w:rFonts w:ascii="Arial" w:hAnsi="Arial"/>
                <w:b w:val="0"/>
                <w:color w:val="18242F"/>
                <w:sz w:val="13"/>
              </w:rPr>
              <w:t>Store references, not huge prompt/context blobs unless justified.</w:t>
            </w:r>
          </w:p>
        </w:tc>
      </w:tr>
      <w:tr>
        <w:tc>
          <w:tcPr>
            <w:tcW w:type="dxa" w:w="198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run_events</w:t>
            </w:r>
          </w:p>
        </w:tc>
        <w:tc>
          <w:tcPr>
            <w:tcW w:type="dxa" w:w="5328"/>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_id, run_id, case_id, seq, event_type, task_id, payload, created_at</w:t>
            </w:r>
          </w:p>
        </w:tc>
        <w:tc>
          <w:tcPr>
            <w:tcW w:type="dxa" w:w="247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Monotonic per-run sequence supports reconnect/replay.</w:t>
            </w:r>
          </w:p>
        </w:tc>
      </w:tr>
      <w:tr>
        <w:tc>
          <w:tcPr>
            <w:tcW w:type="dxa" w:w="1987"/>
            <w:vAlign w:val="center"/>
            <w:tcMar>
              <w:top w:w="90" w:type="dxa"/>
              <w:start w:w="110" w:type="dxa"/>
              <w:bottom w:w="90" w:type="dxa"/>
              <w:end w:w="110" w:type="dxa"/>
            </w:tcMar>
          </w:tcPr>
          <w:p>
            <w:pPr>
              <w:spacing w:after="0" w:line="240" w:lineRule="auto"/>
            </w:pPr>
            <w:r/>
            <w:r>
              <w:rPr>
                <w:rFonts w:ascii="Arial" w:hAnsi="Arial"/>
                <w:b w:val="0"/>
                <w:color w:val="18242F"/>
                <w:sz w:val="13"/>
              </w:rPr>
              <w:t>reports</w:t>
            </w:r>
          </w:p>
        </w:tc>
        <w:tc>
          <w:tcPr>
            <w:tcW w:type="dxa" w:w="5328"/>
            <w:vAlign w:val="center"/>
            <w:tcMar>
              <w:top w:w="90" w:type="dxa"/>
              <w:start w:w="110" w:type="dxa"/>
              <w:bottom w:w="90" w:type="dxa"/>
              <w:end w:w="110" w:type="dxa"/>
            </w:tcMar>
          </w:tcPr>
          <w:p>
            <w:pPr>
              <w:spacing w:after="0" w:line="240" w:lineRule="auto"/>
            </w:pPr>
            <w:r/>
            <w:r>
              <w:rPr>
                <w:rFonts w:ascii="Arial" w:hAnsi="Arial"/>
                <w:b w:val="0"/>
                <w:color w:val="18242F"/>
                <w:sz w:val="13"/>
              </w:rPr>
              <w:t>_id, case_id, run_id, status, storage_key, citations, created_by, reviewed_by</w:t>
            </w:r>
          </w:p>
        </w:tc>
        <w:tc>
          <w:tcPr>
            <w:tcW w:type="dxa" w:w="2477"/>
            <w:vAlign w:val="center"/>
            <w:tcMar>
              <w:top w:w="90" w:type="dxa"/>
              <w:start w:w="110" w:type="dxa"/>
              <w:bottom w:w="90" w:type="dxa"/>
              <w:end w:w="110" w:type="dxa"/>
            </w:tcMar>
          </w:tcPr>
          <w:p>
            <w:pPr>
              <w:spacing w:after="0" w:line="240" w:lineRule="auto"/>
            </w:pPr>
            <w:r/>
            <w:r>
              <w:rPr>
                <w:rFonts w:ascii="Arial" w:hAnsi="Arial"/>
                <w:b w:val="0"/>
                <w:color w:val="18242F"/>
                <w:sz w:val="13"/>
              </w:rPr>
              <w:t>Draft report immutable after export; create a new version for edits.</w:t>
            </w:r>
          </w:p>
        </w:tc>
      </w:tr>
      <w:tr>
        <w:tc>
          <w:tcPr>
            <w:tcW w:type="dxa" w:w="198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audit_events</w:t>
            </w:r>
          </w:p>
        </w:tc>
        <w:tc>
          <w:tcPr>
            <w:tcW w:type="dxa" w:w="5328"/>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_id, actor_id, case_id, action, target_type, target_id, timestamp, approval_id, request_id</w:t>
            </w:r>
          </w:p>
        </w:tc>
        <w:tc>
          <w:tcPr>
            <w:tcW w:type="dxa" w:w="2477"/>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No full raw document text or secrets in audit metadata.</w:t>
            </w:r>
          </w:p>
        </w:tc>
      </w:tr>
      <w:tr>
        <w:tc>
          <w:tcPr>
            <w:tcW w:type="dxa" w:w="1987"/>
            <w:vAlign w:val="center"/>
            <w:tcMar>
              <w:top w:w="90" w:type="dxa"/>
              <w:start w:w="110" w:type="dxa"/>
              <w:bottom w:w="90" w:type="dxa"/>
              <w:end w:w="110" w:type="dxa"/>
            </w:tcMar>
          </w:tcPr>
          <w:p>
            <w:pPr>
              <w:spacing w:after="0" w:line="240" w:lineRule="auto"/>
            </w:pPr>
            <w:r/>
            <w:r>
              <w:rPr>
                <w:rFonts w:ascii="Arial" w:hAnsi="Arial"/>
                <w:b w:val="0"/>
                <w:color w:val="18242F"/>
                <w:sz w:val="13"/>
              </w:rPr>
              <w:t>voice_sessions</w:t>
            </w:r>
          </w:p>
        </w:tc>
        <w:tc>
          <w:tcPr>
            <w:tcW w:type="dxa" w:w="5328"/>
            <w:vAlign w:val="center"/>
            <w:tcMar>
              <w:top w:w="90" w:type="dxa"/>
              <w:start w:w="110" w:type="dxa"/>
              <w:bottom w:w="90" w:type="dxa"/>
              <w:end w:w="110" w:type="dxa"/>
            </w:tcMar>
          </w:tcPr>
          <w:p>
            <w:pPr>
              <w:spacing w:after="0" w:line="240" w:lineRule="auto"/>
            </w:pPr>
            <w:r/>
            <w:r>
              <w:rPr>
                <w:rFonts w:ascii="Arial" w:hAnsi="Arial"/>
                <w:b w:val="0"/>
                <w:color w:val="18242F"/>
                <w:sz w:val="13"/>
              </w:rPr>
              <w:t>_id, user_id, session_id, case_id, started_at, ended_at, transcript_ref, status</w:t>
            </w:r>
          </w:p>
        </w:tc>
        <w:tc>
          <w:tcPr>
            <w:tcW w:type="dxa" w:w="2477"/>
            <w:vAlign w:val="center"/>
            <w:tcMar>
              <w:top w:w="90" w:type="dxa"/>
              <w:start w:w="110" w:type="dxa"/>
              <w:bottom w:w="90" w:type="dxa"/>
              <w:end w:w="110" w:type="dxa"/>
            </w:tcMar>
          </w:tcPr>
          <w:p>
            <w:pPr>
              <w:spacing w:after="0" w:line="240" w:lineRule="auto"/>
            </w:pPr>
            <w:r/>
            <w:r>
              <w:rPr>
                <w:rFonts w:ascii="Arial" w:hAnsi="Arial"/>
                <w:b w:val="0"/>
                <w:color w:val="18242F"/>
                <w:sz w:val="13"/>
              </w:rPr>
              <w:t>Store transcripts only according to configured retention; protect access.</w:t>
            </w:r>
          </w:p>
        </w:tc>
      </w:tr>
    </w:tbl>
    <w:p>
      <w:pPr>
        <w:spacing w:after="20"/>
      </w:pPr>
    </w:p>
    <w:p>
      <w:pPr>
        <w:pStyle w:val="Heading2"/>
      </w:pPr>
      <w:r>
        <w:t>8.2 Indexes to create early</w:t>
      </w:r>
    </w:p>
    <w:p>
      <w:pPr>
        <w:pStyle w:val="ListBullet"/>
        <w:spacing w:after="40"/>
        <w:ind w:left="360"/>
      </w:pPr>
      <w:r>
        <w:t>cases: unique `(tenant_id, case_number)` where business rules require uniqueness.</w:t>
      </w:r>
    </w:p>
    <w:p>
      <w:pPr>
        <w:pStyle w:val="ListBullet"/>
        <w:spacing w:after="40"/>
        <w:ind w:left="360"/>
      </w:pPr>
      <w:r>
        <w:t>case_memberships: unique `(case_id, user_id)`.</w:t>
      </w:r>
    </w:p>
    <w:p>
      <w:pPr>
        <w:pStyle w:val="ListBullet"/>
        <w:spacing w:after="40"/>
        <w:ind w:left="360"/>
      </w:pPr>
      <w:r>
        <w:t>documents/entities/relationships/findings: compound indexes beginning with `case_id` plus common filter/sort fields.</w:t>
      </w:r>
    </w:p>
    <w:p>
      <w:pPr>
        <w:pStyle w:val="ListBullet"/>
        <w:spacing w:after="40"/>
        <w:ind w:left="360"/>
      </w:pPr>
      <w:r>
        <w:t>analysis_runs: `(case_id, created_at desc)` and `(status, updated_at)` for workers/recovery.</w:t>
      </w:r>
    </w:p>
    <w:p>
      <w:pPr>
        <w:pStyle w:val="ListBullet"/>
        <w:spacing w:after="40"/>
        <w:ind w:left="360"/>
      </w:pPr>
      <w:r>
        <w:t>tasks: `(run_id, status)`, `(run_id, task_id)` and unique task identity per run where applicable.</w:t>
      </w:r>
    </w:p>
    <w:p>
      <w:pPr>
        <w:pStyle w:val="ListBullet"/>
        <w:spacing w:after="40"/>
        <w:ind w:left="360"/>
      </w:pPr>
      <w:r>
        <w:t>run_events: unique `(run_id, seq)` to preserve ordered replay.</w:t>
      </w:r>
    </w:p>
    <w:p>
      <w:pPr>
        <w:pStyle w:val="ListBullet"/>
        <w:spacing w:after="40"/>
        <w:ind w:left="360"/>
      </w:pPr>
      <w:r>
        <w:t>audit_events: `(case_id, timestamp desc)` and `(actor_id, timestamp desc)`.</w:t>
      </w:r>
    </w:p>
    <w:p>
      <w:pPr>
        <w:pStyle w:val="Heading2"/>
      </w:pPr>
      <w:r>
        <w:t>8.3 Document immutability</w:t>
      </w:r>
    </w:p>
    <w:p>
      <w:r>
        <w:rPr>
          <w:i w:val="0"/>
        </w:rPr>
        <w:t>Treat uploaded source content as immutable. If parsing/OCR behavior changes, create a new extracted-text version with parser_version and source_hash rather than silently changing the basis of old citations. If a document is replaced, create a new document record and mark the prior version superseded according to policy.</w:t>
      </w:r>
    </w:p>
    <w:p>
      <w:pPr>
        <w:pStyle w:val="Heading1"/>
      </w:pPr>
      <w:r>
        <w:t>9. Document ingestion and RAG pipeline</w:t>
      </w:r>
    </w:p>
    <w:p>
      <w:r>
        <w:drawing>
          <wp:inline xmlns:a="http://schemas.openxmlformats.org/drawingml/2006/main" xmlns:pic="http://schemas.openxmlformats.org/drawingml/2006/picture">
            <wp:extent cx="6263640" cy="3133158"/>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263640" cy="3133158"/>
                    </a:xfrm>
                    <a:prstGeom prst="rect"/>
                  </pic:spPr>
                </pic:pic>
              </a:graphicData>
            </a:graphic>
          </wp:inline>
        </w:drawing>
      </w:r>
    </w:p>
    <w:p>
      <w:r>
        <w:rPr>
          <w:i/>
        </w:rPr>
        <w:t>Figure 2. Case 345 lifecycle. The event stream is driven by persisted state transitions.</w:t>
      </w:r>
    </w:p>
    <w:p>
      <w:pPr>
        <w:pStyle w:val="Heading2"/>
      </w:pPr>
      <w:r>
        <w:t>9.1 Ingestion steps</w:t>
      </w:r>
    </w:p>
    <w:p>
      <w:pPr>
        <w:pStyle w:val="ListNumber"/>
        <w:spacing w:after="40"/>
      </w:pPr>
      <w:r>
        <w:t>Upload allowlisted format (MVP: PDF, TXT, DOCX, JSON, CSV; add XLSX if needed). Validate file size, extension, media type and parser compatibility; write to an opaque storage key.</w:t>
      </w:r>
    </w:p>
    <w:p>
      <w:pPr>
        <w:pStyle w:val="ListNumber"/>
        <w:spacing w:after="40"/>
      </w:pPr>
      <w:r>
        <w:t>Compute SHA-256 hash and store source metadata; reject empty/unsupported files and quarantine parser failures. Never execute uploaded files.</w:t>
      </w:r>
    </w:p>
    <w:p>
      <w:pPr>
        <w:pStyle w:val="ListNumber"/>
        <w:spacing w:after="40"/>
      </w:pPr>
      <w:r>
        <w:t>Extract text by page/record. For scanned PDFs, OCR is optional and must mark OCR-derived text and confidence/quality metadata. Do not mix OCR text with native text without a provenance flag.</w:t>
      </w:r>
    </w:p>
    <w:p>
      <w:pPr>
        <w:pStyle w:val="ListNumber"/>
        <w:spacing w:after="40"/>
      </w:pPr>
      <w:r>
        <w:t>Normalize whitespace without losing original char offsets. Create immutable extracted_text_version and chunk records with page, offsets and parser version.</w:t>
      </w:r>
    </w:p>
    <w:p>
      <w:pPr>
        <w:pStyle w:val="ListNumber"/>
        <w:spacing w:after="40"/>
      </w:pPr>
      <w:r>
        <w:t>Generate embeddings, then upsert chunks to Qdrant with payload fields: tenant_id, case_id, document_id, chunk_id, page, source_hash and access/version state.</w:t>
      </w:r>
    </w:p>
    <w:p>
      <w:pPr>
        <w:pStyle w:val="ListNumber"/>
        <w:spacing w:after="40"/>
      </w:pPr>
      <w:r>
        <w:t>Create payload indexes for every filter field that is used in retrieval. Run a test proving a query for Case A cannot return a chunk from Case B.</w:t>
      </w:r>
    </w:p>
    <w:p>
      <w:pPr>
        <w:pStyle w:val="ListNumber"/>
        <w:spacing w:after="40"/>
      </w:pPr>
      <w:r>
        <w:t>Mark the document indexed only when metadata and vector upserts both succeed. If either side fails, expose `indexing_failed` and allow a safe retry.</w:t>
      </w:r>
    </w:p>
    <w:p>
      <w:pPr>
        <w:pStyle w:val="Heading2"/>
      </w:pPr>
      <w:r>
        <w:t>9.2 Chunk and citation strategy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90" w:type="dxa"/>
              <w:start w:w="110" w:type="dxa"/>
              <w:bottom w:w="90" w:type="dxa"/>
              <w:end w:w="110" w:type="dxa"/>
            </w:tcMar>
            <w:shd w:fill="1D3B55"/>
          </w:tcPr>
          <w:p>
            <w:pPr>
              <w:spacing w:after="0" w:line="240" w:lineRule="auto"/>
            </w:pPr>
            <w:r/>
            <w:r>
              <w:rPr>
                <w:rFonts w:ascii="Arial" w:hAnsi="Arial"/>
                <w:b/>
                <w:color w:val="FFFFFF"/>
                <w:sz w:val="16"/>
              </w:rPr>
              <w:t>Field</w:t>
            </w:r>
          </w:p>
        </w:tc>
        <w:tc>
          <w:tcPr>
            <w:tcW w:type="dxa" w:w="7416"/>
            <w:vAlign w:val="center"/>
            <w:tcMar>
              <w:top w:w="90" w:type="dxa"/>
              <w:start w:w="110" w:type="dxa"/>
              <w:bottom w:w="90" w:type="dxa"/>
              <w:end w:w="110" w:type="dxa"/>
            </w:tcMar>
            <w:shd w:fill="1D3B55"/>
          </w:tcPr>
          <w:p>
            <w:pPr>
              <w:spacing w:after="0" w:line="240" w:lineRule="auto"/>
            </w:pPr>
            <w:r/>
            <w:r>
              <w:rPr>
                <w:rFonts w:ascii="Arial" w:hAnsi="Arial"/>
                <w:b/>
                <w:color w:val="FFFFFF"/>
                <w:sz w:val="16"/>
              </w:rPr>
              <w:t>Requirement</w:t>
            </w:r>
          </w:p>
        </w:tc>
      </w:tr>
      <w:tr>
        <w:tc>
          <w:tcPr>
            <w:tcW w:type="dxa" w:w="2376"/>
            <w:vAlign w:val="center"/>
            <w:tcMar>
              <w:top w:w="90" w:type="dxa"/>
              <w:start w:w="110" w:type="dxa"/>
              <w:bottom w:w="90" w:type="dxa"/>
              <w:end w:w="110" w:type="dxa"/>
            </w:tcMar>
          </w:tcPr>
          <w:p>
            <w:pPr>
              <w:spacing w:after="0" w:line="240" w:lineRule="auto"/>
            </w:pPr>
            <w:r/>
            <w:r>
              <w:rPr>
                <w:rFonts w:ascii="Arial" w:hAnsi="Arial"/>
                <w:b w:val="0"/>
                <w:color w:val="18242F"/>
                <w:sz w:val="16"/>
              </w:rPr>
              <w:t>chunk_id</w:t>
            </w:r>
          </w:p>
        </w:tc>
        <w:tc>
          <w:tcPr>
            <w:tcW w:type="dxa" w:w="7416"/>
            <w:vAlign w:val="center"/>
            <w:tcMar>
              <w:top w:w="90" w:type="dxa"/>
              <w:start w:w="110" w:type="dxa"/>
              <w:bottom w:w="90" w:type="dxa"/>
              <w:end w:w="110" w:type="dxa"/>
            </w:tcMar>
          </w:tcPr>
          <w:p>
            <w:pPr>
              <w:spacing w:after="0" w:line="240" w:lineRule="auto"/>
            </w:pPr>
            <w:r/>
            <w:r>
              <w:rPr>
                <w:rFonts w:ascii="Arial" w:hAnsi="Arial"/>
                <w:b w:val="0"/>
                <w:color w:val="18242F"/>
                <w:sz w:val="16"/>
              </w:rPr>
              <w:t>Stable ID for the exact extracted-text version.</w:t>
            </w:r>
          </w:p>
        </w:tc>
      </w:tr>
      <w:tr>
        <w:tc>
          <w:tcPr>
            <w:tcW w:type="dxa" w:w="2376"/>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document_id + case_id</w:t>
            </w:r>
          </w:p>
        </w:tc>
        <w:tc>
          <w:tcPr>
            <w:tcW w:type="dxa" w:w="7416"/>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Always carried through retrieval and response generation.</w:t>
            </w:r>
          </w:p>
        </w:tc>
      </w:tr>
      <w:tr>
        <w:tc>
          <w:tcPr>
            <w:tcW w:type="dxa" w:w="2376"/>
            <w:vAlign w:val="center"/>
            <w:tcMar>
              <w:top w:w="90" w:type="dxa"/>
              <w:start w:w="110" w:type="dxa"/>
              <w:bottom w:w="90" w:type="dxa"/>
              <w:end w:w="110" w:type="dxa"/>
            </w:tcMar>
          </w:tcPr>
          <w:p>
            <w:pPr>
              <w:spacing w:after="0" w:line="240" w:lineRule="auto"/>
            </w:pPr>
            <w:r/>
            <w:r>
              <w:rPr>
                <w:rFonts w:ascii="Arial" w:hAnsi="Arial"/>
                <w:b w:val="0"/>
                <w:color w:val="18242F"/>
                <w:sz w:val="16"/>
              </w:rPr>
              <w:t>page / record locator</w:t>
            </w:r>
          </w:p>
        </w:tc>
        <w:tc>
          <w:tcPr>
            <w:tcW w:type="dxa" w:w="7416"/>
            <w:vAlign w:val="center"/>
            <w:tcMar>
              <w:top w:w="90" w:type="dxa"/>
              <w:start w:w="110" w:type="dxa"/>
              <w:bottom w:w="90" w:type="dxa"/>
              <w:end w:w="110" w:type="dxa"/>
            </w:tcMar>
          </w:tcPr>
          <w:p>
            <w:pPr>
              <w:spacing w:after="0" w:line="240" w:lineRule="auto"/>
            </w:pPr>
            <w:r/>
            <w:r>
              <w:rPr>
                <w:rFonts w:ascii="Arial" w:hAnsi="Arial"/>
                <w:b w:val="0"/>
                <w:color w:val="18242F"/>
                <w:sz w:val="16"/>
              </w:rPr>
              <w:t>Page number for PDF/DOCX where available; row/record ID for tabular data.</w:t>
            </w:r>
          </w:p>
        </w:tc>
      </w:tr>
      <w:tr>
        <w:tc>
          <w:tcPr>
            <w:tcW w:type="dxa" w:w="2376"/>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char_start / char_end</w:t>
            </w:r>
          </w:p>
        </w:tc>
        <w:tc>
          <w:tcPr>
            <w:tcW w:type="dxa" w:w="7416"/>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Offsets into stored canonical text; validate 0 &lt;= start &lt; end &lt;= text length.</w:t>
            </w:r>
          </w:p>
        </w:tc>
      </w:tr>
      <w:tr>
        <w:tc>
          <w:tcPr>
            <w:tcW w:type="dxa" w:w="2376"/>
            <w:vAlign w:val="center"/>
            <w:tcMar>
              <w:top w:w="90" w:type="dxa"/>
              <w:start w:w="110" w:type="dxa"/>
              <w:bottom w:w="90" w:type="dxa"/>
              <w:end w:w="110" w:type="dxa"/>
            </w:tcMar>
          </w:tcPr>
          <w:p>
            <w:pPr>
              <w:spacing w:after="0" w:line="240" w:lineRule="auto"/>
            </w:pPr>
            <w:r/>
            <w:r>
              <w:rPr>
                <w:rFonts w:ascii="Arial" w:hAnsi="Arial"/>
                <w:b w:val="0"/>
                <w:color w:val="18242F"/>
                <w:sz w:val="16"/>
              </w:rPr>
              <w:t>exact_quote</w:t>
            </w:r>
          </w:p>
        </w:tc>
        <w:tc>
          <w:tcPr>
            <w:tcW w:type="dxa" w:w="7416"/>
            <w:vAlign w:val="center"/>
            <w:tcMar>
              <w:top w:w="90" w:type="dxa"/>
              <w:start w:w="110" w:type="dxa"/>
              <w:bottom w:w="90" w:type="dxa"/>
              <w:end w:w="110" w:type="dxa"/>
            </w:tcMar>
          </w:tcPr>
          <w:p>
            <w:pPr>
              <w:spacing w:after="0" w:line="240" w:lineRule="auto"/>
            </w:pPr>
            <w:r/>
            <w:r>
              <w:rPr>
                <w:rFonts w:ascii="Arial" w:hAnsi="Arial"/>
                <w:b w:val="0"/>
                <w:color w:val="18242F"/>
                <w:sz w:val="16"/>
              </w:rPr>
              <w:t>Server-resolved substring; do not trust an LLM to invent quote text.</w:t>
            </w:r>
          </w:p>
        </w:tc>
      </w:tr>
      <w:tr>
        <w:tc>
          <w:tcPr>
            <w:tcW w:type="dxa" w:w="2376"/>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source_hash + parser_version</w:t>
            </w:r>
          </w:p>
        </w:tc>
        <w:tc>
          <w:tcPr>
            <w:tcW w:type="dxa" w:w="7416"/>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Links source to the exact extraction version used for analysis.</w:t>
            </w:r>
          </w:p>
        </w:tc>
      </w:tr>
      <w:tr>
        <w:tc>
          <w:tcPr>
            <w:tcW w:type="dxa" w:w="2376"/>
            <w:vAlign w:val="center"/>
            <w:tcMar>
              <w:top w:w="90" w:type="dxa"/>
              <w:start w:w="110" w:type="dxa"/>
              <w:bottom w:w="90" w:type="dxa"/>
              <w:end w:w="110" w:type="dxa"/>
            </w:tcMar>
          </w:tcPr>
          <w:p>
            <w:pPr>
              <w:spacing w:after="0" w:line="240" w:lineRule="auto"/>
            </w:pPr>
            <w:r/>
            <w:r>
              <w:rPr>
                <w:rFonts w:ascii="Arial" w:hAnsi="Arial"/>
                <w:b w:val="0"/>
                <w:color w:val="18242F"/>
                <w:sz w:val="16"/>
              </w:rPr>
              <w:t>retrieval score / method</w:t>
            </w:r>
          </w:p>
        </w:tc>
        <w:tc>
          <w:tcPr>
            <w:tcW w:type="dxa" w:w="7416"/>
            <w:vAlign w:val="center"/>
            <w:tcMar>
              <w:top w:w="90" w:type="dxa"/>
              <w:start w:w="110" w:type="dxa"/>
              <w:bottom w:w="90" w:type="dxa"/>
              <w:end w:w="110" w:type="dxa"/>
            </w:tcMar>
          </w:tcPr>
          <w:p>
            <w:pPr>
              <w:spacing w:after="0" w:line="240" w:lineRule="auto"/>
            </w:pPr>
            <w:r/>
            <w:r>
              <w:rPr>
                <w:rFonts w:ascii="Arial" w:hAnsi="Arial"/>
                <w:b w:val="0"/>
                <w:color w:val="18242F"/>
                <w:sz w:val="16"/>
              </w:rPr>
              <w:t>Store as advisory retrieval metadata, not as a truth/confidence score.</w:t>
            </w:r>
          </w:p>
        </w:tc>
      </w:tr>
    </w:tbl>
    <w:p>
      <w:pPr>
        <w:spacing w:after="20"/>
      </w:pPr>
    </w:p>
    <w:p>
      <w:pPr>
        <w:pStyle w:val="Heading2"/>
      </w:pPr>
      <w:r>
        <w:t>9.3 RAG query flow</w:t>
      </w:r>
    </w:p>
    <w:p>
      <w:pPr>
        <w:pStyle w:val="ListNumber"/>
        <w:spacing w:after="40"/>
      </w:pPr>
      <w:r>
        <w:t>Authorize current user for case before retrieval begins.</w:t>
      </w:r>
    </w:p>
    <w:p>
      <w:pPr>
        <w:pStyle w:val="ListNumber"/>
        <w:spacing w:after="40"/>
      </w:pPr>
      <w:r>
        <w:t>Parse the query into search text and optional structured filters using validated code; never let the LLM remove authorization filters.</w:t>
      </w:r>
    </w:p>
    <w:p>
      <w:pPr>
        <w:pStyle w:val="ListNumber"/>
        <w:spacing w:after="40"/>
      </w:pPr>
      <w:r>
        <w:t>Retrieve top-k chunks from Qdrant with mandatory tenant_id and case_id filters. Optional lexical/hybrid retrieval can be added after baseline evaluation.</w:t>
      </w:r>
    </w:p>
    <w:p>
      <w:pPr>
        <w:pStyle w:val="ListNumber"/>
        <w:spacing w:after="40"/>
      </w:pPr>
      <w:r>
        <w:t>Resolve each hit to the durable source/chunk record and verify current access and source hash.</w:t>
      </w:r>
    </w:p>
    <w:p>
      <w:pPr>
        <w:pStyle w:val="ListNumber"/>
        <w:spacing w:after="40"/>
      </w:pPr>
      <w:r>
        <w:t>Send only the minimum necessary context to CoreLLMProvider, with citation IDs attached to each passage and instructions to return “insufficient evidence” when context is inadequate.</w:t>
      </w:r>
    </w:p>
    <w:p>
      <w:pPr>
        <w:pStyle w:val="ListNumber"/>
        <w:spacing w:after="40"/>
      </w:pPr>
      <w:r>
        <w:t>Validate that every returned citation ID was actually supplied and maps to an authorized chunk. Output structured answer + citation list + limitations.</w:t>
      </w:r>
    </w:p>
    <w:tbl>
      <w:tblPr>
        <w:tblW w:type="auto" w:w="0"/>
        <w:jc w:val="center"/>
        <w:tblLook w:firstColumn="1" w:firstRow="1" w:lastColumn="0" w:lastRow="0" w:noHBand="0" w:noVBand="1" w:val="04A0"/>
      </w:tblPr>
      <w:tblGrid>
        <w:gridCol w:w="10166"/>
      </w:tblGrid>
      <w:tr>
        <w:tc>
          <w:tcPr>
            <w:tcW w:type="dxa" w:w="10166"/>
            <w:shd w:fill="FFF0E8"/>
            <w:tcMar>
              <w:top w:w="140" w:type="dxa"/>
              <w:start w:w="180" w:type="dxa"/>
              <w:bottom w:w="140" w:type="dxa"/>
              <w:end w:w="180" w:type="dxa"/>
            </w:tcMar>
          </w:tcPr>
          <w:p>
            <w:pPr>
              <w:spacing w:after="60"/>
            </w:pPr>
            <w:r/>
            <w:r>
              <w:rPr>
                <w:b/>
                <w:color w:val="E07A45"/>
                <w:sz w:val="20"/>
              </w:rPr>
              <w:t>RAG must not be treated as proof</w:t>
            </w:r>
          </w:p>
          <w:p>
            <w:pPr>
              <w:spacing w:after="0" w:line="252" w:lineRule="auto"/>
            </w:pPr>
            <w:r>
              <w:rPr>
                <w:color w:val="18242F"/>
                <w:sz w:val="18"/>
              </w:rPr>
              <w:t>RAG locates potentially relevant passages. It does not verify that a relationship is true. Relationship verification remains a separate service with predicate-specific checks, contradiction handling and a distinct human-review status.</w:t>
            </w:r>
          </w:p>
        </w:tc>
      </w:tr>
    </w:tbl>
    <w:p>
      <w:pPr>
        <w:spacing w:after="20"/>
      </w:pPr>
    </w:p>
    <w:p>
      <w:pPr>
        <w:pStyle w:val="Heading1"/>
      </w:pPr>
      <w:r>
        <w:t>10. Evidence ledger and relationship verification</w:t>
      </w:r>
    </w:p>
    <w:p>
      <w:pPr>
        <w:pStyle w:val="Heading2"/>
      </w:pPr>
      <w:r>
        <w:t>10.1 Minimum evidence record</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w:t>
            </w:r>
          </w:p>
          <w:p>
            <w:pPr>
              <w:pStyle w:val="TATTVACode"/>
              <w:keepLines/>
            </w:pPr>
            <w:r>
              <w:rPr>
                <w:rFonts w:ascii="Consolas" w:hAnsi="Consolas"/>
                <w:color w:val="203448"/>
                <w:sz w:val="14"/>
              </w:rPr>
              <w:t xml:space="preserve">  "evidence_id": "evidence_014",</w:t>
            </w:r>
          </w:p>
          <w:p>
            <w:pPr>
              <w:pStyle w:val="TATTVACode"/>
              <w:keepLines/>
            </w:pPr>
            <w:r>
              <w:rPr>
                <w:rFonts w:ascii="Consolas" w:hAnsi="Consolas"/>
                <w:color w:val="203448"/>
                <w:sz w:val="14"/>
              </w:rPr>
              <w:t xml:space="preserve">  "case_id": "case_uuid",</w:t>
            </w:r>
          </w:p>
          <w:p>
            <w:pPr>
              <w:pStyle w:val="TATTVACode"/>
              <w:keepLines/>
            </w:pPr>
            <w:r>
              <w:rPr>
                <w:rFonts w:ascii="Consolas" w:hAnsi="Consolas"/>
                <w:color w:val="203448"/>
                <w:sz w:val="14"/>
              </w:rPr>
              <w:t xml:space="preserve">  "document_id": "document_uuid",</w:t>
            </w:r>
          </w:p>
          <w:p>
            <w:pPr>
              <w:pStyle w:val="TATTVACode"/>
              <w:keepLines/>
            </w:pPr>
            <w:r>
              <w:rPr>
                <w:rFonts w:ascii="Consolas" w:hAnsi="Consolas"/>
                <w:color w:val="203448"/>
                <w:sz w:val="14"/>
              </w:rPr>
              <w:t xml:space="preserve">  "source_hash": "sha256:...",</w:t>
            </w:r>
          </w:p>
          <w:p>
            <w:pPr>
              <w:pStyle w:val="TATTVACode"/>
              <w:keepLines/>
            </w:pPr>
            <w:r>
              <w:rPr>
                <w:rFonts w:ascii="Consolas" w:hAnsi="Consolas"/>
                <w:color w:val="203448"/>
                <w:sz w:val="14"/>
              </w:rPr>
              <w:t xml:space="preserve">  "parser_version": "parser-1.0",</w:t>
            </w:r>
          </w:p>
          <w:p>
            <w:pPr>
              <w:pStyle w:val="TATTVACode"/>
              <w:keepLines/>
            </w:pPr>
            <w:r>
              <w:rPr>
                <w:rFonts w:ascii="Consolas" w:hAnsi="Consolas"/>
                <w:color w:val="203448"/>
                <w:sz w:val="14"/>
              </w:rPr>
              <w:t xml:space="preserve">  "page": 3,</w:t>
            </w:r>
          </w:p>
          <w:p>
            <w:pPr>
              <w:pStyle w:val="TATTVACode"/>
              <w:keepLines/>
            </w:pPr>
            <w:r>
              <w:rPr>
                <w:rFonts w:ascii="Consolas" w:hAnsi="Consolas"/>
                <w:color w:val="203448"/>
                <w:sz w:val="14"/>
              </w:rPr>
              <w:t xml:space="preserve">  "char_start": 821,</w:t>
            </w:r>
          </w:p>
          <w:p>
            <w:pPr>
              <w:pStyle w:val="TATTVACode"/>
              <w:keepLines/>
            </w:pPr>
            <w:r>
              <w:rPr>
                <w:rFonts w:ascii="Consolas" w:hAnsi="Consolas"/>
                <w:color w:val="203448"/>
                <w:sz w:val="14"/>
              </w:rPr>
              <w:t xml:space="preserve">  "char_end": 903,</w:t>
            </w:r>
          </w:p>
          <w:p>
            <w:pPr>
              <w:pStyle w:val="TATTVACode"/>
              <w:keepLines/>
            </w:pPr>
            <w:r>
              <w:rPr>
                <w:rFonts w:ascii="Consolas" w:hAnsi="Consolas"/>
                <w:color w:val="203448"/>
                <w:sz w:val="14"/>
              </w:rPr>
              <w:t xml:space="preserve">  "exact_quote": "Synthetic source passage as stored...",</w:t>
            </w:r>
          </w:p>
          <w:p>
            <w:pPr>
              <w:pStyle w:val="TATTVACode"/>
              <w:keepLines/>
            </w:pPr>
            <w:r>
              <w:rPr>
                <w:rFonts w:ascii="Consolas" w:hAnsi="Consolas"/>
                <w:color w:val="203448"/>
                <w:sz w:val="14"/>
              </w:rPr>
              <w:t xml:space="preserve">  "claim_refs": ["relationship_uuid"],</w:t>
            </w:r>
          </w:p>
          <w:p>
            <w:pPr>
              <w:pStyle w:val="TATTVACode"/>
              <w:keepLines/>
            </w:pPr>
            <w:r>
              <w:rPr>
                <w:rFonts w:ascii="Consolas" w:hAnsi="Consolas"/>
                <w:color w:val="203448"/>
                <w:sz w:val="14"/>
              </w:rPr>
              <w:t xml:space="preserve">  "created_at": "2026-10-20T10:00:00Z"</w:t>
            </w:r>
          </w:p>
          <w:p>
            <w:pPr>
              <w:pStyle w:val="TATTVACode"/>
              <w:keepLines/>
            </w:pPr>
            <w:r>
              <w:rPr>
                <w:rFonts w:ascii="Consolas" w:hAnsi="Consolas"/>
                <w:color w:val="203448"/>
                <w:sz w:val="14"/>
              </w:rPr>
              <w:t>}</w:t>
            </w:r>
          </w:p>
        </w:tc>
      </w:tr>
    </w:tbl>
    <w:p>
      <w:pPr>
        <w:spacing w:after="20"/>
      </w:pPr>
    </w:p>
    <w:p>
      <w:pPr>
        <w:pStyle w:val="Heading2"/>
      </w:pPr>
      <w:r>
        <w:t>10.2 Two-stage verification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vAlign w:val="center"/>
            <w:tcMar>
              <w:top w:w="90" w:type="dxa"/>
              <w:start w:w="110" w:type="dxa"/>
              <w:bottom w:w="90" w:type="dxa"/>
              <w:end w:w="110" w:type="dxa"/>
            </w:tcMar>
            <w:shd w:fill="1D3B55"/>
          </w:tcPr>
          <w:p>
            <w:pPr>
              <w:spacing w:after="0" w:line="240" w:lineRule="auto"/>
            </w:pPr>
            <w:r/>
            <w:r>
              <w:rPr>
                <w:rFonts w:ascii="Arial" w:hAnsi="Arial"/>
                <w:b/>
                <w:color w:val="FFFFFF"/>
                <w:sz w:val="16"/>
              </w:rPr>
              <w:t>Stage</w:t>
            </w:r>
          </w:p>
        </w:tc>
        <w:tc>
          <w:tcPr>
            <w:tcW w:type="dxa" w:w="5184"/>
            <w:vAlign w:val="center"/>
            <w:tcMar>
              <w:top w:w="90" w:type="dxa"/>
              <w:start w:w="110" w:type="dxa"/>
              <w:bottom w:w="90" w:type="dxa"/>
              <w:end w:w="110" w:type="dxa"/>
            </w:tcMar>
            <w:shd w:fill="1D3B55"/>
          </w:tcPr>
          <w:p>
            <w:pPr>
              <w:spacing w:after="0" w:line="240" w:lineRule="auto"/>
            </w:pPr>
            <w:r/>
            <w:r>
              <w:rPr>
                <w:rFonts w:ascii="Arial" w:hAnsi="Arial"/>
                <w:b/>
                <w:color w:val="FFFFFF"/>
                <w:sz w:val="16"/>
              </w:rPr>
              <w:t>Checks</w:t>
            </w:r>
          </w:p>
        </w:tc>
        <w:tc>
          <w:tcPr>
            <w:tcW w:type="dxa" w:w="2592"/>
            <w:vAlign w:val="center"/>
            <w:tcMar>
              <w:top w:w="90" w:type="dxa"/>
              <w:start w:w="110" w:type="dxa"/>
              <w:bottom w:w="90" w:type="dxa"/>
              <w:end w:w="110" w:type="dxa"/>
            </w:tcMar>
            <w:shd w:fill="1D3B55"/>
          </w:tcPr>
          <w:p>
            <w:pPr>
              <w:spacing w:after="0" w:line="240" w:lineRule="auto"/>
            </w:pPr>
            <w:r/>
            <w:r>
              <w:rPr>
                <w:rFonts w:ascii="Arial" w:hAnsi="Arial"/>
                <w:b/>
                <w:color w:val="FFFFFF"/>
                <w:sz w:val="16"/>
              </w:rPr>
              <w:t>Failure behavior</w:t>
            </w:r>
          </w:p>
        </w:tc>
      </w:tr>
      <w:tr>
        <w:tc>
          <w:tcPr>
            <w:tcW w:type="dxa" w:w="2016"/>
            <w:vAlign w:val="center"/>
            <w:tcMar>
              <w:top w:w="90" w:type="dxa"/>
              <w:start w:w="110" w:type="dxa"/>
              <w:bottom w:w="90" w:type="dxa"/>
              <w:end w:w="110" w:type="dxa"/>
            </w:tcMar>
          </w:tcPr>
          <w:p>
            <w:pPr>
              <w:spacing w:after="0" w:line="240" w:lineRule="auto"/>
            </w:pPr>
            <w:r/>
            <w:r>
              <w:rPr>
                <w:rFonts w:ascii="Arial" w:hAnsi="Arial"/>
                <w:b w:val="0"/>
                <w:color w:val="18242F"/>
                <w:sz w:val="14"/>
              </w:rPr>
              <w:t>1. Mechanical provenance</w:t>
            </w:r>
          </w:p>
        </w:tc>
        <w:tc>
          <w:tcPr>
            <w:tcW w:type="dxa" w:w="5184"/>
            <w:vAlign w:val="center"/>
            <w:tcMar>
              <w:top w:w="90" w:type="dxa"/>
              <w:start w:w="110" w:type="dxa"/>
              <w:bottom w:w="90" w:type="dxa"/>
              <w:end w:w="110" w:type="dxa"/>
            </w:tcMar>
          </w:tcPr>
          <w:p>
            <w:pPr>
              <w:spacing w:after="0" w:line="240" w:lineRule="auto"/>
            </w:pPr>
            <w:r/>
            <w:r>
              <w:rPr>
                <w:rFonts w:ascii="Arial" w:hAnsi="Arial"/>
                <w:b w:val="0"/>
                <w:color w:val="18242F"/>
                <w:sz w:val="14"/>
              </w:rPr>
              <w:t>Source exists; case matches; source hash/version matches; offsets valid; exact quote equals stored substring; subject/predicate/object IDs exist; output schema valid.</w:t>
            </w:r>
          </w:p>
        </w:tc>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4"/>
              </w:rPr>
              <w:t>Set verification_failed or insufficient_evidence; do not promote edge.</w:t>
            </w:r>
          </w:p>
        </w:tc>
      </w:tr>
      <w:tr>
        <w:tc>
          <w:tcPr>
            <w:tcW w:type="dxa" w:w="201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2. Semantic/predicate support</w:t>
            </w:r>
          </w:p>
        </w:tc>
        <w:tc>
          <w:tcPr>
            <w:tcW w:type="dxa" w:w="518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 deterministic predicate rule and/or Core LLM assesses whether the quoted passage supports, contradicts or is insufficient for the specific subject-predicate-object claim.</w:t>
            </w:r>
          </w:p>
        </w:tc>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Keep model result advisory; preserve passage/citation and reason. Co-mention-only is insufficient.</w:t>
            </w:r>
          </w:p>
        </w:tc>
      </w:tr>
      <w:tr>
        <w:tc>
          <w:tcPr>
            <w:tcW w:type="dxa" w:w="2016"/>
            <w:vAlign w:val="center"/>
            <w:tcMar>
              <w:top w:w="90" w:type="dxa"/>
              <w:start w:w="110" w:type="dxa"/>
              <w:bottom w:w="90" w:type="dxa"/>
              <w:end w:w="110" w:type="dxa"/>
            </w:tcMar>
          </w:tcPr>
          <w:p>
            <w:pPr>
              <w:spacing w:after="0" w:line="240" w:lineRule="auto"/>
            </w:pPr>
            <w:r/>
            <w:r>
              <w:rPr>
                <w:rFonts w:ascii="Arial" w:hAnsi="Arial"/>
                <w:b w:val="0"/>
                <w:color w:val="18242F"/>
                <w:sz w:val="14"/>
              </w:rPr>
              <w:t>3. Contradiction reconciliation</w:t>
            </w:r>
          </w:p>
        </w:tc>
        <w:tc>
          <w:tcPr>
            <w:tcW w:type="dxa" w:w="5184"/>
            <w:vAlign w:val="center"/>
            <w:tcMar>
              <w:top w:w="90" w:type="dxa"/>
              <w:start w:w="110" w:type="dxa"/>
              <w:bottom w:w="90" w:type="dxa"/>
              <w:end w:w="110" w:type="dxa"/>
            </w:tcMar>
          </w:tcPr>
          <w:p>
            <w:pPr>
              <w:spacing w:after="0" w:line="240" w:lineRule="auto"/>
            </w:pPr>
            <w:r/>
            <w:r>
              <w:rPr>
                <w:rFonts w:ascii="Arial" w:hAnsi="Arial"/>
                <w:b w:val="0"/>
                <w:color w:val="18242F"/>
                <w:sz w:val="14"/>
              </w:rPr>
              <w:t>Compare claims about same identity/attribute/relationship across sources and time. Preserve competing source claims.</w:t>
            </w:r>
          </w:p>
        </w:tc>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4"/>
              </w:rPr>
              <w:t>Mark disputed; do not overwrite earlier record or decide which source is truthful automatically.</w:t>
            </w:r>
          </w:p>
        </w:tc>
      </w:tr>
      <w:tr>
        <w:tc>
          <w:tcPr>
            <w:tcW w:type="dxa" w:w="201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4. Human review</w:t>
            </w:r>
          </w:p>
        </w:tc>
        <w:tc>
          <w:tcPr>
            <w:tcW w:type="dxa" w:w="518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Investigator inspects source excerpts and decides whether to accept for report, reject or request more evidence.</w:t>
            </w:r>
          </w:p>
        </w:tc>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Audit reviewer, timestamp, status transition and rationale.</w:t>
            </w:r>
          </w:p>
        </w:tc>
      </w:tr>
    </w:tbl>
    <w:p>
      <w:pPr>
        <w:spacing w:after="20"/>
      </w:pPr>
    </w:p>
    <w:p>
      <w:pPr>
        <w:pStyle w:val="Heading2"/>
      </w:pPr>
      <w:r>
        <w:t>10.3 Relationship state transitions</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candidate</w:t>
            </w:r>
          </w:p>
          <w:p>
            <w:pPr>
              <w:pStyle w:val="TATTVACode"/>
              <w:keepLines/>
            </w:pPr>
            <w:r>
              <w:rPr>
                <w:rFonts w:ascii="Consolas" w:hAnsi="Consolas"/>
                <w:color w:val="203448"/>
                <w:sz w:val="14"/>
              </w:rPr>
              <w:t xml:space="preserve">  -&gt; supported             (provenance + predicate support passed)</w:t>
            </w:r>
          </w:p>
          <w:p>
            <w:pPr>
              <w:pStyle w:val="TATTVACode"/>
              <w:keepLines/>
            </w:pPr>
            <w:r>
              <w:rPr>
                <w:rFonts w:ascii="Consolas" w:hAnsi="Consolas"/>
                <w:color w:val="203448"/>
                <w:sz w:val="14"/>
              </w:rPr>
              <w:t xml:space="preserve">  -&gt; disputed              (material contradictory claims exist)</w:t>
            </w:r>
          </w:p>
          <w:p>
            <w:pPr>
              <w:pStyle w:val="TATTVACode"/>
              <w:keepLines/>
            </w:pPr>
            <w:r>
              <w:rPr>
                <w:rFonts w:ascii="Consolas" w:hAnsi="Consolas"/>
                <w:color w:val="203448"/>
                <w:sz w:val="14"/>
              </w:rPr>
              <w:t xml:space="preserve">  -&gt; insufficient_evidence (source does not establish the relation)</w:t>
            </w:r>
          </w:p>
          <w:p>
            <w:pPr>
              <w:pStyle w:val="TATTVACode"/>
              <w:keepLines/>
            </w:pPr>
            <w:r>
              <w:rPr>
                <w:rFonts w:ascii="Consolas" w:hAnsi="Consolas"/>
                <w:color w:val="203448"/>
                <w:sz w:val="14"/>
              </w:rPr>
              <w:t xml:space="preserve">  -&gt; verification_failed   (source/schema/reference validation failed)</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Human review is separate:</w:t>
            </w:r>
          </w:p>
          <w:p>
            <w:pPr>
              <w:pStyle w:val="TATTVACode"/>
              <w:keepLines/>
            </w:pPr>
            <w:r>
              <w:rPr>
                <w:rFonts w:ascii="Consolas" w:hAnsi="Consolas"/>
                <w:color w:val="203448"/>
                <w:sz w:val="14"/>
              </w:rPr>
              <w:t>not_reviewed -&gt; accepted_for_report | rejected | needs_more_evidence</w:t>
            </w:r>
          </w:p>
        </w:tc>
      </w:tr>
    </w:tbl>
    <w:p>
      <w:pPr>
        <w:spacing w:after="20"/>
      </w:pPr>
    </w:p>
    <w:p>
      <w:pPr>
        <w:pStyle w:val="Heading2"/>
      </w:pPr>
      <w:r>
        <w:t>10.4 Anti-patterns to prohibit</w:t>
      </w:r>
    </w:p>
    <w:p>
      <w:pPr>
        <w:pStyle w:val="ListBullet"/>
        <w:spacing w:after="40"/>
        <w:ind w:left="360"/>
      </w:pPr>
      <w:r>
        <w:t>Do not mark a relation supported merely because both names appear in one document.</w:t>
      </w:r>
    </w:p>
    <w:p>
      <w:pPr>
        <w:pStyle w:val="ListBullet"/>
        <w:spacing w:after="40"/>
        <w:ind w:left="360"/>
      </w:pPr>
      <w:r>
        <w:t>Do not trust a model-generated quote; resolve the quote from stored offsets.</w:t>
      </w:r>
    </w:p>
    <w:p>
      <w:pPr>
        <w:pStyle w:val="ListBullet"/>
        <w:spacing w:after="40"/>
        <w:ind w:left="360"/>
      </w:pPr>
      <w:r>
        <w:t>Do not let a confidence score alone change status.</w:t>
      </w:r>
    </w:p>
    <w:p>
      <w:pPr>
        <w:pStyle w:val="ListBullet"/>
        <w:spacing w:after="40"/>
        <w:ind w:left="360"/>
      </w:pPr>
      <w:r>
        <w:t>Do not silently collapse two similarly named people into one entity.</w:t>
      </w:r>
    </w:p>
    <w:p>
      <w:pPr>
        <w:pStyle w:val="ListBullet"/>
        <w:spacing w:after="40"/>
        <w:ind w:left="360"/>
      </w:pPr>
      <w:r>
        <w:t>Do not treat network centrality, call frequency or a transaction anomaly as proof of criminality.</w:t>
      </w:r>
    </w:p>
    <w:p>
      <w:pPr>
        <w:pStyle w:val="ListBullet"/>
        <w:spacing w:after="40"/>
        <w:ind w:left="360"/>
      </w:pPr>
      <w:r>
        <w:t>Do not allow document text to change task permissions, relationship status or reviewer decisions.</w:t>
      </w:r>
    </w:p>
    <w:p>
      <w:pPr>
        <w:pStyle w:val="Heading1"/>
      </w:pPr>
      <w:r>
        <w:t>11. Bounded orchestration and TaskSpec</w:t>
      </w:r>
    </w:p>
    <w:p>
      <w:pPr>
        <w:pStyle w:val="Heading2"/>
      </w:pPr>
      <w:r>
        <w:t>11.1 Control loop</w:t>
      </w:r>
    </w:p>
    <w:p>
      <w:pPr>
        <w:pStyle w:val="ListNumber"/>
        <w:spacing w:after="40"/>
      </w:pPr>
      <w:r>
        <w:t>Receive a case-scoped objective and validate allowed operation, user access and required inputs.</w:t>
      </w:r>
    </w:p>
    <w:p>
      <w:pPr>
        <w:pStyle w:val="ListNumber"/>
        <w:spacing w:after="40"/>
      </w:pPr>
      <w:r>
        <w:t>Build the initial task DAG from approved templates. LLM can propose missing steps/follow-ups; backend validates task names, schemas, dependencies and budget.</w:t>
      </w:r>
    </w:p>
    <w:p>
      <w:pPr>
        <w:pStyle w:val="ListNumber"/>
        <w:spacing w:after="40"/>
      </w:pPr>
      <w:r>
        <w:t>Persist run and tasks before enqueueing. The worker claims only dependency-ready tasks.</w:t>
      </w:r>
    </w:p>
    <w:p>
      <w:pPr>
        <w:pStyle w:val="ListNumber"/>
        <w:spacing w:after="40"/>
      </w:pPr>
      <w:r>
        <w:t>Execute independent tasks with bounded concurrency; pass explicit TaskSpec and dependency outputs to each worker.</w:t>
      </w:r>
    </w:p>
    <w:p>
      <w:pPr>
        <w:pStyle w:val="ListNumber"/>
        <w:spacing w:after="40"/>
      </w:pPr>
      <w:r>
        <w:t>Validate every result; persist result/error, then emit event after the state update.</w:t>
      </w:r>
    </w:p>
    <w:p>
      <w:pPr>
        <w:pStyle w:val="ListNumber"/>
        <w:spacing w:after="40"/>
      </w:pPr>
      <w:r>
        <w:t>Run evidence verification and contradiction rules; create follow-up tasks only from approved templates and within replan budget.</w:t>
      </w:r>
    </w:p>
    <w:p>
      <w:pPr>
        <w:pStyle w:val="ListNumber"/>
        <w:spacing w:after="40"/>
      </w:pPr>
      <w:r>
        <w:t>Compile a draft report, mark awaiting_review if required, and complete the run only when stop conditions are satisfied.</w:t>
      </w:r>
    </w:p>
    <w:p>
      <w:pPr>
        <w:pStyle w:val="Heading2"/>
      </w:pPr>
      <w:r>
        <w:t>11.2 TaskSpec contract</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class TaskSpec(BaseModel):</w:t>
            </w:r>
          </w:p>
          <w:p>
            <w:pPr>
              <w:pStyle w:val="TATTVACode"/>
              <w:keepLines/>
            </w:pPr>
            <w:r>
              <w:rPr>
                <w:rFonts w:ascii="Consolas" w:hAnsi="Consolas"/>
                <w:color w:val="203448"/>
                <w:sz w:val="14"/>
              </w:rPr>
              <w:t xml:space="preserve">    task_id: str</w:t>
            </w:r>
          </w:p>
          <w:p>
            <w:pPr>
              <w:pStyle w:val="TATTVACode"/>
              <w:keepLines/>
            </w:pPr>
            <w:r>
              <w:rPr>
                <w:rFonts w:ascii="Consolas" w:hAnsi="Consolas"/>
                <w:color w:val="203448"/>
                <w:sz w:val="14"/>
              </w:rPr>
              <w:t xml:space="preserve">    run_id: str</w:t>
            </w:r>
          </w:p>
          <w:p>
            <w:pPr>
              <w:pStyle w:val="TATTVACode"/>
              <w:keepLines/>
            </w:pPr>
            <w:r>
              <w:rPr>
                <w:rFonts w:ascii="Consolas" w:hAnsi="Consolas"/>
                <w:color w:val="203448"/>
                <w:sz w:val="14"/>
              </w:rPr>
              <w:t xml:space="preserve">    case_id: str</w:t>
            </w:r>
          </w:p>
          <w:p>
            <w:pPr>
              <w:pStyle w:val="TATTVACode"/>
              <w:keepLines/>
            </w:pPr>
            <w:r>
              <w:rPr>
                <w:rFonts w:ascii="Consolas" w:hAnsi="Consolas"/>
                <w:color w:val="203448"/>
                <w:sz w:val="14"/>
              </w:rPr>
              <w:t xml:space="preserve">    task_type: Literal[</w:t>
            </w:r>
          </w:p>
          <w:p>
            <w:pPr>
              <w:pStyle w:val="TATTVACode"/>
              <w:keepLines/>
            </w:pPr>
            <w:r>
              <w:rPr>
                <w:rFonts w:ascii="Consolas" w:hAnsi="Consolas"/>
                <w:color w:val="203448"/>
                <w:sz w:val="14"/>
              </w:rPr>
              <w:t xml:space="preserve">        "parse_documents", "extract_entities", "resolve_entities",</w:t>
            </w:r>
          </w:p>
          <w:p>
            <w:pPr>
              <w:pStyle w:val="TATTVACode"/>
              <w:keepLines/>
            </w:pPr>
            <w:r>
              <w:rPr>
                <w:rFonts w:ascii="Consolas" w:hAnsi="Consolas"/>
                <w:color w:val="203448"/>
                <w:sz w:val="14"/>
              </w:rPr>
              <w:t xml:space="preserve">        "candidate_relationships", "verify_relationships",</w:t>
            </w:r>
          </w:p>
          <w:p>
            <w:pPr>
              <w:pStyle w:val="TATTVACode"/>
              <w:keepLines/>
            </w:pPr>
            <w:r>
              <w:rPr>
                <w:rFonts w:ascii="Consolas" w:hAnsi="Consolas"/>
                <w:color w:val="203448"/>
                <w:sz w:val="14"/>
              </w:rPr>
              <w:t xml:space="preserve">        "detect_contradictions", "detect_patterns", "graph_metrics",</w:t>
            </w:r>
          </w:p>
          <w:p>
            <w:pPr>
              <w:pStyle w:val="TATTVACode"/>
              <w:keepLines/>
            </w:pPr>
            <w:r>
              <w:rPr>
                <w:rFonts w:ascii="Consolas" w:hAnsi="Consolas"/>
                <w:color w:val="203448"/>
                <w:sz w:val="14"/>
              </w:rPr>
              <w:t xml:space="preserve">        "retrieve_evidence", "draft_report"</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xml:space="preserve">    purpose: str</w:t>
            </w:r>
          </w:p>
          <w:p>
            <w:pPr>
              <w:pStyle w:val="TATTVACode"/>
              <w:keepLines/>
            </w:pPr>
            <w:r>
              <w:rPr>
                <w:rFonts w:ascii="Consolas" w:hAnsi="Consolas"/>
                <w:color w:val="203448"/>
                <w:sz w:val="14"/>
              </w:rPr>
              <w:t xml:space="preserve">    input_refs: list[str]</w:t>
            </w:r>
          </w:p>
          <w:p>
            <w:pPr>
              <w:pStyle w:val="TATTVACode"/>
              <w:keepLines/>
            </w:pPr>
            <w:r>
              <w:rPr>
                <w:rFonts w:ascii="Consolas" w:hAnsi="Consolas"/>
                <w:color w:val="203448"/>
                <w:sz w:val="14"/>
              </w:rPr>
              <w:t xml:space="preserve">    dependency_task_ids: list[str]</w:t>
            </w:r>
          </w:p>
          <w:p>
            <w:pPr>
              <w:pStyle w:val="TATTVACode"/>
              <w:keepLines/>
            </w:pPr>
            <w:r>
              <w:rPr>
                <w:rFonts w:ascii="Consolas" w:hAnsi="Consolas"/>
                <w:color w:val="203448"/>
                <w:sz w:val="14"/>
              </w:rPr>
              <w:t xml:space="preserve">    allowed_tools: list[str]</w:t>
            </w:r>
          </w:p>
          <w:p>
            <w:pPr>
              <w:pStyle w:val="TATTVACode"/>
              <w:keepLines/>
            </w:pPr>
            <w:r>
              <w:rPr>
                <w:rFonts w:ascii="Consolas" w:hAnsi="Consolas"/>
                <w:color w:val="203448"/>
                <w:sz w:val="14"/>
              </w:rPr>
              <w:t xml:space="preserve">    output_schema_name: str</w:t>
            </w:r>
          </w:p>
          <w:p>
            <w:pPr>
              <w:pStyle w:val="TATTVACode"/>
              <w:keepLines/>
            </w:pPr>
            <w:r>
              <w:rPr>
                <w:rFonts w:ascii="Consolas" w:hAnsi="Consolas"/>
                <w:color w:val="203448"/>
                <w:sz w:val="14"/>
              </w:rPr>
              <w:t xml:space="preserve">    timeout_seconds: int</w:t>
            </w:r>
          </w:p>
          <w:p>
            <w:pPr>
              <w:pStyle w:val="TATTVACode"/>
              <w:keepLines/>
            </w:pPr>
            <w:r>
              <w:rPr>
                <w:rFonts w:ascii="Consolas" w:hAnsi="Consolas"/>
                <w:color w:val="203448"/>
                <w:sz w:val="14"/>
              </w:rPr>
              <w:t xml:space="preserve">    max_attempts: int = 2  # initial attempt + at most one retry</w:t>
            </w:r>
          </w:p>
        </w:tc>
      </w:tr>
    </w:tbl>
    <w:p>
      <w:pPr>
        <w:spacing w:after="20"/>
      </w:pPr>
    </w:p>
    <w:p>
      <w:pPr>
        <w:pStyle w:val="Heading2"/>
      </w:pPr>
      <w:r>
        <w:t>11.3 Hard execution limits for MVP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90" w:type="dxa"/>
              <w:start w:w="110" w:type="dxa"/>
              <w:bottom w:w="90" w:type="dxa"/>
              <w:end w:w="110" w:type="dxa"/>
            </w:tcMar>
            <w:shd w:fill="1D3B55"/>
          </w:tcPr>
          <w:p>
            <w:pPr>
              <w:spacing w:after="0" w:line="240" w:lineRule="auto"/>
            </w:pPr>
            <w:r/>
            <w:r>
              <w:rPr>
                <w:rFonts w:ascii="Arial" w:hAnsi="Arial"/>
                <w:b/>
                <w:color w:val="FFFFFF"/>
                <w:sz w:val="16"/>
              </w:rPr>
              <w:t>Limit</w:t>
            </w:r>
          </w:p>
        </w:tc>
        <w:tc>
          <w:tcPr>
            <w:tcW w:type="dxa" w:w="2304"/>
            <w:vAlign w:val="center"/>
            <w:tcMar>
              <w:top w:w="90" w:type="dxa"/>
              <w:start w:w="110" w:type="dxa"/>
              <w:bottom w:w="90" w:type="dxa"/>
              <w:end w:w="110" w:type="dxa"/>
            </w:tcMar>
            <w:shd w:fill="1D3B55"/>
          </w:tcPr>
          <w:p>
            <w:pPr>
              <w:spacing w:after="0" w:line="240" w:lineRule="auto"/>
            </w:pPr>
            <w:r/>
            <w:r>
              <w:rPr>
                <w:rFonts w:ascii="Arial" w:hAnsi="Arial"/>
                <w:b/>
                <w:color w:val="FFFFFF"/>
                <w:sz w:val="16"/>
              </w:rPr>
              <w:t>MVP value</w:t>
            </w:r>
          </w:p>
        </w:tc>
        <w:tc>
          <w:tcPr>
            <w:tcW w:type="dxa" w:w="5256"/>
            <w:vAlign w:val="center"/>
            <w:tcMar>
              <w:top w:w="90" w:type="dxa"/>
              <w:start w:w="110" w:type="dxa"/>
              <w:bottom w:w="90" w:type="dxa"/>
              <w:end w:w="110" w:type="dxa"/>
            </w:tcMar>
            <w:shd w:fill="1D3B55"/>
          </w:tcPr>
          <w:p>
            <w:pPr>
              <w:spacing w:after="0" w:line="240" w:lineRule="auto"/>
            </w:pPr>
            <w:r/>
            <w:r>
              <w:rPr>
                <w:rFonts w:ascii="Arial" w:hAnsi="Arial"/>
                <w:b/>
                <w:color w:val="FFFFFF"/>
                <w:sz w:val="16"/>
              </w:rPr>
              <w:t>Rule</w:t>
            </w:r>
          </w:p>
        </w:tc>
      </w:tr>
      <w:tr>
        <w:tc>
          <w:tcPr>
            <w:tcW w:type="dxa" w:w="2232"/>
            <w:vAlign w:val="center"/>
            <w:tcMar>
              <w:top w:w="90" w:type="dxa"/>
              <w:start w:w="110" w:type="dxa"/>
              <w:bottom w:w="90" w:type="dxa"/>
              <w:end w:w="110" w:type="dxa"/>
            </w:tcMar>
          </w:tcPr>
          <w:p>
            <w:pPr>
              <w:spacing w:after="0" w:line="240" w:lineRule="auto"/>
            </w:pPr>
            <w:r/>
            <w:r>
              <w:rPr>
                <w:rFonts w:ascii="Arial" w:hAnsi="Arial"/>
                <w:b w:val="0"/>
                <w:color w:val="18242F"/>
                <w:sz w:val="15"/>
              </w:rPr>
              <w:t>Tasks per run</w:t>
            </w:r>
          </w:p>
        </w:tc>
        <w:tc>
          <w:tcPr>
            <w:tcW w:type="dxa" w:w="2304"/>
            <w:vAlign w:val="center"/>
            <w:tcMar>
              <w:top w:w="90" w:type="dxa"/>
              <w:start w:w="110" w:type="dxa"/>
              <w:bottom w:w="90" w:type="dxa"/>
              <w:end w:w="110" w:type="dxa"/>
            </w:tcMar>
          </w:tcPr>
          <w:p>
            <w:pPr>
              <w:spacing w:after="0" w:line="240" w:lineRule="auto"/>
            </w:pPr>
            <w:r/>
            <w:r>
              <w:rPr>
                <w:rFonts w:ascii="Arial" w:hAnsi="Arial"/>
                <w:b w:val="0"/>
                <w:color w:val="18242F"/>
                <w:sz w:val="15"/>
              </w:rPr>
              <w:t>20 maximum</w:t>
            </w:r>
          </w:p>
        </w:tc>
        <w:tc>
          <w:tcPr>
            <w:tcW w:type="dxa" w:w="5256"/>
            <w:vAlign w:val="center"/>
            <w:tcMar>
              <w:top w:w="90" w:type="dxa"/>
              <w:start w:w="110" w:type="dxa"/>
              <w:bottom w:w="90" w:type="dxa"/>
              <w:end w:w="110" w:type="dxa"/>
            </w:tcMar>
          </w:tcPr>
          <w:p>
            <w:pPr>
              <w:spacing w:after="0" w:line="240" w:lineRule="auto"/>
            </w:pPr>
            <w:r/>
            <w:r>
              <w:rPr>
                <w:rFonts w:ascii="Arial" w:hAnsi="Arial"/>
                <w:b w:val="0"/>
                <w:color w:val="18242F"/>
                <w:sz w:val="15"/>
              </w:rPr>
              <w:t>No plan can exceed the budget; reject or ask user to narrow objective.</w:t>
            </w:r>
          </w:p>
        </w:tc>
      </w:tr>
      <w:tr>
        <w:tc>
          <w:tcPr>
            <w:tcW w:type="dxa" w:w="2232"/>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Replanning rounds</w:t>
            </w:r>
          </w:p>
        </w:tc>
        <w:tc>
          <w:tcPr>
            <w:tcW w:type="dxa" w:w="230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2 maximum</w:t>
            </w:r>
          </w:p>
        </w:tc>
        <w:tc>
          <w:tcPr>
            <w:tcW w:type="dxa" w:w="525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No unlimited loops; record why replanning happened.</w:t>
            </w:r>
          </w:p>
        </w:tc>
      </w:tr>
      <w:tr>
        <w:tc>
          <w:tcPr>
            <w:tcW w:type="dxa" w:w="2232"/>
            <w:vAlign w:val="center"/>
            <w:tcMar>
              <w:top w:w="90" w:type="dxa"/>
              <w:start w:w="110" w:type="dxa"/>
              <w:bottom w:w="90" w:type="dxa"/>
              <w:end w:w="110" w:type="dxa"/>
            </w:tcMar>
          </w:tcPr>
          <w:p>
            <w:pPr>
              <w:spacing w:after="0" w:line="240" w:lineRule="auto"/>
            </w:pPr>
            <w:r/>
            <w:r>
              <w:rPr>
                <w:rFonts w:ascii="Arial" w:hAnsi="Arial"/>
                <w:b w:val="0"/>
                <w:color w:val="18242F"/>
                <w:sz w:val="15"/>
              </w:rPr>
              <w:t>Retry attempts</w:t>
            </w:r>
          </w:p>
        </w:tc>
        <w:tc>
          <w:tcPr>
            <w:tcW w:type="dxa" w:w="2304"/>
            <w:vAlign w:val="center"/>
            <w:tcMar>
              <w:top w:w="90" w:type="dxa"/>
              <w:start w:w="110" w:type="dxa"/>
              <w:bottom w:w="90" w:type="dxa"/>
              <w:end w:w="110" w:type="dxa"/>
            </w:tcMar>
          </w:tcPr>
          <w:p>
            <w:pPr>
              <w:spacing w:after="0" w:line="240" w:lineRule="auto"/>
            </w:pPr>
            <w:r/>
            <w:r>
              <w:rPr>
                <w:rFonts w:ascii="Arial" w:hAnsi="Arial"/>
                <w:b w:val="0"/>
                <w:color w:val="18242F"/>
                <w:sz w:val="15"/>
              </w:rPr>
              <w:t>1 retry per task</w:t>
            </w:r>
          </w:p>
        </w:tc>
        <w:tc>
          <w:tcPr>
            <w:tcW w:type="dxa" w:w="5256"/>
            <w:vAlign w:val="center"/>
            <w:tcMar>
              <w:top w:w="90" w:type="dxa"/>
              <w:start w:w="110" w:type="dxa"/>
              <w:bottom w:w="90" w:type="dxa"/>
              <w:end w:w="110" w:type="dxa"/>
            </w:tcMar>
          </w:tcPr>
          <w:p>
            <w:pPr>
              <w:spacing w:after="0" w:line="240" w:lineRule="auto"/>
            </w:pPr>
            <w:r/>
            <w:r>
              <w:rPr>
                <w:rFonts w:ascii="Arial" w:hAnsi="Arial"/>
                <w:b w:val="0"/>
                <w:color w:val="18242F"/>
                <w:sz w:val="15"/>
              </w:rPr>
              <w:t>Retry only retryable failures; schema/security failures do not auto-retry endlessly.</w:t>
            </w:r>
          </w:p>
        </w:tc>
      </w:tr>
      <w:tr>
        <w:tc>
          <w:tcPr>
            <w:tcW w:type="dxa" w:w="2232"/>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Task concurrency</w:t>
            </w:r>
          </w:p>
        </w:tc>
        <w:tc>
          <w:tcPr>
            <w:tcW w:type="dxa" w:w="230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3 maximum initially</w:t>
            </w:r>
          </w:p>
        </w:tc>
        <w:tc>
          <w:tcPr>
            <w:tcW w:type="dxa" w:w="525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Only dependency-ready tasks; tune after load testing.</w:t>
            </w:r>
          </w:p>
        </w:tc>
      </w:tr>
      <w:tr>
        <w:tc>
          <w:tcPr>
            <w:tcW w:type="dxa" w:w="2232"/>
            <w:vAlign w:val="center"/>
            <w:tcMar>
              <w:top w:w="90" w:type="dxa"/>
              <w:start w:w="110" w:type="dxa"/>
              <w:bottom w:w="90" w:type="dxa"/>
              <w:end w:w="110" w:type="dxa"/>
            </w:tcMar>
          </w:tcPr>
          <w:p>
            <w:pPr>
              <w:spacing w:after="0" w:line="240" w:lineRule="auto"/>
            </w:pPr>
            <w:r/>
            <w:r>
              <w:rPr>
                <w:rFonts w:ascii="Arial" w:hAnsi="Arial"/>
                <w:b w:val="0"/>
                <w:color w:val="18242F"/>
                <w:sz w:val="15"/>
              </w:rPr>
              <w:t>Task timeout</w:t>
            </w:r>
          </w:p>
        </w:tc>
        <w:tc>
          <w:tcPr>
            <w:tcW w:type="dxa" w:w="2304"/>
            <w:vAlign w:val="center"/>
            <w:tcMar>
              <w:top w:w="90" w:type="dxa"/>
              <w:start w:w="110" w:type="dxa"/>
              <w:bottom w:w="90" w:type="dxa"/>
              <w:end w:w="110" w:type="dxa"/>
            </w:tcMar>
          </w:tcPr>
          <w:p>
            <w:pPr>
              <w:spacing w:after="0" w:line="240" w:lineRule="auto"/>
            </w:pPr>
            <w:r/>
            <w:r>
              <w:rPr>
                <w:rFonts w:ascii="Arial" w:hAnsi="Arial"/>
                <w:b w:val="0"/>
                <w:color w:val="18242F"/>
                <w:sz w:val="15"/>
              </w:rPr>
              <w:t>Per task type, configurable</w:t>
            </w:r>
          </w:p>
        </w:tc>
        <w:tc>
          <w:tcPr>
            <w:tcW w:type="dxa" w:w="5256"/>
            <w:vAlign w:val="center"/>
            <w:tcMar>
              <w:top w:w="90" w:type="dxa"/>
              <w:start w:w="110" w:type="dxa"/>
              <w:bottom w:w="90" w:type="dxa"/>
              <w:end w:w="110" w:type="dxa"/>
            </w:tcMar>
          </w:tcPr>
          <w:p>
            <w:pPr>
              <w:spacing w:after="0" w:line="240" w:lineRule="auto"/>
            </w:pPr>
            <w:r/>
            <w:r>
              <w:rPr>
                <w:rFonts w:ascii="Arial" w:hAnsi="Arial"/>
                <w:b w:val="0"/>
                <w:color w:val="18242F"/>
                <w:sz w:val="15"/>
              </w:rPr>
              <w:t>A timeout leads to timed_out/failed status, never success by default.</w:t>
            </w:r>
          </w:p>
        </w:tc>
      </w:tr>
      <w:tr>
        <w:tc>
          <w:tcPr>
            <w:tcW w:type="dxa" w:w="2232"/>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Token/cost budget</w:t>
            </w:r>
          </w:p>
        </w:tc>
        <w:tc>
          <w:tcPr>
            <w:tcW w:type="dxa" w:w="230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Configurable per run/user</w:t>
            </w:r>
          </w:p>
        </w:tc>
        <w:tc>
          <w:tcPr>
            <w:tcW w:type="dxa" w:w="525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Stop new model calls when budget exhausted; return partial status and explanation.</w:t>
            </w:r>
          </w:p>
        </w:tc>
      </w:tr>
      <w:tr>
        <w:tc>
          <w:tcPr>
            <w:tcW w:type="dxa" w:w="2232"/>
            <w:vAlign w:val="center"/>
            <w:tcMar>
              <w:top w:w="90" w:type="dxa"/>
              <w:start w:w="110" w:type="dxa"/>
              <w:bottom w:w="90" w:type="dxa"/>
              <w:end w:w="110" w:type="dxa"/>
            </w:tcMar>
          </w:tcPr>
          <w:p>
            <w:pPr>
              <w:spacing w:after="0" w:line="240" w:lineRule="auto"/>
            </w:pPr>
            <w:r/>
            <w:r>
              <w:rPr>
                <w:rFonts w:ascii="Arial" w:hAnsi="Arial"/>
                <w:b w:val="0"/>
                <w:color w:val="18242F"/>
                <w:sz w:val="15"/>
              </w:rPr>
              <w:t>Provider tool set</w:t>
            </w:r>
          </w:p>
        </w:tc>
        <w:tc>
          <w:tcPr>
            <w:tcW w:type="dxa" w:w="2304"/>
            <w:vAlign w:val="center"/>
            <w:tcMar>
              <w:top w:w="90" w:type="dxa"/>
              <w:start w:w="110" w:type="dxa"/>
              <w:bottom w:w="90" w:type="dxa"/>
              <w:end w:w="110" w:type="dxa"/>
            </w:tcMar>
          </w:tcPr>
          <w:p>
            <w:pPr>
              <w:spacing w:after="0" w:line="240" w:lineRule="auto"/>
            </w:pPr>
            <w:r/>
            <w:r>
              <w:rPr>
                <w:rFonts w:ascii="Arial" w:hAnsi="Arial"/>
                <w:b w:val="0"/>
                <w:color w:val="18242F"/>
                <w:sz w:val="15"/>
              </w:rPr>
              <w:t>Allowlist only</w:t>
            </w:r>
          </w:p>
        </w:tc>
        <w:tc>
          <w:tcPr>
            <w:tcW w:type="dxa" w:w="5256"/>
            <w:vAlign w:val="center"/>
            <w:tcMar>
              <w:top w:w="90" w:type="dxa"/>
              <w:start w:w="110" w:type="dxa"/>
              <w:bottom w:w="90" w:type="dxa"/>
              <w:end w:w="110" w:type="dxa"/>
            </w:tcMar>
          </w:tcPr>
          <w:p>
            <w:pPr>
              <w:spacing w:after="0" w:line="240" w:lineRule="auto"/>
            </w:pPr>
            <w:r/>
            <w:r>
              <w:rPr>
                <w:rFonts w:ascii="Arial" w:hAnsi="Arial"/>
                <w:b w:val="0"/>
                <w:color w:val="18242F"/>
                <w:sz w:val="15"/>
              </w:rPr>
              <w:t>No arbitrary shell, browser, filesystem or DB-admin access.</w:t>
            </w:r>
          </w:p>
        </w:tc>
      </w:tr>
    </w:tbl>
    <w:p>
      <w:pPr>
        <w:spacing w:after="20"/>
      </w:pPr>
    </w:p>
    <w:p>
      <w:pPr>
        <w:pStyle w:val="Heading2"/>
      </w:pPr>
      <w:r>
        <w:t>11.4 Failure and cancellation semantics</w:t>
      </w:r>
    </w:p>
    <w:p>
      <w:r>
        <w:rPr>
          <w:i w:val="0"/>
        </w:rPr>
        <w:t>When a user cancels a run, set `cancel_requested`, stop enqueueing new tasks, cancel queued tasks, signal running tasks and wait for safe checkpoints. A non-interruptible provider call may finish before cancellation is confirmed; record this explicitly. Final state becomes `cancelled` only when no task remains active. If required tasks fail but partial results exist, use `completed_with_warnings` or `failed` as defined by policy.</w:t>
      </w:r>
    </w:p>
    <w:p>
      <w:pPr>
        <w:pStyle w:val="Heading2"/>
      </w:pPr>
      <w:r>
        <w:t>11.5 Planner policy</w:t>
      </w:r>
    </w:p>
    <w:p>
      <w:r>
        <w:rPr>
          <w:i w:val="0"/>
        </w:rPr>
        <w:t>Prefer deterministic templates for the first plan. For objective `full_case_analysis`, the base DAG may include parse, extraction, resolution, candidate edge generation, verification, contradiction detection, pattern detection, graph metrics and report draft. Conditional follow-ups may be added only for declared gaps (e.g. missing source reference, conflicting date, ambiguous entity).</w:t>
      </w:r>
    </w:p>
    <w:p>
      <w:pPr>
        <w:pStyle w:val="Heading1"/>
      </w:pPr>
      <w:r>
        <w:t>12. Specialist agents and deterministic services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16"/>
            <w:vAlign w:val="center"/>
            <w:tcMar>
              <w:top w:w="90" w:type="dxa"/>
              <w:start w:w="110" w:type="dxa"/>
              <w:bottom w:w="90" w:type="dxa"/>
              <w:end w:w="110" w:type="dxa"/>
            </w:tcMar>
            <w:shd w:fill="1D3B55"/>
          </w:tcPr>
          <w:p>
            <w:pPr>
              <w:spacing w:after="0" w:line="240" w:lineRule="auto"/>
            </w:pPr>
            <w:r/>
            <w:r>
              <w:rPr>
                <w:rFonts w:ascii="Arial" w:hAnsi="Arial"/>
                <w:b/>
                <w:color w:val="FFFFFF"/>
                <w:sz w:val="16"/>
              </w:rPr>
              <w:t>Agent/service</w:t>
            </w:r>
          </w:p>
        </w:tc>
        <w:tc>
          <w:tcPr>
            <w:tcW w:type="dxa" w:w="2160"/>
            <w:vAlign w:val="center"/>
            <w:tcMar>
              <w:top w:w="90" w:type="dxa"/>
              <w:start w:w="110" w:type="dxa"/>
              <w:bottom w:w="90" w:type="dxa"/>
              <w:end w:w="110" w:type="dxa"/>
            </w:tcMar>
            <w:shd w:fill="1D3B55"/>
          </w:tcPr>
          <w:p>
            <w:pPr>
              <w:spacing w:after="0" w:line="240" w:lineRule="auto"/>
            </w:pPr>
            <w:r/>
            <w:r>
              <w:rPr>
                <w:rFonts w:ascii="Arial" w:hAnsi="Arial"/>
                <w:b/>
                <w:color w:val="FFFFFF"/>
                <w:sz w:val="16"/>
              </w:rPr>
              <w:t>Input</w:t>
            </w:r>
          </w:p>
        </w:tc>
        <w:tc>
          <w:tcPr>
            <w:tcW w:type="dxa" w:w="3672"/>
            <w:vAlign w:val="center"/>
            <w:tcMar>
              <w:top w:w="90" w:type="dxa"/>
              <w:start w:w="110" w:type="dxa"/>
              <w:bottom w:w="90" w:type="dxa"/>
              <w:end w:w="110" w:type="dxa"/>
            </w:tcMar>
            <w:shd w:fill="1D3B55"/>
          </w:tcPr>
          <w:p>
            <w:pPr>
              <w:spacing w:after="0" w:line="240" w:lineRule="auto"/>
            </w:pPr>
            <w:r/>
            <w:r>
              <w:rPr>
                <w:rFonts w:ascii="Arial" w:hAnsi="Arial"/>
                <w:b/>
                <w:color w:val="FFFFFF"/>
                <w:sz w:val="16"/>
              </w:rPr>
              <w:t>Output</w:t>
            </w:r>
          </w:p>
        </w:tc>
        <w:tc>
          <w:tcPr>
            <w:tcW w:type="dxa" w:w="1944"/>
            <w:vAlign w:val="center"/>
            <w:tcMar>
              <w:top w:w="90" w:type="dxa"/>
              <w:start w:w="110" w:type="dxa"/>
              <w:bottom w:w="90" w:type="dxa"/>
              <w:end w:w="110" w:type="dxa"/>
            </w:tcMar>
            <w:shd w:fill="1D3B55"/>
          </w:tcPr>
          <w:p>
            <w:pPr>
              <w:spacing w:after="0" w:line="240" w:lineRule="auto"/>
            </w:pPr>
            <w:r/>
            <w:r>
              <w:rPr>
                <w:rFonts w:ascii="Arial" w:hAnsi="Arial"/>
                <w:b/>
                <w:color w:val="FFFFFF"/>
                <w:sz w:val="16"/>
              </w:rPr>
              <w:t>LLM?</w:t>
            </w:r>
          </w:p>
        </w:tc>
      </w:tr>
      <w:tr>
        <w:tc>
          <w:tcPr>
            <w:tcW w:type="dxa" w:w="2016"/>
            <w:vAlign w:val="center"/>
            <w:tcMar>
              <w:top w:w="90" w:type="dxa"/>
              <w:start w:w="110" w:type="dxa"/>
              <w:bottom w:w="90" w:type="dxa"/>
              <w:end w:w="110" w:type="dxa"/>
            </w:tcMar>
          </w:tcPr>
          <w:p>
            <w:pPr>
              <w:spacing w:after="0" w:line="240" w:lineRule="auto"/>
            </w:pPr>
            <w:r/>
            <w:r>
              <w:rPr>
                <w:rFonts w:ascii="Arial" w:hAnsi="Arial"/>
                <w:b w:val="0"/>
                <w:color w:val="18242F"/>
                <w:sz w:val="14"/>
              </w:rPr>
              <w:t>Document Parser</w:t>
            </w:r>
          </w:p>
        </w:tc>
        <w:tc>
          <w:tcPr>
            <w:tcW w:type="dxa" w:w="2160"/>
            <w:vAlign w:val="center"/>
            <w:tcMar>
              <w:top w:w="90" w:type="dxa"/>
              <w:start w:w="110" w:type="dxa"/>
              <w:bottom w:w="90" w:type="dxa"/>
              <w:end w:w="110" w:type="dxa"/>
            </w:tcMar>
          </w:tcPr>
          <w:p>
            <w:pPr>
              <w:spacing w:after="0" w:line="240" w:lineRule="auto"/>
            </w:pPr>
            <w:r/>
            <w:r>
              <w:rPr>
                <w:rFonts w:ascii="Arial" w:hAnsi="Arial"/>
                <w:b w:val="0"/>
                <w:color w:val="18242F"/>
                <w:sz w:val="14"/>
              </w:rPr>
              <w:t>Stored source file + parser profile</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Page/record text, source hash, parse status</w:t>
            </w:r>
          </w:p>
        </w:tc>
        <w:tc>
          <w:tcPr>
            <w:tcW w:type="dxa" w:w="1944"/>
            <w:vAlign w:val="center"/>
            <w:tcMar>
              <w:top w:w="90" w:type="dxa"/>
              <w:start w:w="110" w:type="dxa"/>
              <w:bottom w:w="90" w:type="dxa"/>
              <w:end w:w="110" w:type="dxa"/>
            </w:tcMar>
          </w:tcPr>
          <w:p>
            <w:pPr>
              <w:spacing w:after="0" w:line="240" w:lineRule="auto"/>
            </w:pPr>
            <w:r/>
            <w:r>
              <w:rPr>
                <w:rFonts w:ascii="Arial" w:hAnsi="Arial"/>
                <w:b w:val="0"/>
                <w:color w:val="18242F"/>
                <w:sz w:val="14"/>
              </w:rPr>
              <w:t>No; deterministic parser/OCR</w:t>
            </w:r>
          </w:p>
        </w:tc>
      </w:tr>
      <w:tr>
        <w:tc>
          <w:tcPr>
            <w:tcW w:type="dxa" w:w="201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Entity Extraction</w:t>
            </w:r>
          </w:p>
        </w:tc>
        <w:tc>
          <w:tcPr>
            <w:tcW w:type="dxa" w:w="216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Text chunks + extraction schema</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Entity mentions, event facts, candidate relation claims with spans</w:t>
            </w:r>
          </w:p>
        </w:tc>
        <w:tc>
          <w:tcPr>
            <w:tcW w:type="dxa" w:w="194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Core LLM may be used</w:t>
            </w:r>
          </w:p>
        </w:tc>
      </w:tr>
      <w:tr>
        <w:tc>
          <w:tcPr>
            <w:tcW w:type="dxa" w:w="2016"/>
            <w:vAlign w:val="center"/>
            <w:tcMar>
              <w:top w:w="90" w:type="dxa"/>
              <w:start w:w="110" w:type="dxa"/>
              <w:bottom w:w="90" w:type="dxa"/>
              <w:end w:w="110" w:type="dxa"/>
            </w:tcMar>
          </w:tcPr>
          <w:p>
            <w:pPr>
              <w:spacing w:after="0" w:line="240" w:lineRule="auto"/>
            </w:pPr>
            <w:r/>
            <w:r>
              <w:rPr>
                <w:rFonts w:ascii="Arial" w:hAnsi="Arial"/>
                <w:b w:val="0"/>
                <w:color w:val="18242F"/>
                <w:sz w:val="14"/>
              </w:rPr>
              <w:t>Entity Resolution</w:t>
            </w:r>
          </w:p>
        </w:tc>
        <w:tc>
          <w:tcPr>
            <w:tcW w:type="dxa" w:w="2160"/>
            <w:vAlign w:val="center"/>
            <w:tcMar>
              <w:top w:w="90" w:type="dxa"/>
              <w:start w:w="110" w:type="dxa"/>
              <w:bottom w:w="90" w:type="dxa"/>
              <w:end w:w="110" w:type="dxa"/>
            </w:tcMar>
          </w:tcPr>
          <w:p>
            <w:pPr>
              <w:spacing w:after="0" w:line="240" w:lineRule="auto"/>
            </w:pPr>
            <w:r/>
            <w:r>
              <w:rPr>
                <w:rFonts w:ascii="Arial" w:hAnsi="Arial"/>
                <w:b w:val="0"/>
                <w:color w:val="18242F"/>
                <w:sz w:val="14"/>
              </w:rPr>
              <w:t>Mentions, normalized identifiers, case entity index</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Candidate match groups and rationale</w:t>
            </w:r>
          </w:p>
        </w:tc>
        <w:tc>
          <w:tcPr>
            <w:tcW w:type="dxa" w:w="1944"/>
            <w:vAlign w:val="center"/>
            <w:tcMar>
              <w:top w:w="90" w:type="dxa"/>
              <w:start w:w="110" w:type="dxa"/>
              <w:bottom w:w="90" w:type="dxa"/>
              <w:end w:w="110" w:type="dxa"/>
            </w:tcMar>
          </w:tcPr>
          <w:p>
            <w:pPr>
              <w:spacing w:after="0" w:line="240" w:lineRule="auto"/>
            </w:pPr>
            <w:r/>
            <w:r>
              <w:rPr>
                <w:rFonts w:ascii="Arial" w:hAnsi="Arial"/>
                <w:b w:val="0"/>
                <w:color w:val="18242F"/>
                <w:sz w:val="14"/>
              </w:rPr>
              <w:t>Rules first; LLM optional for ambiguity explanations</w:t>
            </w:r>
          </w:p>
        </w:tc>
      </w:tr>
      <w:tr>
        <w:tc>
          <w:tcPr>
            <w:tcW w:type="dxa" w:w="201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Relationship Verifier</w:t>
            </w:r>
          </w:p>
        </w:tc>
        <w:tc>
          <w:tcPr>
            <w:tcW w:type="dxa" w:w="216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Candidate S-P-O + source evidence</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Verification status, supporting/contradicting IDs, rationale</w:t>
            </w:r>
          </w:p>
        </w:tc>
        <w:tc>
          <w:tcPr>
            <w:tcW w:type="dxa" w:w="194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Hybrid: deterministic provenance + Core LLM predicate check</w:t>
            </w:r>
          </w:p>
        </w:tc>
      </w:tr>
      <w:tr>
        <w:tc>
          <w:tcPr>
            <w:tcW w:type="dxa" w:w="2016"/>
            <w:vAlign w:val="center"/>
            <w:tcMar>
              <w:top w:w="90" w:type="dxa"/>
              <w:start w:w="110" w:type="dxa"/>
              <w:bottom w:w="90" w:type="dxa"/>
              <w:end w:w="110" w:type="dxa"/>
            </w:tcMar>
          </w:tcPr>
          <w:p>
            <w:pPr>
              <w:spacing w:after="0" w:line="240" w:lineRule="auto"/>
            </w:pPr>
            <w:r/>
            <w:r>
              <w:rPr>
                <w:rFonts w:ascii="Arial" w:hAnsi="Arial"/>
                <w:b w:val="0"/>
                <w:color w:val="18242F"/>
                <w:sz w:val="14"/>
              </w:rPr>
              <w:t>Contradiction Analyst</w:t>
            </w:r>
          </w:p>
        </w:tc>
        <w:tc>
          <w:tcPr>
            <w:tcW w:type="dxa" w:w="2160"/>
            <w:vAlign w:val="center"/>
            <w:tcMar>
              <w:top w:w="90" w:type="dxa"/>
              <w:start w:w="110" w:type="dxa"/>
              <w:bottom w:w="90" w:type="dxa"/>
              <w:end w:w="110" w:type="dxa"/>
            </w:tcMar>
          </w:tcPr>
          <w:p>
            <w:pPr>
              <w:spacing w:after="0" w:line="240" w:lineRule="auto"/>
            </w:pPr>
            <w:r/>
            <w:r>
              <w:rPr>
                <w:rFonts w:ascii="Arial" w:hAnsi="Arial"/>
                <w:b w:val="0"/>
                <w:color w:val="18242F"/>
                <w:sz w:val="14"/>
              </w:rPr>
              <w:t>Claims, dates, identifiers, source IDs</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Conflict pairs and conflict category</w:t>
            </w:r>
          </w:p>
        </w:tc>
        <w:tc>
          <w:tcPr>
            <w:tcW w:type="dxa" w:w="1944"/>
            <w:vAlign w:val="center"/>
            <w:tcMar>
              <w:top w:w="90" w:type="dxa"/>
              <w:start w:w="110" w:type="dxa"/>
              <w:bottom w:w="90" w:type="dxa"/>
              <w:end w:w="110" w:type="dxa"/>
            </w:tcMar>
          </w:tcPr>
          <w:p>
            <w:pPr>
              <w:spacing w:after="0" w:line="240" w:lineRule="auto"/>
            </w:pPr>
            <w:r/>
            <w:r>
              <w:rPr>
                <w:rFonts w:ascii="Arial" w:hAnsi="Arial"/>
                <w:b w:val="0"/>
                <w:color w:val="18242F"/>
                <w:sz w:val="14"/>
              </w:rPr>
              <w:t>Rules detect; Core LLM explains if needed</w:t>
            </w:r>
          </w:p>
        </w:tc>
      </w:tr>
      <w:tr>
        <w:tc>
          <w:tcPr>
            <w:tcW w:type="dxa" w:w="201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Pattern Analyst</w:t>
            </w:r>
          </w:p>
        </w:tc>
        <w:tc>
          <w:tcPr>
            <w:tcW w:type="dxa" w:w="216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Authorized event/transaction/call records</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Rule flags, involved record IDs and parameters</w:t>
            </w:r>
          </w:p>
        </w:tc>
        <w:tc>
          <w:tcPr>
            <w:tcW w:type="dxa" w:w="194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Rules/NetworkX; LLM explanation optional</w:t>
            </w:r>
          </w:p>
        </w:tc>
      </w:tr>
      <w:tr>
        <w:tc>
          <w:tcPr>
            <w:tcW w:type="dxa" w:w="2016"/>
            <w:vAlign w:val="center"/>
            <w:tcMar>
              <w:top w:w="90" w:type="dxa"/>
              <w:start w:w="110" w:type="dxa"/>
              <w:bottom w:w="90" w:type="dxa"/>
              <w:end w:w="110" w:type="dxa"/>
            </w:tcMar>
          </w:tcPr>
          <w:p>
            <w:pPr>
              <w:spacing w:after="0" w:line="240" w:lineRule="auto"/>
            </w:pPr>
            <w:r/>
            <w:r>
              <w:rPr>
                <w:rFonts w:ascii="Arial" w:hAnsi="Arial"/>
                <w:b w:val="0"/>
                <w:color w:val="18242F"/>
                <w:sz w:val="14"/>
              </w:rPr>
              <w:t>Hypothesis Analyst</w:t>
            </w:r>
          </w:p>
        </w:tc>
        <w:tc>
          <w:tcPr>
            <w:tcW w:type="dxa" w:w="2160"/>
            <w:vAlign w:val="center"/>
            <w:tcMar>
              <w:top w:w="90" w:type="dxa"/>
              <w:start w:w="110" w:type="dxa"/>
              <w:bottom w:w="90" w:type="dxa"/>
              <w:end w:w="110" w:type="dxa"/>
            </w:tcMar>
          </w:tcPr>
          <w:p>
            <w:pPr>
              <w:spacing w:after="0" w:line="240" w:lineRule="auto"/>
            </w:pPr>
            <w:r/>
            <w:r>
              <w:rPr>
                <w:rFonts w:ascii="Arial" w:hAnsi="Arial"/>
                <w:b w:val="0"/>
                <w:color w:val="18242F"/>
                <w:sz w:val="14"/>
              </w:rPr>
              <w:t>Verified + disputed claims, gaps</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Alternative explanations, evidence for/against, next questions</w:t>
            </w:r>
          </w:p>
        </w:tc>
        <w:tc>
          <w:tcPr>
            <w:tcW w:type="dxa" w:w="1944"/>
            <w:vAlign w:val="center"/>
            <w:tcMar>
              <w:top w:w="90" w:type="dxa"/>
              <w:start w:w="110" w:type="dxa"/>
              <w:bottom w:w="90" w:type="dxa"/>
              <w:end w:w="110" w:type="dxa"/>
            </w:tcMar>
          </w:tcPr>
          <w:p>
            <w:pPr>
              <w:spacing w:after="0" w:line="240" w:lineRule="auto"/>
            </w:pPr>
            <w:r/>
            <w:r>
              <w:rPr>
                <w:rFonts w:ascii="Arial" w:hAnsi="Arial"/>
                <w:b w:val="0"/>
                <w:color w:val="18242F"/>
                <w:sz w:val="14"/>
              </w:rPr>
              <w:t>Core LLM; optional in MVP or tightly bounded</w:t>
            </w:r>
          </w:p>
        </w:tc>
      </w:tr>
      <w:tr>
        <w:tc>
          <w:tcPr>
            <w:tcW w:type="dxa" w:w="201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Report Builder</w:t>
            </w:r>
          </w:p>
        </w:tc>
        <w:tc>
          <w:tcPr>
            <w:tcW w:type="dxa" w:w="216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Verified states, findings, source references, run status</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Draft report structure with citations/limitations</w:t>
            </w:r>
          </w:p>
        </w:tc>
        <w:tc>
          <w:tcPr>
            <w:tcW w:type="dxa" w:w="194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Core LLM may phrase; citation selection is deterministic</w:t>
            </w:r>
          </w:p>
        </w:tc>
      </w:tr>
      <w:tr>
        <w:tc>
          <w:tcPr>
            <w:tcW w:type="dxa" w:w="2016"/>
            <w:vAlign w:val="center"/>
            <w:tcMar>
              <w:top w:w="90" w:type="dxa"/>
              <w:start w:w="110" w:type="dxa"/>
              <w:bottom w:w="90" w:type="dxa"/>
              <w:end w:w="110" w:type="dxa"/>
            </w:tcMar>
          </w:tcPr>
          <w:p>
            <w:pPr>
              <w:spacing w:after="0" w:line="240" w:lineRule="auto"/>
            </w:pPr>
            <w:r/>
            <w:r>
              <w:rPr>
                <w:rFonts w:ascii="Arial" w:hAnsi="Arial"/>
                <w:b w:val="0"/>
                <w:color w:val="18242F"/>
                <w:sz w:val="14"/>
              </w:rPr>
              <w:t>Central Orchestrator</w:t>
            </w:r>
          </w:p>
        </w:tc>
        <w:tc>
          <w:tcPr>
            <w:tcW w:type="dxa" w:w="2160"/>
            <w:vAlign w:val="center"/>
            <w:tcMar>
              <w:top w:w="90" w:type="dxa"/>
              <w:start w:w="110" w:type="dxa"/>
              <w:bottom w:w="90" w:type="dxa"/>
              <w:end w:w="110" w:type="dxa"/>
            </w:tcMar>
          </w:tcPr>
          <w:p>
            <w:pPr>
              <w:spacing w:after="0" w:line="240" w:lineRule="auto"/>
            </w:pPr>
            <w:r/>
            <w:r>
              <w:rPr>
                <w:rFonts w:ascii="Arial" w:hAnsi="Arial"/>
                <w:b w:val="0"/>
                <w:color w:val="18242F"/>
                <w:sz w:val="14"/>
              </w:rPr>
              <w:t>Objective, plan template, task states/results</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Run DAG, scheduling decisions, bounded follow-ups</w:t>
            </w:r>
          </w:p>
        </w:tc>
        <w:tc>
          <w:tcPr>
            <w:tcW w:type="dxa" w:w="1944"/>
            <w:vAlign w:val="center"/>
            <w:tcMar>
              <w:top w:w="90" w:type="dxa"/>
              <w:start w:w="110" w:type="dxa"/>
              <w:bottom w:w="90" w:type="dxa"/>
              <w:end w:w="110" w:type="dxa"/>
            </w:tcMar>
          </w:tcPr>
          <w:p>
            <w:pPr>
              <w:spacing w:after="0" w:line="240" w:lineRule="auto"/>
            </w:pPr>
            <w:r/>
            <w:r>
              <w:rPr>
                <w:rFonts w:ascii="Arial" w:hAnsi="Arial"/>
                <w:b w:val="0"/>
                <w:color w:val="18242F"/>
                <w:sz w:val="14"/>
              </w:rPr>
              <w:t>Core LLM proposes; code validates/executes</w:t>
            </w:r>
          </w:p>
        </w:tc>
      </w:tr>
    </w:tbl>
    <w:p>
      <w:pPr>
        <w:spacing w:after="20"/>
      </w:pPr>
    </w:p>
    <w:p>
      <w:pPr>
        <w:pStyle w:val="Heading2"/>
      </w:pPr>
      <w:r>
        <w:t>12.1 Initial anomaly rules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tcMar>
              <w:top w:w="90" w:type="dxa"/>
              <w:start w:w="110" w:type="dxa"/>
              <w:bottom w:w="90" w:type="dxa"/>
              <w:end w:w="110" w:type="dxa"/>
            </w:tcMar>
            <w:shd w:fill="1D3B55"/>
          </w:tcPr>
          <w:p>
            <w:pPr>
              <w:spacing w:after="0" w:line="240" w:lineRule="auto"/>
            </w:pPr>
            <w:r/>
            <w:r>
              <w:rPr>
                <w:rFonts w:ascii="Arial" w:hAnsi="Arial"/>
                <w:b/>
                <w:color w:val="FFFFFF"/>
                <w:sz w:val="16"/>
              </w:rPr>
              <w:t>Rule</w:t>
            </w:r>
          </w:p>
        </w:tc>
        <w:tc>
          <w:tcPr>
            <w:tcW w:type="dxa" w:w="4464"/>
            <w:vAlign w:val="center"/>
            <w:tcMar>
              <w:top w:w="90" w:type="dxa"/>
              <w:start w:w="110" w:type="dxa"/>
              <w:bottom w:w="90" w:type="dxa"/>
              <w:end w:w="110" w:type="dxa"/>
            </w:tcMar>
            <w:shd w:fill="1D3B55"/>
          </w:tcPr>
          <w:p>
            <w:pPr>
              <w:spacing w:after="0" w:line="240" w:lineRule="auto"/>
            </w:pPr>
            <w:r/>
            <w:r>
              <w:rPr>
                <w:rFonts w:ascii="Arial" w:hAnsi="Arial"/>
                <w:b/>
                <w:color w:val="FFFFFF"/>
                <w:sz w:val="16"/>
              </w:rPr>
              <w:t>Example logic (configure thresholds)</w:t>
            </w:r>
          </w:p>
        </w:tc>
        <w:tc>
          <w:tcPr>
            <w:tcW w:type="dxa" w:w="3384"/>
            <w:vAlign w:val="center"/>
            <w:tcMar>
              <w:top w:w="90" w:type="dxa"/>
              <w:start w:w="110" w:type="dxa"/>
              <w:bottom w:w="90" w:type="dxa"/>
              <w:end w:w="110" w:type="dxa"/>
            </w:tcMar>
            <w:shd w:fill="1D3B55"/>
          </w:tcPr>
          <w:p>
            <w:pPr>
              <w:spacing w:after="0" w:line="240" w:lineRule="auto"/>
            </w:pPr>
            <w:r/>
            <w:r>
              <w:rPr>
                <w:rFonts w:ascii="Arial" w:hAnsi="Arial"/>
                <w:b/>
                <w:color w:val="FFFFFF"/>
                <w:sz w:val="16"/>
              </w:rPr>
              <w:t>Required output</w:t>
            </w:r>
          </w:p>
        </w:tc>
      </w:tr>
      <w:tr>
        <w:tc>
          <w:tcPr>
            <w:tcW w:type="dxa" w:w="1944"/>
            <w:vAlign w:val="center"/>
            <w:tcMar>
              <w:top w:w="90" w:type="dxa"/>
              <w:start w:w="110" w:type="dxa"/>
              <w:bottom w:w="90" w:type="dxa"/>
              <w:end w:w="110" w:type="dxa"/>
            </w:tcMar>
          </w:tcPr>
          <w:p>
            <w:pPr>
              <w:spacing w:after="0" w:line="240" w:lineRule="auto"/>
            </w:pPr>
            <w:r/>
            <w:r>
              <w:rPr>
                <w:rFonts w:ascii="Arial" w:hAnsi="Arial"/>
                <w:b w:val="0"/>
                <w:color w:val="18242F"/>
                <w:sz w:val="14"/>
              </w:rPr>
              <w:t>Transaction fan-out</w:t>
            </w:r>
          </w:p>
        </w:tc>
        <w:tc>
          <w:tcPr>
            <w:tcW w:type="dxa" w:w="4464"/>
            <w:vAlign w:val="center"/>
            <w:tcMar>
              <w:top w:w="90" w:type="dxa"/>
              <w:start w:w="110" w:type="dxa"/>
              <w:bottom w:w="90" w:type="dxa"/>
              <w:end w:w="110" w:type="dxa"/>
            </w:tcMar>
          </w:tcPr>
          <w:p>
            <w:pPr>
              <w:spacing w:after="0" w:line="240" w:lineRule="auto"/>
            </w:pPr>
            <w:r/>
            <w:r>
              <w:rPr>
                <w:rFonts w:ascii="Arial" w:hAnsi="Arial"/>
                <w:b w:val="0"/>
                <w:color w:val="18242F"/>
                <w:sz w:val="14"/>
              </w:rPr>
              <w:t>One synthetic account sends transactions to many distinct accounts within a defined window.</w:t>
            </w:r>
          </w:p>
        </w:tc>
        <w:tc>
          <w:tcPr>
            <w:tcW w:type="dxa" w:w="3384"/>
            <w:vAlign w:val="center"/>
            <w:tcMar>
              <w:top w:w="90" w:type="dxa"/>
              <w:start w:w="110" w:type="dxa"/>
              <w:bottom w:w="90" w:type="dxa"/>
              <w:end w:w="110" w:type="dxa"/>
            </w:tcMar>
          </w:tcPr>
          <w:p>
            <w:pPr>
              <w:spacing w:after="0" w:line="240" w:lineRule="auto"/>
            </w:pPr>
            <w:r/>
            <w:r>
              <w:rPr>
                <w:rFonts w:ascii="Arial" w:hAnsi="Arial"/>
                <w:b w:val="0"/>
                <w:color w:val="18242F"/>
                <w:sz w:val="14"/>
              </w:rPr>
              <w:t>Rule ID/version, window, record IDs, count, baseline/threshold and why it was flagged.</w:t>
            </w:r>
          </w:p>
        </w:tc>
      </w:tr>
      <w:tr>
        <w:tc>
          <w:tcPr>
            <w:tcW w:type="dxa" w:w="194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Circular transfers</w:t>
            </w:r>
          </w:p>
        </w:tc>
        <w:tc>
          <w:tcPr>
            <w:tcW w:type="dxa" w:w="446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Directed account-transfer cycle within defined hop/time/amount constraints.</w:t>
            </w:r>
          </w:p>
        </w:tc>
        <w:tc>
          <w:tcPr>
            <w:tcW w:type="dxa" w:w="338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Cycle edge IDs, event times/amounts, rule parameters and limitations.</w:t>
            </w:r>
          </w:p>
        </w:tc>
      </w:tr>
      <w:tr>
        <w:tc>
          <w:tcPr>
            <w:tcW w:type="dxa" w:w="1944"/>
            <w:vAlign w:val="center"/>
            <w:tcMar>
              <w:top w:w="90" w:type="dxa"/>
              <w:start w:w="110" w:type="dxa"/>
              <w:bottom w:w="90" w:type="dxa"/>
              <w:end w:w="110" w:type="dxa"/>
            </w:tcMar>
          </w:tcPr>
          <w:p>
            <w:pPr>
              <w:spacing w:after="0" w:line="240" w:lineRule="auto"/>
            </w:pPr>
            <w:r/>
            <w:r>
              <w:rPr>
                <w:rFonts w:ascii="Arial" w:hAnsi="Arial"/>
                <w:b w:val="0"/>
                <w:color w:val="18242F"/>
                <w:sz w:val="14"/>
              </w:rPr>
              <w:t>Call burst</w:t>
            </w:r>
          </w:p>
        </w:tc>
        <w:tc>
          <w:tcPr>
            <w:tcW w:type="dxa" w:w="4464"/>
            <w:vAlign w:val="center"/>
            <w:tcMar>
              <w:top w:w="90" w:type="dxa"/>
              <w:start w:w="110" w:type="dxa"/>
              <w:bottom w:w="90" w:type="dxa"/>
              <w:end w:w="110" w:type="dxa"/>
            </w:tcMar>
          </w:tcPr>
          <w:p>
            <w:pPr>
              <w:spacing w:after="0" w:line="240" w:lineRule="auto"/>
            </w:pPr>
            <w:r/>
            <w:r>
              <w:rPr>
                <w:rFonts w:ascii="Arial" w:hAnsi="Arial"/>
                <w:b w:val="0"/>
                <w:color w:val="18242F"/>
                <w:sz w:val="14"/>
              </w:rPr>
              <w:t>An entity’s call-event count exceeds a configured threshold within a window.</w:t>
            </w:r>
          </w:p>
        </w:tc>
        <w:tc>
          <w:tcPr>
            <w:tcW w:type="dxa" w:w="3384"/>
            <w:vAlign w:val="center"/>
            <w:tcMar>
              <w:top w:w="90" w:type="dxa"/>
              <w:start w:w="110" w:type="dxa"/>
              <w:bottom w:w="90" w:type="dxa"/>
              <w:end w:w="110" w:type="dxa"/>
            </w:tcMar>
          </w:tcPr>
          <w:p>
            <w:pPr>
              <w:spacing w:after="0" w:line="240" w:lineRule="auto"/>
            </w:pPr>
            <w:r/>
            <w:r>
              <w:rPr>
                <w:rFonts w:ascii="Arial" w:hAnsi="Arial"/>
                <w:b w:val="0"/>
                <w:color w:val="18242F"/>
                <w:sz w:val="14"/>
              </w:rPr>
              <w:t>Event IDs, time window, count and source references.</w:t>
            </w:r>
          </w:p>
        </w:tc>
      </w:tr>
      <w:tr>
        <w:tc>
          <w:tcPr>
            <w:tcW w:type="dxa" w:w="194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Timeline conflict</w:t>
            </w:r>
          </w:p>
        </w:tc>
        <w:tc>
          <w:tcPr>
            <w:tcW w:type="dxa" w:w="446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Two source claims about same entity/event have incompatible times beyond defined tolerance.</w:t>
            </w:r>
          </w:p>
        </w:tc>
        <w:tc>
          <w:tcPr>
            <w:tcW w:type="dxa" w:w="338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Both source claims, dates, rule ID and disputed state.</w:t>
            </w:r>
          </w:p>
        </w:tc>
      </w:tr>
      <w:tr>
        <w:tc>
          <w:tcPr>
            <w:tcW w:type="dxa" w:w="1944"/>
            <w:vAlign w:val="center"/>
            <w:tcMar>
              <w:top w:w="90" w:type="dxa"/>
              <w:start w:w="110" w:type="dxa"/>
              <w:bottom w:w="90" w:type="dxa"/>
              <w:end w:w="110" w:type="dxa"/>
            </w:tcMar>
          </w:tcPr>
          <w:p>
            <w:pPr>
              <w:spacing w:after="0" w:line="240" w:lineRule="auto"/>
            </w:pPr>
            <w:r/>
            <w:r>
              <w:rPr>
                <w:rFonts w:ascii="Arial" w:hAnsi="Arial"/>
                <w:b w:val="0"/>
                <w:color w:val="18242F"/>
                <w:sz w:val="14"/>
              </w:rPr>
              <w:t>Entity near-match</w:t>
            </w:r>
          </w:p>
        </w:tc>
        <w:tc>
          <w:tcPr>
            <w:tcW w:type="dxa" w:w="4464"/>
            <w:vAlign w:val="center"/>
            <w:tcMar>
              <w:top w:w="90" w:type="dxa"/>
              <w:start w:w="110" w:type="dxa"/>
              <w:bottom w:w="90" w:type="dxa"/>
              <w:end w:w="110" w:type="dxa"/>
            </w:tcMar>
          </w:tcPr>
          <w:p>
            <w:pPr>
              <w:spacing w:after="0" w:line="240" w:lineRule="auto"/>
            </w:pPr>
            <w:r/>
            <w:r>
              <w:rPr>
                <w:rFonts w:ascii="Arial" w:hAnsi="Arial"/>
                <w:b w:val="0"/>
                <w:color w:val="18242F"/>
                <w:sz w:val="14"/>
              </w:rPr>
              <w:t>Normalized names/attributes suggest duplicate, but identifiers do not conclusively match.</w:t>
            </w:r>
          </w:p>
        </w:tc>
        <w:tc>
          <w:tcPr>
            <w:tcW w:type="dxa" w:w="3384"/>
            <w:vAlign w:val="center"/>
            <w:tcMar>
              <w:top w:w="90" w:type="dxa"/>
              <w:start w:w="110" w:type="dxa"/>
              <w:bottom w:w="90" w:type="dxa"/>
              <w:end w:w="110" w:type="dxa"/>
            </w:tcMar>
          </w:tcPr>
          <w:p>
            <w:pPr>
              <w:spacing w:after="0" w:line="240" w:lineRule="auto"/>
            </w:pPr>
            <w:r/>
            <w:r>
              <w:rPr>
                <w:rFonts w:ascii="Arial" w:hAnsi="Arial"/>
                <w:b w:val="0"/>
                <w:color w:val="18242F"/>
                <w:sz w:val="14"/>
              </w:rPr>
              <w:t>Candidate pair and review request; never auto-merge ambiguous pair.</w:t>
            </w:r>
          </w:p>
        </w:tc>
      </w:tr>
    </w:tbl>
    <w:p>
      <w:pPr>
        <w:spacing w:after="20"/>
      </w:pPr>
    </w:p>
    <w:p>
      <w:pPr>
        <w:pStyle w:val="Heading1"/>
      </w:pPr>
      <w:r>
        <w:t>13. REST API contract</w:t>
      </w:r>
    </w:p>
    <w:p>
      <w:pPr>
        <w:pStyle w:val="Heading2"/>
      </w:pPr>
      <w:r>
        <w:t>13.1 Rules</w:t>
      </w:r>
    </w:p>
    <w:p>
      <w:pPr>
        <w:pStyle w:val="ListBullet"/>
        <w:spacing w:after="40"/>
        <w:ind w:left="360"/>
      </w:pPr>
      <w:r>
        <w:t>Prefix routes with `/api/v1`. JSON uses snake_case. Timestamps are ISO-8601 UTC.</w:t>
      </w:r>
    </w:p>
    <w:p>
      <w:pPr>
        <w:pStyle w:val="ListBullet"/>
        <w:spacing w:after="40"/>
        <w:ind w:left="360"/>
      </w:pPr>
      <w:r>
        <w:t>Every case-scoped route calls the same authorization dependency before reading/writing data.</w:t>
      </w:r>
    </w:p>
    <w:p>
      <w:pPr>
        <w:pStyle w:val="ListBullet"/>
        <w:spacing w:after="40"/>
        <w:ind w:left="360"/>
      </w:pPr>
      <w:r>
        <w:t>Every create/retry/analysis-start operation that may be repeated should accept an idempotency key.</w:t>
      </w:r>
    </w:p>
    <w:p>
      <w:pPr>
        <w:pStyle w:val="ListBullet"/>
        <w:spacing w:after="40"/>
        <w:ind w:left="360"/>
      </w:pPr>
      <w:r>
        <w:t>API returns stable error codes and a request_id/correlation_id. Do not expose stack traces or provider credentials.</w:t>
      </w:r>
    </w:p>
    <w:p>
      <w:pPr>
        <w:pStyle w:val="ListBullet"/>
        <w:spacing w:after="40"/>
        <w:ind w:left="360"/>
      </w:pPr>
      <w:r>
        <w:t>Upload uses multipart form-data; large files stream to storage instead of loading fully in memory.</w:t>
      </w:r>
    </w:p>
    <w:p>
      <w:pPr>
        <w:pStyle w:val="Heading2"/>
      </w:pPr>
      <w:r>
        <w:t>13.2 Endpoint inventory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vAlign w:val="center"/>
            <w:tcMar>
              <w:top w:w="90" w:type="dxa"/>
              <w:start w:w="110" w:type="dxa"/>
              <w:bottom w:w="90" w:type="dxa"/>
              <w:end w:w="110" w:type="dxa"/>
            </w:tcMar>
            <w:shd w:fill="1D3B55"/>
          </w:tcPr>
          <w:p>
            <w:pPr>
              <w:spacing w:after="0" w:line="240" w:lineRule="auto"/>
            </w:pPr>
            <w:r/>
            <w:r>
              <w:rPr>
                <w:rFonts w:ascii="Arial" w:hAnsi="Arial"/>
                <w:b/>
                <w:color w:val="FFFFFF"/>
                <w:sz w:val="16"/>
              </w:rPr>
              <w:t>Method</w:t>
            </w:r>
          </w:p>
        </w:tc>
        <w:tc>
          <w:tcPr>
            <w:tcW w:type="dxa" w:w="5112"/>
            <w:vAlign w:val="center"/>
            <w:tcMar>
              <w:top w:w="90" w:type="dxa"/>
              <w:start w:w="110" w:type="dxa"/>
              <w:bottom w:w="90" w:type="dxa"/>
              <w:end w:w="110" w:type="dxa"/>
            </w:tcMar>
            <w:shd w:fill="1D3B55"/>
          </w:tcPr>
          <w:p>
            <w:pPr>
              <w:spacing w:after="0" w:line="240" w:lineRule="auto"/>
            </w:pPr>
            <w:r/>
            <w:r>
              <w:rPr>
                <w:rFonts w:ascii="Arial" w:hAnsi="Arial"/>
                <w:b/>
                <w:color w:val="FFFFFF"/>
                <w:sz w:val="16"/>
              </w:rPr>
              <w:t>Endpoint</w:t>
            </w:r>
          </w:p>
        </w:tc>
        <w:tc>
          <w:tcPr>
            <w:tcW w:type="dxa" w:w="3672"/>
            <w:vAlign w:val="center"/>
            <w:tcMar>
              <w:top w:w="90" w:type="dxa"/>
              <w:start w:w="110" w:type="dxa"/>
              <w:bottom w:w="90" w:type="dxa"/>
              <w:end w:w="110" w:type="dxa"/>
            </w:tcMar>
            <w:shd w:fill="1D3B55"/>
          </w:tcPr>
          <w:p>
            <w:pPr>
              <w:spacing w:after="0" w:line="240" w:lineRule="auto"/>
            </w:pPr>
            <w:r/>
            <w:r>
              <w:rPr>
                <w:rFonts w:ascii="Arial" w:hAnsi="Arial"/>
                <w:b/>
                <w:color w:val="FFFFFF"/>
                <w:sz w:val="16"/>
              </w:rPr>
              <w:t>Purpose</w:t>
            </w:r>
          </w:p>
        </w:tc>
      </w:tr>
      <w:tr>
        <w:tc>
          <w:tcPr>
            <w:tcW w:type="dxa" w:w="936"/>
            <w:vAlign w:val="center"/>
            <w:tcMar>
              <w:top w:w="90" w:type="dxa"/>
              <w:start w:w="110" w:type="dxa"/>
              <w:bottom w:w="90" w:type="dxa"/>
              <w:end w:w="110" w:type="dxa"/>
            </w:tcMar>
          </w:tcPr>
          <w:p>
            <w:pPr>
              <w:spacing w:after="0" w:line="240" w:lineRule="auto"/>
            </w:pPr>
            <w:r/>
            <w:r>
              <w:rPr>
                <w:rFonts w:ascii="Arial" w:hAnsi="Arial"/>
                <w:b w:val="0"/>
                <w:color w:val="18242F"/>
                <w:sz w:val="14"/>
              </w:rPr>
              <w:t>POST</w:t>
            </w:r>
          </w:p>
        </w:tc>
        <w:tc>
          <w:tcPr>
            <w:tcW w:type="dxa" w:w="5112"/>
            <w:vAlign w:val="center"/>
            <w:tcMar>
              <w:top w:w="90" w:type="dxa"/>
              <w:start w:w="110" w:type="dxa"/>
              <w:bottom w:w="90" w:type="dxa"/>
              <w:end w:w="110" w:type="dxa"/>
            </w:tcMar>
          </w:tcPr>
          <w:p>
            <w:pPr>
              <w:spacing w:after="0" w:line="240" w:lineRule="auto"/>
            </w:pPr>
            <w:r/>
            <w:r>
              <w:rPr>
                <w:rFonts w:ascii="Arial" w:hAnsi="Arial"/>
                <w:b w:val="0"/>
                <w:color w:val="18242F"/>
                <w:sz w:val="14"/>
              </w:rPr>
              <w:t>/api/v1/cases</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Create case</w:t>
            </w:r>
          </w:p>
        </w:tc>
      </w:tr>
      <w:tr>
        <w:tc>
          <w:tcPr>
            <w:tcW w:type="dxa" w:w="93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/api/v1/cases</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List cases user can access</w:t>
            </w:r>
          </w:p>
        </w:tc>
      </w:tr>
      <w:tr>
        <w:tc>
          <w:tcPr>
            <w:tcW w:type="dxa" w:w="936"/>
            <w:vAlign w:val="center"/>
            <w:tcMar>
              <w:top w:w="90" w:type="dxa"/>
              <w:start w:w="110" w:type="dxa"/>
              <w:bottom w:w="90" w:type="dxa"/>
              <w:end w:w="110" w:type="dxa"/>
            </w:tcMar>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tcPr>
          <w:p>
            <w:pPr>
              <w:spacing w:after="0" w:line="240" w:lineRule="auto"/>
            </w:pPr>
            <w:r/>
            <w:r>
              <w:rPr>
                <w:rFonts w:ascii="Arial" w:hAnsi="Arial"/>
                <w:b w:val="0"/>
                <w:color w:val="18242F"/>
                <w:sz w:val="14"/>
              </w:rPr>
              <w:t>/api/v1/cases/{case_id}</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Case details</w:t>
            </w:r>
          </w:p>
        </w:tc>
      </w:tr>
      <w:tr>
        <w:tc>
          <w:tcPr>
            <w:tcW w:type="dxa" w:w="93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POST</w:t>
            </w:r>
          </w:p>
        </w:tc>
        <w:tc>
          <w:tcPr>
            <w:tcW w:type="dxa" w:w="511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/api/v1/cases/{case_id}/documents</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Upload document</w:t>
            </w:r>
          </w:p>
        </w:tc>
      </w:tr>
      <w:tr>
        <w:tc>
          <w:tcPr>
            <w:tcW w:type="dxa" w:w="936"/>
            <w:vAlign w:val="center"/>
            <w:tcMar>
              <w:top w:w="90" w:type="dxa"/>
              <w:start w:w="110" w:type="dxa"/>
              <w:bottom w:w="90" w:type="dxa"/>
              <w:end w:w="110" w:type="dxa"/>
            </w:tcMar>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tcPr>
          <w:p>
            <w:pPr>
              <w:spacing w:after="0" w:line="240" w:lineRule="auto"/>
            </w:pPr>
            <w:r/>
            <w:r>
              <w:rPr>
                <w:rFonts w:ascii="Arial" w:hAnsi="Arial"/>
                <w:b w:val="0"/>
                <w:color w:val="18242F"/>
                <w:sz w:val="14"/>
              </w:rPr>
              <w:t>/api/v1/cases/{case_id}/documents</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List documents/status</w:t>
            </w:r>
          </w:p>
        </w:tc>
      </w:tr>
      <w:tr>
        <w:tc>
          <w:tcPr>
            <w:tcW w:type="dxa" w:w="93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/api/v1/documents/{document_id}</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Document metadata</w:t>
            </w:r>
          </w:p>
        </w:tc>
      </w:tr>
      <w:tr>
        <w:tc>
          <w:tcPr>
            <w:tcW w:type="dxa" w:w="936"/>
            <w:vAlign w:val="center"/>
            <w:tcMar>
              <w:top w:w="90" w:type="dxa"/>
              <w:start w:w="110" w:type="dxa"/>
              <w:bottom w:w="90" w:type="dxa"/>
              <w:end w:w="110" w:type="dxa"/>
            </w:tcMar>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tcPr>
          <w:p>
            <w:pPr>
              <w:spacing w:after="0" w:line="240" w:lineRule="auto"/>
            </w:pPr>
            <w:r/>
            <w:r>
              <w:rPr>
                <w:rFonts w:ascii="Arial" w:hAnsi="Arial"/>
                <w:b w:val="0"/>
                <w:color w:val="18242F"/>
                <w:sz w:val="14"/>
              </w:rPr>
              <w:t>/api/v1/documents/{document_id}/evidence-spans/{evidence_id}</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Authorized source excerpt</w:t>
            </w:r>
          </w:p>
        </w:tc>
      </w:tr>
      <w:tr>
        <w:tc>
          <w:tcPr>
            <w:tcW w:type="dxa" w:w="93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POST</w:t>
            </w:r>
          </w:p>
        </w:tc>
        <w:tc>
          <w:tcPr>
            <w:tcW w:type="dxa" w:w="511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/api/v1/cases/{case_id}/analysis-runs</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Start analysis</w:t>
            </w:r>
          </w:p>
        </w:tc>
      </w:tr>
      <w:tr>
        <w:tc>
          <w:tcPr>
            <w:tcW w:type="dxa" w:w="936"/>
            <w:vAlign w:val="center"/>
            <w:tcMar>
              <w:top w:w="90" w:type="dxa"/>
              <w:start w:w="110" w:type="dxa"/>
              <w:bottom w:w="90" w:type="dxa"/>
              <w:end w:w="110" w:type="dxa"/>
            </w:tcMar>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tcPr>
          <w:p>
            <w:pPr>
              <w:spacing w:after="0" w:line="240" w:lineRule="auto"/>
            </w:pPr>
            <w:r/>
            <w:r>
              <w:rPr>
                <w:rFonts w:ascii="Arial" w:hAnsi="Arial"/>
                <w:b w:val="0"/>
                <w:color w:val="18242F"/>
                <w:sz w:val="14"/>
              </w:rPr>
              <w:t>/api/v1/analysis-runs/{run_id}</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Run status and summary</w:t>
            </w:r>
          </w:p>
        </w:tc>
      </w:tr>
      <w:tr>
        <w:tc>
          <w:tcPr>
            <w:tcW w:type="dxa" w:w="93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POST</w:t>
            </w:r>
          </w:p>
        </w:tc>
        <w:tc>
          <w:tcPr>
            <w:tcW w:type="dxa" w:w="511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/api/v1/analysis-runs/{run_id}/cancel</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Request cancellation</w:t>
            </w:r>
          </w:p>
        </w:tc>
      </w:tr>
      <w:tr>
        <w:tc>
          <w:tcPr>
            <w:tcW w:type="dxa" w:w="936"/>
            <w:vAlign w:val="center"/>
            <w:tcMar>
              <w:top w:w="90" w:type="dxa"/>
              <w:start w:w="110" w:type="dxa"/>
              <w:bottom w:w="90" w:type="dxa"/>
              <w:end w:w="110" w:type="dxa"/>
            </w:tcMar>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tcPr>
          <w:p>
            <w:pPr>
              <w:spacing w:after="0" w:line="240" w:lineRule="auto"/>
            </w:pPr>
            <w:r/>
            <w:r>
              <w:rPr>
                <w:rFonts w:ascii="Arial" w:hAnsi="Arial"/>
                <w:b w:val="0"/>
                <w:color w:val="18242F"/>
                <w:sz w:val="14"/>
              </w:rPr>
              <w:t>/api/v1/analysis-runs/{run_id}/events</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SSE events / replay</w:t>
            </w:r>
          </w:p>
        </w:tc>
      </w:tr>
      <w:tr>
        <w:tc>
          <w:tcPr>
            <w:tcW w:type="dxa" w:w="93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/api/v1/cases/{case_id}/entities</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List/search entities</w:t>
            </w:r>
          </w:p>
        </w:tc>
      </w:tr>
      <w:tr>
        <w:tc>
          <w:tcPr>
            <w:tcW w:type="dxa" w:w="936"/>
            <w:vAlign w:val="center"/>
            <w:tcMar>
              <w:top w:w="90" w:type="dxa"/>
              <w:start w:w="110" w:type="dxa"/>
              <w:bottom w:w="90" w:type="dxa"/>
              <w:end w:w="110" w:type="dxa"/>
            </w:tcMar>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tcPr>
          <w:p>
            <w:pPr>
              <w:spacing w:after="0" w:line="240" w:lineRule="auto"/>
            </w:pPr>
            <w:r/>
            <w:r>
              <w:rPr>
                <w:rFonts w:ascii="Arial" w:hAnsi="Arial"/>
                <w:b w:val="0"/>
                <w:color w:val="18242F"/>
                <w:sz w:val="14"/>
              </w:rPr>
              <w:t>/api/v1/cases/{case_id}/relationships</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List/search relationships</w:t>
            </w:r>
          </w:p>
        </w:tc>
      </w:tr>
      <w:tr>
        <w:tc>
          <w:tcPr>
            <w:tcW w:type="dxa" w:w="93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/api/v1/cases/{case_id}/graph</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Nodes/edges for visualization</w:t>
            </w:r>
          </w:p>
        </w:tc>
      </w:tr>
      <w:tr>
        <w:tc>
          <w:tcPr>
            <w:tcW w:type="dxa" w:w="936"/>
            <w:vAlign w:val="center"/>
            <w:tcMar>
              <w:top w:w="90" w:type="dxa"/>
              <w:start w:w="110" w:type="dxa"/>
              <w:bottom w:w="90" w:type="dxa"/>
              <w:end w:w="110" w:type="dxa"/>
            </w:tcMar>
          </w:tcPr>
          <w:p>
            <w:pPr>
              <w:spacing w:after="0" w:line="240" w:lineRule="auto"/>
            </w:pPr>
            <w:r/>
            <w:r>
              <w:rPr>
                <w:rFonts w:ascii="Arial" w:hAnsi="Arial"/>
                <w:b w:val="0"/>
                <w:color w:val="18242F"/>
                <w:sz w:val="14"/>
              </w:rPr>
              <w:t>POST</w:t>
            </w:r>
          </w:p>
        </w:tc>
        <w:tc>
          <w:tcPr>
            <w:tcW w:type="dxa" w:w="5112"/>
            <w:vAlign w:val="center"/>
            <w:tcMar>
              <w:top w:w="90" w:type="dxa"/>
              <w:start w:w="110" w:type="dxa"/>
              <w:bottom w:w="90" w:type="dxa"/>
              <w:end w:w="110" w:type="dxa"/>
            </w:tcMar>
          </w:tcPr>
          <w:p>
            <w:pPr>
              <w:spacing w:after="0" w:line="240" w:lineRule="auto"/>
            </w:pPr>
            <w:r/>
            <w:r>
              <w:rPr>
                <w:rFonts w:ascii="Arial" w:hAnsi="Arial"/>
                <w:b w:val="0"/>
                <w:color w:val="18242F"/>
                <w:sz w:val="14"/>
              </w:rPr>
              <w:t>/api/v1/relationships/{relationship_id}/review</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Record investigator review</w:t>
            </w:r>
          </w:p>
        </w:tc>
      </w:tr>
      <w:tr>
        <w:tc>
          <w:tcPr>
            <w:tcW w:type="dxa" w:w="93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/api/v1/cases/{case_id}/findings</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List anomaly/contradiction findings</w:t>
            </w:r>
          </w:p>
        </w:tc>
      </w:tr>
      <w:tr>
        <w:tc>
          <w:tcPr>
            <w:tcW w:type="dxa" w:w="936"/>
            <w:vAlign w:val="center"/>
            <w:tcMar>
              <w:top w:w="90" w:type="dxa"/>
              <w:start w:w="110" w:type="dxa"/>
              <w:bottom w:w="90" w:type="dxa"/>
              <w:end w:w="110" w:type="dxa"/>
            </w:tcMar>
          </w:tcPr>
          <w:p>
            <w:pPr>
              <w:spacing w:after="0" w:line="240" w:lineRule="auto"/>
            </w:pPr>
            <w:r/>
            <w:r>
              <w:rPr>
                <w:rFonts w:ascii="Arial" w:hAnsi="Arial"/>
                <w:b w:val="0"/>
                <w:color w:val="18242F"/>
                <w:sz w:val="14"/>
              </w:rPr>
              <w:t>POST</w:t>
            </w:r>
          </w:p>
        </w:tc>
        <w:tc>
          <w:tcPr>
            <w:tcW w:type="dxa" w:w="5112"/>
            <w:vAlign w:val="center"/>
            <w:tcMar>
              <w:top w:w="90" w:type="dxa"/>
              <w:start w:w="110" w:type="dxa"/>
              <w:bottom w:w="90" w:type="dxa"/>
              <w:end w:w="110" w:type="dxa"/>
            </w:tcMar>
          </w:tcPr>
          <w:p>
            <w:pPr>
              <w:spacing w:after="0" w:line="240" w:lineRule="auto"/>
            </w:pPr>
            <w:r/>
            <w:r>
              <w:rPr>
                <w:rFonts w:ascii="Arial" w:hAnsi="Arial"/>
                <w:b w:val="0"/>
                <w:color w:val="18242F"/>
                <w:sz w:val="14"/>
              </w:rPr>
              <w:t>/api/v1/cases/{case_id}/reports</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Generate report draft</w:t>
            </w:r>
          </w:p>
        </w:tc>
      </w:tr>
      <w:tr>
        <w:tc>
          <w:tcPr>
            <w:tcW w:type="dxa" w:w="93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/api/v1/reports/{report_id}</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Report metadata/content</w:t>
            </w:r>
          </w:p>
        </w:tc>
      </w:tr>
      <w:tr>
        <w:tc>
          <w:tcPr>
            <w:tcW w:type="dxa" w:w="936"/>
            <w:vAlign w:val="center"/>
            <w:tcMar>
              <w:top w:w="90" w:type="dxa"/>
              <w:start w:w="110" w:type="dxa"/>
              <w:bottom w:w="90" w:type="dxa"/>
              <w:end w:w="110" w:type="dxa"/>
            </w:tcMar>
          </w:tcPr>
          <w:p>
            <w:pPr>
              <w:spacing w:after="0" w:line="240" w:lineRule="auto"/>
            </w:pPr>
            <w:r/>
            <w:r>
              <w:rPr>
                <w:rFonts w:ascii="Arial" w:hAnsi="Arial"/>
                <w:b w:val="0"/>
                <w:color w:val="18242F"/>
                <w:sz w:val="14"/>
              </w:rPr>
              <w:t>POST</w:t>
            </w:r>
          </w:p>
        </w:tc>
        <w:tc>
          <w:tcPr>
            <w:tcW w:type="dxa" w:w="5112"/>
            <w:vAlign w:val="center"/>
            <w:tcMar>
              <w:top w:w="90" w:type="dxa"/>
              <w:start w:w="110" w:type="dxa"/>
              <w:bottom w:w="90" w:type="dxa"/>
              <w:end w:w="110" w:type="dxa"/>
            </w:tcMar>
          </w:tcPr>
          <w:p>
            <w:pPr>
              <w:spacing w:after="0" w:line="240" w:lineRule="auto"/>
            </w:pPr>
            <w:r/>
            <w:r>
              <w:rPr>
                <w:rFonts w:ascii="Arial" w:hAnsi="Arial"/>
                <w:b w:val="0"/>
                <w:color w:val="18242F"/>
                <w:sz w:val="14"/>
              </w:rPr>
              <w:t>/api/v1/voice/sessions</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Create authorized voice session</w:t>
            </w:r>
          </w:p>
        </w:tc>
      </w:tr>
      <w:tr>
        <w:tc>
          <w:tcPr>
            <w:tcW w:type="dxa" w:w="936"/>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/healthz</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Liveness</w:t>
            </w:r>
          </w:p>
        </w:tc>
      </w:tr>
      <w:tr>
        <w:tc>
          <w:tcPr>
            <w:tcW w:type="dxa" w:w="936"/>
            <w:vAlign w:val="center"/>
            <w:tcMar>
              <w:top w:w="90" w:type="dxa"/>
              <w:start w:w="110" w:type="dxa"/>
              <w:bottom w:w="90" w:type="dxa"/>
              <w:end w:w="110" w:type="dxa"/>
            </w:tcMar>
          </w:tcPr>
          <w:p>
            <w:pPr>
              <w:spacing w:after="0" w:line="240" w:lineRule="auto"/>
            </w:pPr>
            <w:r/>
            <w:r>
              <w:rPr>
                <w:rFonts w:ascii="Arial" w:hAnsi="Arial"/>
                <w:b w:val="0"/>
                <w:color w:val="18242F"/>
                <w:sz w:val="14"/>
              </w:rPr>
              <w:t>GET</w:t>
            </w:r>
          </w:p>
        </w:tc>
        <w:tc>
          <w:tcPr>
            <w:tcW w:type="dxa" w:w="5112"/>
            <w:vAlign w:val="center"/>
            <w:tcMar>
              <w:top w:w="90" w:type="dxa"/>
              <w:start w:w="110" w:type="dxa"/>
              <w:bottom w:w="90" w:type="dxa"/>
              <w:end w:w="110" w:type="dxa"/>
            </w:tcMar>
          </w:tcPr>
          <w:p>
            <w:pPr>
              <w:spacing w:after="0" w:line="240" w:lineRule="auto"/>
            </w:pPr>
            <w:r/>
            <w:r>
              <w:rPr>
                <w:rFonts w:ascii="Arial" w:hAnsi="Arial"/>
                <w:b w:val="0"/>
                <w:color w:val="18242F"/>
                <w:sz w:val="14"/>
              </w:rPr>
              <w:t>/readyz</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Readiness and dependency checks</w:t>
            </w:r>
          </w:p>
        </w:tc>
      </w:tr>
    </w:tbl>
    <w:p>
      <w:pPr>
        <w:spacing w:after="20"/>
      </w:pPr>
    </w:p>
    <w:p>
      <w:pPr>
        <w:pStyle w:val="Heading2"/>
      </w:pPr>
      <w:r>
        <w:t>13.3 Start analysis request</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POST /api/v1/cases/{case_id}/analysis-runs</w:t>
            </w:r>
          </w:p>
          <w:p>
            <w:pPr>
              <w:pStyle w:val="TATTVACode"/>
              <w:keepLines/>
            </w:pPr>
            <w:r>
              <w:rPr>
                <w:rFonts w:ascii="Consolas" w:hAnsi="Consolas"/>
                <w:color w:val="203448"/>
                <w:sz w:val="14"/>
              </w:rPr>
              <w:t>Idempotency-Key: 4cc3... (recommended)</w:t>
            </w:r>
          </w:p>
          <w:p>
            <w:pPr>
              <w:pStyle w:val="TATTVACode"/>
              <w:keepLines/>
            </w:pPr>
            <w:r>
              <w:rPr>
                <w:rFonts w:ascii="Consolas" w:hAnsi="Consolas"/>
                <w:color w:val="203448"/>
                <w:sz w:val="14"/>
              </w:rPr>
              <w:t>{</w:t>
            </w:r>
          </w:p>
          <w:p>
            <w:pPr>
              <w:pStyle w:val="TATTVACode"/>
              <w:keepLines/>
            </w:pPr>
            <w:r>
              <w:rPr>
                <w:rFonts w:ascii="Consolas" w:hAnsi="Consolas"/>
                <w:color w:val="203448"/>
                <w:sz w:val="14"/>
              </w:rPr>
              <w:t xml:space="preserve">  "objective": "Analyze case records and verify candidate relationships",</w:t>
            </w:r>
          </w:p>
          <w:p>
            <w:pPr>
              <w:pStyle w:val="TATTVACode"/>
              <w:keepLines/>
            </w:pPr>
            <w:r>
              <w:rPr>
                <w:rFonts w:ascii="Consolas" w:hAnsi="Consolas"/>
                <w:color w:val="203448"/>
                <w:sz w:val="14"/>
              </w:rPr>
              <w:t xml:space="preserve">  "analysis_profile": "full_case_analysis",</w:t>
            </w:r>
          </w:p>
          <w:p>
            <w:pPr>
              <w:pStyle w:val="TATTVACode"/>
              <w:keepLines/>
            </w:pPr>
            <w:r>
              <w:rPr>
                <w:rFonts w:ascii="Consolas" w:hAnsi="Consolas"/>
                <w:color w:val="203448"/>
                <w:sz w:val="14"/>
              </w:rPr>
              <w:t xml:space="preserve">  "checks": ["relationship_verification", "contradictions", "transaction_patterns"],</w:t>
            </w:r>
          </w:p>
          <w:p>
            <w:pPr>
              <w:pStyle w:val="TATTVACode"/>
              <w:keepLines/>
            </w:pPr>
            <w:r>
              <w:rPr>
                <w:rFonts w:ascii="Consolas" w:hAnsi="Consolas"/>
                <w:color w:val="203448"/>
                <w:sz w:val="14"/>
              </w:rPr>
              <w:t xml:space="preserve">  "document_ids": ["doc_a", "doc_b", "doc_c"],</w:t>
            </w:r>
          </w:p>
          <w:p>
            <w:pPr>
              <w:pStyle w:val="TATTVACode"/>
              <w:keepLines/>
            </w:pPr>
            <w:r>
              <w:rPr>
                <w:rFonts w:ascii="Consolas" w:hAnsi="Consolas"/>
                <w:color w:val="203448"/>
                <w:sz w:val="14"/>
              </w:rPr>
              <w:t xml:space="preserve">  "include_hypotheses": false</w:t>
            </w:r>
          </w:p>
          <w:p>
            <w:pPr>
              <w:pStyle w:val="TATTVACode"/>
              <w:keepLines/>
            </w:pPr>
            <w:r>
              <w:rPr>
                <w:rFonts w:ascii="Consolas" w:hAnsi="Consolas"/>
                <w:color w:val="203448"/>
                <w:sz w:val="14"/>
              </w:rPr>
              <w:t>}</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202 Accepted</w:t>
            </w:r>
          </w:p>
          <w:p>
            <w:pPr>
              <w:pStyle w:val="TATTVACode"/>
              <w:keepLines/>
            </w:pPr>
            <w:r>
              <w:rPr>
                <w:rFonts w:ascii="Consolas" w:hAnsi="Consolas"/>
                <w:color w:val="203448"/>
                <w:sz w:val="14"/>
              </w:rPr>
              <w:t>{</w:t>
            </w:r>
          </w:p>
          <w:p>
            <w:pPr>
              <w:pStyle w:val="TATTVACode"/>
              <w:keepLines/>
            </w:pPr>
            <w:r>
              <w:rPr>
                <w:rFonts w:ascii="Consolas" w:hAnsi="Consolas"/>
                <w:color w:val="203448"/>
                <w:sz w:val="14"/>
              </w:rPr>
              <w:t xml:space="preserve">  "run_id": "run_345_001",</w:t>
            </w:r>
          </w:p>
          <w:p>
            <w:pPr>
              <w:pStyle w:val="TATTVACode"/>
              <w:keepLines/>
            </w:pPr>
            <w:r>
              <w:rPr>
                <w:rFonts w:ascii="Consolas" w:hAnsi="Consolas"/>
                <w:color w:val="203448"/>
                <w:sz w:val="14"/>
              </w:rPr>
              <w:t xml:space="preserve">  "case_id": "case_uuid_345",</w:t>
            </w:r>
          </w:p>
          <w:p>
            <w:pPr>
              <w:pStyle w:val="TATTVACode"/>
              <w:keepLines/>
            </w:pPr>
            <w:r>
              <w:rPr>
                <w:rFonts w:ascii="Consolas" w:hAnsi="Consolas"/>
                <w:color w:val="203448"/>
                <w:sz w:val="14"/>
              </w:rPr>
              <w:t xml:space="preserve">  "case_number": "345",</w:t>
            </w:r>
          </w:p>
          <w:p>
            <w:pPr>
              <w:pStyle w:val="TATTVACode"/>
              <w:keepLines/>
            </w:pPr>
            <w:r>
              <w:rPr>
                <w:rFonts w:ascii="Consolas" w:hAnsi="Consolas"/>
                <w:color w:val="203448"/>
                <w:sz w:val="14"/>
              </w:rPr>
              <w:t xml:space="preserve">  "status": "queued",</w:t>
            </w:r>
          </w:p>
          <w:p>
            <w:pPr>
              <w:pStyle w:val="TATTVACode"/>
              <w:keepLines/>
            </w:pPr>
            <w:r>
              <w:rPr>
                <w:rFonts w:ascii="Consolas" w:hAnsi="Consolas"/>
                <w:color w:val="203448"/>
                <w:sz w:val="14"/>
              </w:rPr>
              <w:t xml:space="preserve">  "created_at": "2026-10-20T17:00:00Z",</w:t>
            </w:r>
          </w:p>
          <w:p>
            <w:pPr>
              <w:pStyle w:val="TATTVACode"/>
              <w:keepLines/>
            </w:pPr>
            <w:r>
              <w:rPr>
                <w:rFonts w:ascii="Consolas" w:hAnsi="Consolas"/>
                <w:color w:val="203448"/>
                <w:sz w:val="14"/>
              </w:rPr>
              <w:t xml:space="preserve">  "events_url": "/api/v1/analysis-runs/run_345_001/events"</w:t>
            </w:r>
          </w:p>
          <w:p>
            <w:pPr>
              <w:pStyle w:val="TATTVACode"/>
              <w:keepLines/>
            </w:pPr>
            <w:r>
              <w:rPr>
                <w:rFonts w:ascii="Consolas" w:hAnsi="Consolas"/>
                <w:color w:val="203448"/>
                <w:sz w:val="14"/>
              </w:rPr>
              <w:t>}</w:t>
            </w:r>
          </w:p>
        </w:tc>
      </w:tr>
    </w:tbl>
    <w:p>
      <w:pPr>
        <w:spacing w:after="20"/>
      </w:pPr>
    </w:p>
    <w:p>
      <w:pPr>
        <w:pStyle w:val="Heading2"/>
      </w:pPr>
      <w:r>
        <w:t>13.4 Graph response contract</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w:t>
            </w:r>
          </w:p>
          <w:p>
            <w:pPr>
              <w:pStyle w:val="TATTVACode"/>
              <w:keepLines/>
            </w:pPr>
            <w:r>
              <w:rPr>
                <w:rFonts w:ascii="Consolas" w:hAnsi="Consolas"/>
                <w:color w:val="203448"/>
                <w:sz w:val="14"/>
              </w:rPr>
              <w:t xml:space="preserve">  "case_id": "case_uuid_345",</w:t>
            </w:r>
          </w:p>
          <w:p>
            <w:pPr>
              <w:pStyle w:val="TATTVACode"/>
              <w:keepLines/>
            </w:pPr>
            <w:r>
              <w:rPr>
                <w:rFonts w:ascii="Consolas" w:hAnsi="Consolas"/>
                <w:color w:val="203448"/>
                <w:sz w:val="14"/>
              </w:rPr>
              <w:t xml:space="preserve">  "graph_version": "graph_12",</w:t>
            </w:r>
          </w:p>
          <w:p>
            <w:pPr>
              <w:pStyle w:val="TATTVACode"/>
              <w:keepLines/>
            </w:pPr>
            <w:r>
              <w:rPr>
                <w:rFonts w:ascii="Consolas" w:hAnsi="Consolas"/>
                <w:color w:val="203448"/>
                <w:sz w:val="14"/>
              </w:rPr>
              <w:t xml:space="preserve">  "nodes": [{</w:t>
            </w:r>
          </w:p>
          <w:p>
            <w:pPr>
              <w:pStyle w:val="TATTVACode"/>
              <w:keepLines/>
            </w:pPr>
            <w:r>
              <w:rPr>
                <w:rFonts w:ascii="Consolas" w:hAnsi="Consolas"/>
                <w:color w:val="203448"/>
                <w:sz w:val="14"/>
              </w:rPr>
              <w:t xml:space="preserve">    "id": "entity_001", "type": "person", "label": "Person A",</w:t>
            </w:r>
          </w:p>
          <w:p>
            <w:pPr>
              <w:pStyle w:val="TATTVACode"/>
              <w:keepLines/>
            </w:pPr>
            <w:r>
              <w:rPr>
                <w:rFonts w:ascii="Consolas" w:hAnsi="Consolas"/>
                <w:color w:val="203448"/>
                <w:sz w:val="14"/>
              </w:rPr>
              <w:t xml:space="preserve">    "mention_count": 3, "review_status": "not_reviewed"</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xml:space="preserve">  "edges": [{</w:t>
            </w:r>
          </w:p>
          <w:p>
            <w:pPr>
              <w:pStyle w:val="TATTVACode"/>
              <w:keepLines/>
            </w:pPr>
            <w:r>
              <w:rPr>
                <w:rFonts w:ascii="Consolas" w:hAnsi="Consolas"/>
                <w:color w:val="203448"/>
                <w:sz w:val="14"/>
              </w:rPr>
              <w:t xml:space="preserve">    "id": "rel_001", "source": "entity_001", "target": "entity_002",</w:t>
            </w:r>
          </w:p>
          <w:p>
            <w:pPr>
              <w:pStyle w:val="TATTVACode"/>
              <w:keepLines/>
            </w:pPr>
            <w:r>
              <w:rPr>
                <w:rFonts w:ascii="Consolas" w:hAnsi="Consolas"/>
                <w:color w:val="203448"/>
                <w:sz w:val="14"/>
              </w:rPr>
              <w:t xml:space="preserve">    "predicate": "communicated_with", "verification_status": "candidate",</w:t>
            </w:r>
          </w:p>
          <w:p>
            <w:pPr>
              <w:pStyle w:val="TATTVACode"/>
              <w:keepLines/>
            </w:pPr>
            <w:r>
              <w:rPr>
                <w:rFonts w:ascii="Consolas" w:hAnsi="Consolas"/>
                <w:color w:val="203448"/>
                <w:sz w:val="14"/>
              </w:rPr>
              <w:t xml:space="preserve">    "review_status": "not_reviewed", "evidence_count": 1</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xml:space="preserve">  "legend": ["supported", "disputed", "insufficient_evidence", "candidate"]</w:t>
            </w:r>
          </w:p>
          <w:p>
            <w:pPr>
              <w:pStyle w:val="TATTVACode"/>
              <w:keepLines/>
            </w:pPr>
            <w:r>
              <w:rPr>
                <w:rFonts w:ascii="Consolas" w:hAnsi="Consolas"/>
                <w:color w:val="203448"/>
                <w:sz w:val="14"/>
              </w:rPr>
              <w:t>}</w:t>
            </w:r>
          </w:p>
        </w:tc>
      </w:tr>
    </w:tbl>
    <w:p>
      <w:pPr>
        <w:spacing w:after="20"/>
      </w:pPr>
    </w:p>
    <w:p>
      <w:r>
        <w:rPr>
          <w:i w:val="0"/>
        </w:rPr>
        <w:t>Do not transmit unnecessary sensitive attributes in graph labels. Return a safe display label and allow authorized users to fetch source details through a separate evidence endpoint.</w:t>
      </w:r>
    </w:p>
    <w:p>
      <w:pPr>
        <w:pStyle w:val="Heading1"/>
      </w:pPr>
      <w:r>
        <w:t>14. Live events and cinematic dashboard contract</w:t>
      </w:r>
    </w:p>
    <w:p>
      <w:pPr>
        <w:pStyle w:val="Heading2"/>
      </w:pPr>
      <w:r>
        <w:t>14.1 Required event envelope</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w:t>
            </w:r>
          </w:p>
          <w:p>
            <w:pPr>
              <w:pStyle w:val="TATTVACode"/>
              <w:keepLines/>
            </w:pPr>
            <w:r>
              <w:rPr>
                <w:rFonts w:ascii="Consolas" w:hAnsi="Consolas"/>
                <w:color w:val="203448"/>
                <w:sz w:val="14"/>
              </w:rPr>
              <w:t xml:space="preserve">  "event_id": "evt_000081",</w:t>
            </w:r>
          </w:p>
          <w:p>
            <w:pPr>
              <w:pStyle w:val="TATTVACode"/>
              <w:keepLines/>
            </w:pPr>
            <w:r>
              <w:rPr>
                <w:rFonts w:ascii="Consolas" w:hAnsi="Consolas"/>
                <w:color w:val="203448"/>
                <w:sz w:val="14"/>
              </w:rPr>
              <w:t xml:space="preserve">  "seq": 81,</w:t>
            </w:r>
          </w:p>
          <w:p>
            <w:pPr>
              <w:pStyle w:val="TATTVACode"/>
              <w:keepLines/>
            </w:pPr>
            <w:r>
              <w:rPr>
                <w:rFonts w:ascii="Consolas" w:hAnsi="Consolas"/>
                <w:color w:val="203448"/>
                <w:sz w:val="14"/>
              </w:rPr>
              <w:t xml:space="preserve">  "type": "relationship.status_changed",</w:t>
            </w:r>
          </w:p>
          <w:p>
            <w:pPr>
              <w:pStyle w:val="TATTVACode"/>
              <w:keepLines/>
            </w:pPr>
            <w:r>
              <w:rPr>
                <w:rFonts w:ascii="Consolas" w:hAnsi="Consolas"/>
                <w:color w:val="203448"/>
                <w:sz w:val="14"/>
              </w:rPr>
              <w:t xml:space="preserve">  "run_id": "run_345_001",</w:t>
            </w:r>
          </w:p>
          <w:p>
            <w:pPr>
              <w:pStyle w:val="TATTVACode"/>
              <w:keepLines/>
            </w:pPr>
            <w:r>
              <w:rPr>
                <w:rFonts w:ascii="Consolas" w:hAnsi="Consolas"/>
                <w:color w:val="203448"/>
                <w:sz w:val="14"/>
              </w:rPr>
              <w:t xml:space="preserve">  "case_id": "case_uuid_345",</w:t>
            </w:r>
          </w:p>
          <w:p>
            <w:pPr>
              <w:pStyle w:val="TATTVACode"/>
              <w:keepLines/>
            </w:pPr>
            <w:r>
              <w:rPr>
                <w:rFonts w:ascii="Consolas" w:hAnsi="Consolas"/>
                <w:color w:val="203448"/>
                <w:sz w:val="14"/>
              </w:rPr>
              <w:t xml:space="preserve">  "task_id": "task_verify_07",</w:t>
            </w:r>
          </w:p>
          <w:p>
            <w:pPr>
              <w:pStyle w:val="TATTVACode"/>
              <w:keepLines/>
            </w:pPr>
            <w:r>
              <w:rPr>
                <w:rFonts w:ascii="Consolas" w:hAnsi="Consolas"/>
                <w:color w:val="203448"/>
                <w:sz w:val="14"/>
              </w:rPr>
              <w:t xml:space="preserve">  "timestamp": "2026-10-20T17:01:05Z",</w:t>
            </w:r>
          </w:p>
          <w:p>
            <w:pPr>
              <w:pStyle w:val="TATTVACode"/>
              <w:keepLines/>
            </w:pPr>
            <w:r>
              <w:rPr>
                <w:rFonts w:ascii="Consolas" w:hAnsi="Consolas"/>
                <w:color w:val="203448"/>
                <w:sz w:val="14"/>
              </w:rPr>
              <w:t xml:space="preserve">  "severity": "info",</w:t>
            </w:r>
          </w:p>
          <w:p>
            <w:pPr>
              <w:pStyle w:val="TATTVACode"/>
              <w:keepLines/>
            </w:pPr>
            <w:r>
              <w:rPr>
                <w:rFonts w:ascii="Consolas" w:hAnsi="Consolas"/>
                <w:color w:val="203448"/>
                <w:sz w:val="14"/>
              </w:rPr>
              <w:t xml:space="preserve">  "message": "Relationship verification result available",</w:t>
            </w:r>
          </w:p>
          <w:p>
            <w:pPr>
              <w:pStyle w:val="TATTVACode"/>
              <w:keepLines/>
            </w:pPr>
            <w:r>
              <w:rPr>
                <w:rFonts w:ascii="Consolas" w:hAnsi="Consolas"/>
                <w:color w:val="203448"/>
                <w:sz w:val="14"/>
              </w:rPr>
              <w:t xml:space="preserve">  "payload": {</w:t>
            </w:r>
          </w:p>
          <w:p>
            <w:pPr>
              <w:pStyle w:val="TATTVACode"/>
              <w:keepLines/>
            </w:pPr>
            <w:r>
              <w:rPr>
                <w:rFonts w:ascii="Consolas" w:hAnsi="Consolas"/>
                <w:color w:val="203448"/>
                <w:sz w:val="14"/>
              </w:rPr>
              <w:t xml:space="preserve">    "relationship_id": "rel_001",</w:t>
            </w:r>
          </w:p>
          <w:p>
            <w:pPr>
              <w:pStyle w:val="TATTVACode"/>
              <w:keepLines/>
            </w:pPr>
            <w:r>
              <w:rPr>
                <w:rFonts w:ascii="Consolas" w:hAnsi="Consolas"/>
                <w:color w:val="203448"/>
                <w:sz w:val="14"/>
              </w:rPr>
              <w:t xml:space="preserve">    "verification_status": "insufficient_evidence",</w:t>
            </w:r>
          </w:p>
          <w:p>
            <w:pPr>
              <w:pStyle w:val="TATTVACode"/>
              <w:keepLines/>
            </w:pPr>
            <w:r>
              <w:rPr>
                <w:rFonts w:ascii="Consolas" w:hAnsi="Consolas"/>
                <w:color w:val="203448"/>
                <w:sz w:val="14"/>
              </w:rPr>
              <w:t xml:space="preserve">    "evidence_ids": ["evidence_014"]</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w:t>
            </w:r>
          </w:p>
        </w:tc>
      </w:tr>
    </w:tbl>
    <w:p>
      <w:pPr>
        <w:spacing w:after="20"/>
      </w:pPr>
    </w:p>
    <w:p>
      <w:pPr>
        <w:pStyle w:val="Heading2"/>
      </w:pPr>
      <w:r>
        <w:t>14.2 Event types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96"/>
            <w:vAlign w:val="center"/>
            <w:tcMar>
              <w:top w:w="90" w:type="dxa"/>
              <w:start w:w="110" w:type="dxa"/>
              <w:bottom w:w="90" w:type="dxa"/>
              <w:end w:w="110" w:type="dxa"/>
            </w:tcMar>
            <w:shd w:fill="1D3B55"/>
          </w:tcPr>
          <w:p>
            <w:pPr>
              <w:spacing w:after="0" w:line="240" w:lineRule="auto"/>
            </w:pPr>
            <w:r/>
            <w:r>
              <w:rPr>
                <w:rFonts w:ascii="Arial" w:hAnsi="Arial"/>
                <w:b/>
                <w:color w:val="FFFFFF"/>
                <w:sz w:val="16"/>
              </w:rPr>
              <w:t>Event</w:t>
            </w:r>
          </w:p>
        </w:tc>
        <w:tc>
          <w:tcPr>
            <w:tcW w:type="dxa" w:w="6696"/>
            <w:vAlign w:val="center"/>
            <w:tcMar>
              <w:top w:w="90" w:type="dxa"/>
              <w:start w:w="110" w:type="dxa"/>
              <w:bottom w:w="90" w:type="dxa"/>
              <w:end w:w="110" w:type="dxa"/>
            </w:tcMar>
            <w:shd w:fill="1D3B55"/>
          </w:tcPr>
          <w:p>
            <w:pPr>
              <w:spacing w:after="0" w:line="240" w:lineRule="auto"/>
            </w:pPr>
            <w:r/>
            <w:r>
              <w:rPr>
                <w:rFonts w:ascii="Arial" w:hAnsi="Arial"/>
                <w:b/>
                <w:color w:val="FFFFFF"/>
                <w:sz w:val="16"/>
              </w:rPr>
              <w:t>Dashboard behavior</w:t>
            </w:r>
          </w:p>
        </w:tc>
      </w:tr>
      <w:tr>
        <w:tc>
          <w:tcPr>
            <w:tcW w:type="dxa" w:w="3096"/>
            <w:vAlign w:val="center"/>
            <w:tcMar>
              <w:top w:w="90" w:type="dxa"/>
              <w:start w:w="110" w:type="dxa"/>
              <w:bottom w:w="90" w:type="dxa"/>
              <w:end w:w="110" w:type="dxa"/>
            </w:tcMar>
          </w:tcPr>
          <w:p>
            <w:pPr>
              <w:spacing w:after="0" w:line="240" w:lineRule="auto"/>
            </w:pPr>
            <w:r/>
            <w:r>
              <w:rPr>
                <w:rFonts w:ascii="Arial" w:hAnsi="Arial"/>
                <w:b w:val="0"/>
                <w:color w:val="18242F"/>
                <w:sz w:val="15"/>
              </w:rPr>
              <w:t>run.queued / run.started</w:t>
            </w:r>
          </w:p>
        </w:tc>
        <w:tc>
          <w:tcPr>
            <w:tcW w:type="dxa" w:w="6696"/>
            <w:vAlign w:val="center"/>
            <w:tcMar>
              <w:top w:w="90" w:type="dxa"/>
              <w:start w:w="110" w:type="dxa"/>
              <w:bottom w:w="90" w:type="dxa"/>
              <w:end w:w="110" w:type="dxa"/>
            </w:tcMar>
          </w:tcPr>
          <w:p>
            <w:pPr>
              <w:spacing w:after="0" w:line="240" w:lineRule="auto"/>
            </w:pPr>
            <w:r/>
            <w:r>
              <w:rPr>
                <w:rFonts w:ascii="Arial" w:hAnsi="Arial"/>
                <w:b w:val="0"/>
                <w:color w:val="18242F"/>
                <w:sz w:val="15"/>
              </w:rPr>
              <w:t>Show run header and real queued/running state.</w:t>
            </w:r>
          </w:p>
        </w:tc>
      </w:tr>
      <w:tr>
        <w:tc>
          <w:tcPr>
            <w:tcW w:type="dxa" w:w="309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task.started / task.progress / task.completed</w:t>
            </w:r>
          </w:p>
        </w:tc>
        <w:tc>
          <w:tcPr>
            <w:tcW w:type="dxa" w:w="669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Update actual task card, elapsed time and status.</w:t>
            </w:r>
          </w:p>
        </w:tc>
      </w:tr>
      <w:tr>
        <w:tc>
          <w:tcPr>
            <w:tcW w:type="dxa" w:w="3096"/>
            <w:vAlign w:val="center"/>
            <w:tcMar>
              <w:top w:w="90" w:type="dxa"/>
              <w:start w:w="110" w:type="dxa"/>
              <w:bottom w:w="90" w:type="dxa"/>
              <w:end w:w="110" w:type="dxa"/>
            </w:tcMar>
          </w:tcPr>
          <w:p>
            <w:pPr>
              <w:spacing w:after="0" w:line="240" w:lineRule="auto"/>
            </w:pPr>
            <w:r/>
            <w:r>
              <w:rPr>
                <w:rFonts w:ascii="Arial" w:hAnsi="Arial"/>
                <w:b w:val="0"/>
                <w:color w:val="18242F"/>
                <w:sz w:val="15"/>
              </w:rPr>
              <w:t>document.parsed</w:t>
            </w:r>
          </w:p>
        </w:tc>
        <w:tc>
          <w:tcPr>
            <w:tcW w:type="dxa" w:w="6696"/>
            <w:vAlign w:val="center"/>
            <w:tcMar>
              <w:top w:w="90" w:type="dxa"/>
              <w:start w:w="110" w:type="dxa"/>
              <w:bottom w:w="90" w:type="dxa"/>
              <w:end w:w="110" w:type="dxa"/>
            </w:tcMar>
          </w:tcPr>
          <w:p>
            <w:pPr>
              <w:spacing w:after="0" w:line="240" w:lineRule="auto"/>
            </w:pPr>
            <w:r/>
            <w:r>
              <w:rPr>
                <w:rFonts w:ascii="Arial" w:hAnsi="Arial"/>
                <w:b w:val="0"/>
                <w:color w:val="18242F"/>
                <w:sz w:val="15"/>
              </w:rPr>
              <w:t>Complete current source scan and show parser result.</w:t>
            </w:r>
          </w:p>
        </w:tc>
      </w:tr>
      <w:tr>
        <w:tc>
          <w:tcPr>
            <w:tcW w:type="dxa" w:w="309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entity.detected</w:t>
            </w:r>
          </w:p>
        </w:tc>
        <w:tc>
          <w:tcPr>
            <w:tcW w:type="dxa" w:w="669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Add/highlight node only when entity record is persisted.</w:t>
            </w:r>
          </w:p>
        </w:tc>
      </w:tr>
      <w:tr>
        <w:tc>
          <w:tcPr>
            <w:tcW w:type="dxa" w:w="3096"/>
            <w:vAlign w:val="center"/>
            <w:tcMar>
              <w:top w:w="90" w:type="dxa"/>
              <w:start w:w="110" w:type="dxa"/>
              <w:bottom w:w="90" w:type="dxa"/>
              <w:end w:w="110" w:type="dxa"/>
            </w:tcMar>
          </w:tcPr>
          <w:p>
            <w:pPr>
              <w:spacing w:after="0" w:line="240" w:lineRule="auto"/>
            </w:pPr>
            <w:r/>
            <w:r>
              <w:rPr>
                <w:rFonts w:ascii="Arial" w:hAnsi="Arial"/>
                <w:b w:val="0"/>
                <w:color w:val="18242F"/>
                <w:sz w:val="15"/>
              </w:rPr>
              <w:t>relationship.candidate_created</w:t>
            </w:r>
          </w:p>
        </w:tc>
        <w:tc>
          <w:tcPr>
            <w:tcW w:type="dxa" w:w="6696"/>
            <w:vAlign w:val="center"/>
            <w:tcMar>
              <w:top w:w="90" w:type="dxa"/>
              <w:start w:w="110" w:type="dxa"/>
              <w:bottom w:w="90" w:type="dxa"/>
              <w:end w:w="110" w:type="dxa"/>
            </w:tcMar>
          </w:tcPr>
          <w:p>
            <w:pPr>
              <w:spacing w:after="0" w:line="240" w:lineRule="auto"/>
            </w:pPr>
            <w:r/>
            <w:r>
              <w:rPr>
                <w:rFonts w:ascii="Arial" w:hAnsi="Arial"/>
                <w:b w:val="0"/>
                <w:color w:val="18242F"/>
                <w:sz w:val="15"/>
              </w:rPr>
              <w:t>Draw a candidate edge with candidate style.</w:t>
            </w:r>
          </w:p>
        </w:tc>
      </w:tr>
      <w:tr>
        <w:tc>
          <w:tcPr>
            <w:tcW w:type="dxa" w:w="309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relationship.status_changed</w:t>
            </w:r>
          </w:p>
        </w:tc>
        <w:tc>
          <w:tcPr>
            <w:tcW w:type="dxa" w:w="669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Restyle edge based on persisted verification status.</w:t>
            </w:r>
          </w:p>
        </w:tc>
      </w:tr>
      <w:tr>
        <w:tc>
          <w:tcPr>
            <w:tcW w:type="dxa" w:w="3096"/>
            <w:vAlign w:val="center"/>
            <w:tcMar>
              <w:top w:w="90" w:type="dxa"/>
              <w:start w:w="110" w:type="dxa"/>
              <w:bottom w:w="90" w:type="dxa"/>
              <w:end w:w="110" w:type="dxa"/>
            </w:tcMar>
          </w:tcPr>
          <w:p>
            <w:pPr>
              <w:spacing w:after="0" w:line="240" w:lineRule="auto"/>
            </w:pPr>
            <w:r/>
            <w:r>
              <w:rPr>
                <w:rFonts w:ascii="Arial" w:hAnsi="Arial"/>
                <w:b w:val="0"/>
                <w:color w:val="18242F"/>
                <w:sz w:val="15"/>
              </w:rPr>
              <w:t>finding.flagged</w:t>
            </w:r>
          </w:p>
        </w:tc>
        <w:tc>
          <w:tcPr>
            <w:tcW w:type="dxa" w:w="6696"/>
            <w:vAlign w:val="center"/>
            <w:tcMar>
              <w:top w:w="90" w:type="dxa"/>
              <w:start w:w="110" w:type="dxa"/>
              <w:bottom w:w="90" w:type="dxa"/>
              <w:end w:w="110" w:type="dxa"/>
            </w:tcMar>
          </w:tcPr>
          <w:p>
            <w:pPr>
              <w:spacing w:after="0" w:line="240" w:lineRule="auto"/>
            </w:pPr>
            <w:r/>
            <w:r>
              <w:rPr>
                <w:rFonts w:ascii="Arial" w:hAnsi="Arial"/>
                <w:b w:val="0"/>
                <w:color w:val="18242F"/>
                <w:sz w:val="15"/>
              </w:rPr>
              <w:t>Highlight involved records and show rule/reason.</w:t>
            </w:r>
          </w:p>
        </w:tc>
      </w:tr>
      <w:tr>
        <w:tc>
          <w:tcPr>
            <w:tcW w:type="dxa" w:w="309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task.failed / run.completed_with_warnings</w:t>
            </w:r>
          </w:p>
        </w:tc>
        <w:tc>
          <w:tcPr>
            <w:tcW w:type="dxa" w:w="669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Show failure/partial completion visibly; do not mask it as success.</w:t>
            </w:r>
          </w:p>
        </w:tc>
      </w:tr>
      <w:tr>
        <w:tc>
          <w:tcPr>
            <w:tcW w:type="dxa" w:w="3096"/>
            <w:vAlign w:val="center"/>
            <w:tcMar>
              <w:top w:w="90" w:type="dxa"/>
              <w:start w:w="110" w:type="dxa"/>
              <w:bottom w:w="90" w:type="dxa"/>
              <w:end w:w="110" w:type="dxa"/>
            </w:tcMar>
          </w:tcPr>
          <w:p>
            <w:pPr>
              <w:spacing w:after="0" w:line="240" w:lineRule="auto"/>
            </w:pPr>
            <w:r/>
            <w:r>
              <w:rPr>
                <w:rFonts w:ascii="Arial" w:hAnsi="Arial"/>
                <w:b w:val="0"/>
                <w:color w:val="18242F"/>
                <w:sz w:val="15"/>
              </w:rPr>
              <w:t>run.awaiting_review</w:t>
            </w:r>
          </w:p>
        </w:tc>
        <w:tc>
          <w:tcPr>
            <w:tcW w:type="dxa" w:w="6696"/>
            <w:vAlign w:val="center"/>
            <w:tcMar>
              <w:top w:w="90" w:type="dxa"/>
              <w:start w:w="110" w:type="dxa"/>
              <w:bottom w:w="90" w:type="dxa"/>
              <w:end w:w="110" w:type="dxa"/>
            </w:tcMar>
          </w:tcPr>
          <w:p>
            <w:pPr>
              <w:spacing w:after="0" w:line="240" w:lineRule="auto"/>
            </w:pPr>
            <w:r/>
            <w:r>
              <w:rPr>
                <w:rFonts w:ascii="Arial" w:hAnsi="Arial"/>
                <w:b w:val="0"/>
                <w:color w:val="18242F"/>
                <w:sz w:val="15"/>
              </w:rPr>
              <w:t>Show human review required; disable prohibited follow-on operations.</w:t>
            </w:r>
          </w:p>
        </w:tc>
      </w:tr>
      <w:tr>
        <w:tc>
          <w:tcPr>
            <w:tcW w:type="dxa" w:w="309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run.cancelled</w:t>
            </w:r>
          </w:p>
        </w:tc>
        <w:tc>
          <w:tcPr>
            <w:tcW w:type="dxa" w:w="669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Stop animations tied to active tasks and show final cancellation state.</w:t>
            </w:r>
          </w:p>
        </w:tc>
      </w:tr>
    </w:tbl>
    <w:p>
      <w:pPr>
        <w:spacing w:after="20"/>
      </w:pPr>
    </w:p>
    <w:p>
      <w:pPr>
        <w:pStyle w:val="Heading2"/>
      </w:pPr>
      <w:r>
        <w:t>14.3 Delivery semantics</w:t>
      </w:r>
    </w:p>
    <w:p>
      <w:pPr>
        <w:pStyle w:val="ListBullet"/>
        <w:spacing w:after="40"/>
        <w:ind w:left="360"/>
      </w:pPr>
      <w:r>
        <w:t>Persist each event in `run_events` with monotonically increasing sequence per run; publish only after its state transition is stored.</w:t>
      </w:r>
    </w:p>
    <w:p>
      <w:pPr>
        <w:pStyle w:val="ListBullet"/>
        <w:spacing w:after="40"/>
        <w:ind w:left="360"/>
      </w:pPr>
      <w:r>
        <w:t>SSE is sufficient for server-to-client progress; WebSocket remains useful for the voice session and interactive bidirectional events.</w:t>
      </w:r>
    </w:p>
    <w:p>
      <w:pPr>
        <w:pStyle w:val="ListBullet"/>
        <w:spacing w:after="40"/>
        <w:ind w:left="360"/>
      </w:pPr>
      <w:r>
        <w:t>On reconnect, client sends `Last-Event-ID` or an equivalent `after_seq` cursor and the server replays allowed events before switching to live delivery.</w:t>
      </w:r>
    </w:p>
    <w:p>
      <w:pPr>
        <w:pStyle w:val="ListBullet"/>
        <w:spacing w:after="40"/>
        <w:ind w:left="360"/>
      </w:pPr>
      <w:r>
        <w:t>Events carry entity/evidence IDs and short summaries—not complete raw documents. UI fetches detail through authorized endpoints.</w:t>
      </w:r>
    </w:p>
    <w:p>
      <w:pPr>
        <w:pStyle w:val="ListBullet"/>
        <w:spacing w:after="40"/>
        <w:ind w:left="360"/>
      </w:pPr>
      <w:r>
        <w:t>Use event schemas and versioning. Ignore unknown optional payload fields; handle unknown event types without crashing.</w:t>
      </w:r>
    </w:p>
    <w:p>
      <w:pPr>
        <w:pStyle w:val="Heading2"/>
      </w:pPr>
      <w:r>
        <w:t>14.4 UI truthfulness requirements</w:t>
      </w:r>
    </w:p>
    <w:tbl>
      <w:tblPr>
        <w:tblW w:type="auto" w:w="0"/>
        <w:jc w:val="center"/>
        <w:tblLook w:firstColumn="1" w:firstRow="1" w:lastColumn="0" w:lastRow="0" w:noHBand="0" w:noVBand="1" w:val="04A0"/>
      </w:tblPr>
      <w:tblGrid>
        <w:gridCol w:w="10166"/>
      </w:tblGrid>
      <w:tr>
        <w:tc>
          <w:tcPr>
            <w:tcW w:type="dxa" w:w="10166"/>
            <w:shd w:fill="FFF0E8"/>
            <w:tcMar>
              <w:top w:w="140" w:type="dxa"/>
              <w:start w:w="180" w:type="dxa"/>
              <w:bottom w:w="140" w:type="dxa"/>
              <w:end w:w="180" w:type="dxa"/>
            </w:tcMar>
          </w:tcPr>
          <w:p>
            <w:pPr>
              <w:spacing w:after="60"/>
            </w:pPr>
            <w:r/>
            <w:r>
              <w:rPr>
                <w:b/>
                <w:color w:val="E07A45"/>
                <w:sz w:val="20"/>
              </w:rPr>
              <w:t>Movie-like does not mean fake</w:t>
            </w:r>
          </w:p>
          <w:p>
            <w:pPr>
              <w:spacing w:after="0" w:line="252" w:lineRule="auto"/>
            </w:pPr>
            <w:r>
              <w:rPr>
                <w:color w:val="18242F"/>
                <w:sz w:val="18"/>
              </w:rPr>
              <w:t>A holographic scanner can animate while a parser task is running, but “document parsed” may appear only after parse success is persisted. If no entity is found, the UI must show no match/none detected—not invent a node to make the scene exciting.</w:t>
            </w:r>
          </w:p>
        </w:tc>
      </w:tr>
    </w:tbl>
    <w:p>
      <w:pPr>
        <w:spacing w:after="20"/>
      </w:pPr>
    </w:p>
    <w:p>
      <w:pPr>
        <w:pStyle w:val="Heading1"/>
      </w:pPr>
      <w:r>
        <w:t>15. Voice integration and command safety</w:t>
      </w:r>
    </w:p>
    <w:p>
      <w:pPr>
        <w:pStyle w:val="Heading2"/>
      </w:pPr>
      <w:r>
        <w:t>15.1 Session lifecycle</w:t>
      </w:r>
    </w:p>
    <w:p>
      <w:pPr>
        <w:pStyle w:val="ListNumber"/>
        <w:spacing w:after="40"/>
      </w:pPr>
      <w:r>
        <w:t>Authenticated frontend requests/opens a voice session associated with an authorized user and optional selected case.</w:t>
      </w:r>
    </w:p>
    <w:p>
      <w:pPr>
        <w:pStyle w:val="ListNumber"/>
        <w:spacing w:after="40"/>
      </w:pPr>
      <w:r>
        <w:t>Backend voice gateway connects to Gemini Live with server-held credentials and a tightly constrained session instruction/tool schema.</w:t>
      </w:r>
    </w:p>
    <w:p>
      <w:pPr>
        <w:pStyle w:val="ListNumber"/>
        <w:spacing w:after="40"/>
      </w:pPr>
      <w:r>
        <w:t>Receive audio/transcription and model responses. Emit transcript events to the UI when available; preserve user-visible text for command confirmation/audit according to retention policy.</w:t>
      </w:r>
    </w:p>
    <w:p>
      <w:pPr>
        <w:pStyle w:val="ListNumber"/>
        <w:spacing w:after="40"/>
      </w:pPr>
      <w:r>
        <w:t>If a model requests a tool, validate tool name + arguments, resolve the actor, authorize case access, check run state/budget and require approval for protected actions.</w:t>
      </w:r>
    </w:p>
    <w:p>
      <w:pPr>
        <w:pStyle w:val="ListNumber"/>
        <w:spacing w:after="40"/>
      </w:pPr>
      <w:r>
        <w:t>Execute allowed domain service and return a minimal structured result to voice model. Use the actual backend run_id for spoken progress/status.</w:t>
      </w:r>
    </w:p>
    <w:p>
      <w:pPr>
        <w:pStyle w:val="ListNumber"/>
        <w:spacing w:after="40"/>
      </w:pPr>
      <w:r>
        <w:t>Close session cleanly and redact sensitive fields from logs. Provide typed-command fallback if audio/provider is unavailable.</w:t>
      </w:r>
    </w:p>
    <w:p>
      <w:pPr>
        <w:pStyle w:val="Heading2"/>
      </w:pPr>
      <w:r>
        <w:t>15.2 Example intent schema</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w:t>
            </w:r>
          </w:p>
          <w:p>
            <w:pPr>
              <w:pStyle w:val="TATTVACode"/>
              <w:keepLines/>
            </w:pPr>
            <w:r>
              <w:rPr>
                <w:rFonts w:ascii="Consolas" w:hAnsi="Consolas"/>
                <w:color w:val="203448"/>
                <w:sz w:val="14"/>
              </w:rPr>
              <w:t xml:space="preserve">  "intent": "start_case_analysis",</w:t>
            </w:r>
          </w:p>
          <w:p>
            <w:pPr>
              <w:pStyle w:val="TATTVACode"/>
              <w:keepLines/>
            </w:pPr>
            <w:r>
              <w:rPr>
                <w:rFonts w:ascii="Consolas" w:hAnsi="Consolas"/>
                <w:color w:val="203448"/>
                <w:sz w:val="14"/>
              </w:rPr>
              <w:t xml:space="preserve">  "case_number": "345",</w:t>
            </w:r>
          </w:p>
          <w:p>
            <w:pPr>
              <w:pStyle w:val="TATTVACode"/>
              <w:keepLines/>
            </w:pPr>
            <w:r>
              <w:rPr>
                <w:rFonts w:ascii="Consolas" w:hAnsi="Consolas"/>
                <w:color w:val="203448"/>
                <w:sz w:val="14"/>
              </w:rPr>
              <w:t xml:space="preserve">  "checks": ["relationship_verification", "transaction_patterns"],</w:t>
            </w:r>
          </w:p>
          <w:p>
            <w:pPr>
              <w:pStyle w:val="TATTVACode"/>
              <w:keepLines/>
            </w:pPr>
            <w:r>
              <w:rPr>
                <w:rFonts w:ascii="Consolas" w:hAnsi="Consolas"/>
                <w:color w:val="203448"/>
                <w:sz w:val="14"/>
              </w:rPr>
              <w:t xml:space="preserve">  "confidence": 0.91,</w:t>
            </w:r>
          </w:p>
          <w:p>
            <w:pPr>
              <w:pStyle w:val="TATTVACode"/>
              <w:keepLines/>
            </w:pPr>
            <w:r>
              <w:rPr>
                <w:rFonts w:ascii="Consolas" w:hAnsi="Consolas"/>
                <w:color w:val="203448"/>
                <w:sz w:val="14"/>
              </w:rPr>
              <w:t xml:space="preserve">  "requires_clarification": false</w:t>
            </w:r>
          </w:p>
          <w:p>
            <w:pPr>
              <w:pStyle w:val="TATTVACode"/>
              <w:keepLines/>
            </w:pPr>
            <w:r>
              <w:rPr>
                <w:rFonts w:ascii="Consolas" w:hAnsi="Consolas"/>
                <w:color w:val="203448"/>
                <w:sz w:val="14"/>
              </w:rPr>
              <w:t>}</w:t>
            </w:r>
          </w:p>
        </w:tc>
      </w:tr>
    </w:tbl>
    <w:p>
      <w:pPr>
        <w:spacing w:after="20"/>
      </w:pPr>
    </w:p>
    <w:p>
      <w:r>
        <w:rPr>
          <w:i w:val="0"/>
        </w:rPr>
        <w:t>The numeric confidence is optional model metadata; it does not grant authorization. The server maps `case_number` to an internal case ID only after checking access. Missing or ambiguous case number means ask a clarifying question.</w:t>
      </w:r>
    </w:p>
    <w:p>
      <w:pPr>
        <w:pStyle w:val="Heading2"/>
      </w:pPr>
      <w:r>
        <w:t>15.3 Voice acceptance targets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664"/>
            <w:vAlign w:val="center"/>
            <w:tcMar>
              <w:top w:w="90" w:type="dxa"/>
              <w:start w:w="110" w:type="dxa"/>
              <w:bottom w:w="90" w:type="dxa"/>
              <w:end w:w="110" w:type="dxa"/>
            </w:tcMar>
            <w:shd w:fill="1D3B55"/>
          </w:tcPr>
          <w:p>
            <w:pPr>
              <w:spacing w:after="0" w:line="240" w:lineRule="auto"/>
            </w:pPr>
            <w:r/>
            <w:r>
              <w:rPr>
                <w:rFonts w:ascii="Arial" w:hAnsi="Arial"/>
                <w:b/>
                <w:color w:val="FFFFFF"/>
                <w:sz w:val="16"/>
              </w:rPr>
              <w:t>Test</w:t>
            </w:r>
          </w:p>
        </w:tc>
        <w:tc>
          <w:tcPr>
            <w:tcW w:type="dxa" w:w="7128"/>
            <w:vAlign w:val="center"/>
            <w:tcMar>
              <w:top w:w="90" w:type="dxa"/>
              <w:start w:w="110" w:type="dxa"/>
              <w:bottom w:w="90" w:type="dxa"/>
              <w:end w:w="110" w:type="dxa"/>
            </w:tcMar>
            <w:shd w:fill="1D3B55"/>
          </w:tcPr>
          <w:p>
            <w:pPr>
              <w:spacing w:after="0" w:line="240" w:lineRule="auto"/>
            </w:pPr>
            <w:r/>
            <w:r>
              <w:rPr>
                <w:rFonts w:ascii="Arial" w:hAnsi="Arial"/>
                <w:b/>
                <w:color w:val="FFFFFF"/>
                <w:sz w:val="16"/>
              </w:rPr>
              <w:t>Initial target</w:t>
            </w:r>
          </w:p>
        </w:tc>
      </w:tr>
      <w:tr>
        <w:tc>
          <w:tcPr>
            <w:tcW w:type="dxa" w:w="2664"/>
            <w:vAlign w:val="center"/>
            <w:tcMar>
              <w:top w:w="90" w:type="dxa"/>
              <w:start w:w="110" w:type="dxa"/>
              <w:bottom w:w="90" w:type="dxa"/>
              <w:end w:w="110" w:type="dxa"/>
            </w:tcMar>
          </w:tcPr>
          <w:p>
            <w:pPr>
              <w:spacing w:after="0" w:line="240" w:lineRule="auto"/>
            </w:pPr>
            <w:r/>
            <w:r>
              <w:rPr>
                <w:rFonts w:ascii="Arial" w:hAnsi="Arial"/>
                <w:b w:val="0"/>
                <w:color w:val="18242F"/>
                <w:sz w:val="15"/>
              </w:rPr>
              <w:t>Fixed command set</w:t>
            </w:r>
          </w:p>
        </w:tc>
        <w:tc>
          <w:tcPr>
            <w:tcW w:type="dxa" w:w="7128"/>
            <w:vAlign w:val="center"/>
            <w:tcMar>
              <w:top w:w="90" w:type="dxa"/>
              <w:start w:w="110" w:type="dxa"/>
              <w:bottom w:w="90" w:type="dxa"/>
              <w:end w:w="110" w:type="dxa"/>
            </w:tcMar>
          </w:tcPr>
          <w:p>
            <w:pPr>
              <w:spacing w:after="0" w:line="240" w:lineRule="auto"/>
            </w:pPr>
            <w:r/>
            <w:r>
              <w:rPr>
                <w:rFonts w:ascii="Arial" w:hAnsi="Arial"/>
                <w:b w:val="0"/>
                <w:color w:val="18242F"/>
                <w:sz w:val="15"/>
              </w:rPr>
              <w:t>At least 16/20 Hindi, English and Hinglish commands preserve intended operation + case number; review failures and tune prompts/schema.</w:t>
            </w:r>
          </w:p>
        </w:tc>
      </w:tr>
      <w:tr>
        <w:tc>
          <w:tcPr>
            <w:tcW w:type="dxa" w:w="266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Backend schema validation</w:t>
            </w:r>
          </w:p>
        </w:tc>
        <w:tc>
          <w:tcPr>
            <w:tcW w:type="dxa" w:w="712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100% of executed tool actions pass server-side schema and allow-list validation.</w:t>
            </w:r>
          </w:p>
        </w:tc>
      </w:tr>
      <w:tr>
        <w:tc>
          <w:tcPr>
            <w:tcW w:type="dxa" w:w="2664"/>
            <w:vAlign w:val="center"/>
            <w:tcMar>
              <w:top w:w="90" w:type="dxa"/>
              <w:start w:w="110" w:type="dxa"/>
              <w:bottom w:w="90" w:type="dxa"/>
              <w:end w:w="110" w:type="dxa"/>
            </w:tcMar>
          </w:tcPr>
          <w:p>
            <w:pPr>
              <w:spacing w:after="0" w:line="240" w:lineRule="auto"/>
            </w:pPr>
            <w:r/>
            <w:r>
              <w:rPr>
                <w:rFonts w:ascii="Arial" w:hAnsi="Arial"/>
                <w:b w:val="0"/>
                <w:color w:val="18242F"/>
                <w:sz w:val="15"/>
              </w:rPr>
              <w:t>Sensitive actions</w:t>
            </w:r>
          </w:p>
        </w:tc>
        <w:tc>
          <w:tcPr>
            <w:tcW w:type="dxa" w:w="7128"/>
            <w:vAlign w:val="center"/>
            <w:tcMar>
              <w:top w:w="90" w:type="dxa"/>
              <w:start w:w="110" w:type="dxa"/>
              <w:bottom w:w="90" w:type="dxa"/>
              <w:end w:w="110" w:type="dxa"/>
            </w:tcMar>
          </w:tcPr>
          <w:p>
            <w:pPr>
              <w:spacing w:after="0" w:line="240" w:lineRule="auto"/>
            </w:pPr>
            <w:r/>
            <w:r>
              <w:rPr>
                <w:rFonts w:ascii="Arial" w:hAnsi="Arial"/>
                <w:b w:val="0"/>
                <w:color w:val="18242F"/>
                <w:sz w:val="15"/>
              </w:rPr>
              <w:t>100% require the configured explicit approval/confirmation.</w:t>
            </w:r>
          </w:p>
        </w:tc>
      </w:tr>
      <w:tr>
        <w:tc>
          <w:tcPr>
            <w:tcW w:type="dxa" w:w="266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Provider outage</w:t>
            </w:r>
          </w:p>
        </w:tc>
        <w:tc>
          <w:tcPr>
            <w:tcW w:type="dxa" w:w="712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No operation starts unless a valid intent was received and server validation passed; typed fallback remains available.</w:t>
            </w:r>
          </w:p>
        </w:tc>
      </w:tr>
      <w:tr>
        <w:tc>
          <w:tcPr>
            <w:tcW w:type="dxa" w:w="2664"/>
            <w:vAlign w:val="center"/>
            <w:tcMar>
              <w:top w:w="90" w:type="dxa"/>
              <w:start w:w="110" w:type="dxa"/>
              <w:bottom w:w="90" w:type="dxa"/>
              <w:end w:w="110" w:type="dxa"/>
            </w:tcMar>
          </w:tcPr>
          <w:p>
            <w:pPr>
              <w:spacing w:after="0" w:line="240" w:lineRule="auto"/>
            </w:pPr>
            <w:r/>
            <w:r>
              <w:rPr>
                <w:rFonts w:ascii="Arial" w:hAnsi="Arial"/>
                <w:b w:val="0"/>
                <w:color w:val="18242F"/>
                <w:sz w:val="15"/>
              </w:rPr>
              <w:t>Transcript</w:t>
            </w:r>
          </w:p>
        </w:tc>
        <w:tc>
          <w:tcPr>
            <w:tcW w:type="dxa" w:w="7128"/>
            <w:vAlign w:val="center"/>
            <w:tcMar>
              <w:top w:w="90" w:type="dxa"/>
              <w:start w:w="110" w:type="dxa"/>
              <w:bottom w:w="90" w:type="dxa"/>
              <w:end w:w="110" w:type="dxa"/>
            </w:tcMar>
          </w:tcPr>
          <w:p>
            <w:pPr>
              <w:spacing w:after="0" w:line="240" w:lineRule="auto"/>
            </w:pPr>
            <w:r/>
            <w:r>
              <w:rPr>
                <w:rFonts w:ascii="Arial" w:hAnsi="Arial"/>
                <w:b w:val="0"/>
                <w:color w:val="18242F"/>
                <w:sz w:val="15"/>
              </w:rPr>
              <w:t>Visible transcript events emitted when supported; voice intent and action outcomes audit-linked.</w:t>
            </w:r>
          </w:p>
        </w:tc>
      </w:tr>
      <w:tr>
        <w:tc>
          <w:tcPr>
            <w:tcW w:type="dxa" w:w="266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Prompt injection in evidence</w:t>
            </w:r>
          </w:p>
        </w:tc>
        <w:tc>
          <w:tcPr>
            <w:tcW w:type="dxa" w:w="712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Evidence text cannot change tool permissions, reviewer status or relationship verification state.</w:t>
            </w:r>
          </w:p>
        </w:tc>
      </w:tr>
    </w:tbl>
    <w:p>
      <w:pPr>
        <w:spacing w:after="20"/>
      </w:pPr>
    </w:p>
    <w:p>
      <w:pPr>
        <w:pStyle w:val="Heading1"/>
      </w:pPr>
      <w:r>
        <w:t>16. Security, privacy and audit</w:t>
      </w:r>
    </w:p>
    <w:p>
      <w:pPr>
        <w:pStyle w:val="Heading2"/>
      </w:pPr>
      <w:r>
        <w:t>16.1 Security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90" w:type="dxa"/>
              <w:start w:w="110" w:type="dxa"/>
              <w:bottom w:w="90" w:type="dxa"/>
              <w:end w:w="110" w:type="dxa"/>
            </w:tcMar>
            <w:shd w:fill="1D3B55"/>
          </w:tcPr>
          <w:p>
            <w:pPr>
              <w:spacing w:after="0" w:line="240" w:lineRule="auto"/>
            </w:pPr>
            <w:r/>
            <w:r>
              <w:rPr>
                <w:rFonts w:ascii="Arial" w:hAnsi="Arial"/>
                <w:b/>
                <w:color w:val="FFFFFF"/>
                <w:sz w:val="16"/>
              </w:rPr>
              <w:t>Control</w:t>
            </w:r>
          </w:p>
        </w:tc>
        <w:tc>
          <w:tcPr>
            <w:tcW w:type="dxa" w:w="7704"/>
            <w:vAlign w:val="center"/>
            <w:tcMar>
              <w:top w:w="90" w:type="dxa"/>
              <w:start w:w="110" w:type="dxa"/>
              <w:bottom w:w="90" w:type="dxa"/>
              <w:end w:w="110" w:type="dxa"/>
            </w:tcMar>
            <w:shd w:fill="1D3B55"/>
          </w:tcPr>
          <w:p>
            <w:pPr>
              <w:spacing w:after="0" w:line="240" w:lineRule="auto"/>
            </w:pPr>
            <w:r/>
            <w:r>
              <w:rPr>
                <w:rFonts w:ascii="Arial" w:hAnsi="Arial"/>
                <w:b/>
                <w:color w:val="FFFFFF"/>
                <w:sz w:val="16"/>
              </w:rPr>
              <w:t>Minimum implementation</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4"/>
              </w:rPr>
              <w:t>Authentication</w:t>
            </w:r>
          </w:p>
        </w:tc>
        <w:tc>
          <w:tcPr>
            <w:tcW w:type="dxa" w:w="7704"/>
            <w:vAlign w:val="center"/>
            <w:tcMar>
              <w:top w:w="90" w:type="dxa"/>
              <w:start w:w="110" w:type="dxa"/>
              <w:bottom w:w="90" w:type="dxa"/>
              <w:end w:w="110" w:type="dxa"/>
            </w:tcMar>
          </w:tcPr>
          <w:p>
            <w:pPr>
              <w:spacing w:after="0" w:line="240" w:lineRule="auto"/>
            </w:pPr>
            <w:r/>
            <w:r>
              <w:rPr>
                <w:rFonts w:ascii="Arial" w:hAnsi="Arial"/>
                <w:b w:val="0"/>
                <w:color w:val="18242F"/>
                <w:sz w:val="14"/>
              </w:rPr>
              <w:t>Use an established identity/session strategy; no public unauthenticated case endpoints in non-local deployment.</w:t>
            </w:r>
          </w:p>
        </w:tc>
      </w:tr>
      <w:tr>
        <w:tc>
          <w:tcPr>
            <w:tcW w:type="dxa" w:w="20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Authorization</w:t>
            </w:r>
          </w:p>
        </w:tc>
        <w:tc>
          <w:tcPr>
            <w:tcW w:type="dxa" w:w="770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Role + case membership check for every case-scoped endpoint and every background task. Worker re-checks before reading evidence.</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4"/>
              </w:rPr>
              <w:t>Tool allow-list</w:t>
            </w:r>
          </w:p>
        </w:tc>
        <w:tc>
          <w:tcPr>
            <w:tcW w:type="dxa" w:w="7704"/>
            <w:vAlign w:val="center"/>
            <w:tcMar>
              <w:top w:w="90" w:type="dxa"/>
              <w:start w:w="110" w:type="dxa"/>
              <w:bottom w:w="90" w:type="dxa"/>
              <w:end w:w="110" w:type="dxa"/>
            </w:tcMar>
          </w:tcPr>
          <w:p>
            <w:pPr>
              <w:spacing w:after="0" w:line="240" w:lineRule="auto"/>
            </w:pPr>
            <w:r/>
            <w:r>
              <w:rPr>
                <w:rFonts w:ascii="Arial" w:hAnsi="Arial"/>
                <w:b w:val="0"/>
                <w:color w:val="18242F"/>
                <w:sz w:val="14"/>
              </w:rPr>
              <w:t>Only typed domain commands; no arbitrary shell, unrestricted filesystem, SQL, browser or external network tool.</w:t>
            </w:r>
          </w:p>
        </w:tc>
      </w:tr>
      <w:tr>
        <w:tc>
          <w:tcPr>
            <w:tcW w:type="dxa" w:w="20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Upload safety</w:t>
            </w:r>
          </w:p>
        </w:tc>
        <w:tc>
          <w:tcPr>
            <w:tcW w:type="dxa" w:w="770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Size/type allow-list, opaque object key, parser timeout, safe storage path, hash, and optional malware scanning/quarantine.</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4"/>
              </w:rPr>
              <w:t>RAG isolation</w:t>
            </w:r>
          </w:p>
        </w:tc>
        <w:tc>
          <w:tcPr>
            <w:tcW w:type="dxa" w:w="7704"/>
            <w:vAlign w:val="center"/>
            <w:tcMar>
              <w:top w:w="90" w:type="dxa"/>
              <w:start w:w="110" w:type="dxa"/>
              <w:bottom w:w="90" w:type="dxa"/>
              <w:end w:w="110" w:type="dxa"/>
            </w:tcMar>
          </w:tcPr>
          <w:p>
            <w:pPr>
              <w:spacing w:after="0" w:line="240" w:lineRule="auto"/>
            </w:pPr>
            <w:r/>
            <w:r>
              <w:rPr>
                <w:rFonts w:ascii="Arial" w:hAnsi="Arial"/>
                <w:b w:val="0"/>
                <w:color w:val="18242F"/>
                <w:sz w:val="14"/>
              </w:rPr>
              <w:t>Mandatory tenant_id/case_id filter at retrieval and source resolution; fail closed if filter is missing.</w:t>
            </w:r>
          </w:p>
        </w:tc>
      </w:tr>
      <w:tr>
        <w:tc>
          <w:tcPr>
            <w:tcW w:type="dxa" w:w="20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Prompt injection</w:t>
            </w:r>
          </w:p>
        </w:tc>
        <w:tc>
          <w:tcPr>
            <w:tcW w:type="dxa" w:w="770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Retrieved documents are untrusted data, not instructions. Separate evidence text from developer/system instructions; validate every output and tool call.</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4"/>
              </w:rPr>
              <w:t>Secrets</w:t>
            </w:r>
          </w:p>
        </w:tc>
        <w:tc>
          <w:tcPr>
            <w:tcW w:type="dxa" w:w="7704"/>
            <w:vAlign w:val="center"/>
            <w:tcMar>
              <w:top w:w="90" w:type="dxa"/>
              <w:start w:w="110" w:type="dxa"/>
              <w:bottom w:w="90" w:type="dxa"/>
              <w:end w:w="110" w:type="dxa"/>
            </w:tcMar>
          </w:tcPr>
          <w:p>
            <w:pPr>
              <w:spacing w:after="0" w:line="240" w:lineRule="auto"/>
            </w:pPr>
            <w:r/>
            <w:r>
              <w:rPr>
                <w:rFonts w:ascii="Arial" w:hAnsi="Arial"/>
                <w:b w:val="0"/>
                <w:color w:val="18242F"/>
                <w:sz w:val="14"/>
              </w:rPr>
              <w:t>Use environment/secrets manager; never commit `.env`, API keys or provider credentials; redact from exceptions/logs.</w:t>
            </w:r>
          </w:p>
        </w:tc>
      </w:tr>
      <w:tr>
        <w:tc>
          <w:tcPr>
            <w:tcW w:type="dxa" w:w="20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Logging</w:t>
            </w:r>
          </w:p>
        </w:tc>
        <w:tc>
          <w:tcPr>
            <w:tcW w:type="dxa" w:w="770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Structured request_id/run_id/task_id, event type and timing; avoid storing full evidence passages and secrets in operational logs.</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4"/>
              </w:rPr>
              <w:t>Network</w:t>
            </w:r>
          </w:p>
        </w:tc>
        <w:tc>
          <w:tcPr>
            <w:tcW w:type="dxa" w:w="7704"/>
            <w:vAlign w:val="center"/>
            <w:tcMar>
              <w:top w:w="90" w:type="dxa"/>
              <w:start w:w="110" w:type="dxa"/>
              <w:bottom w:w="90" w:type="dxa"/>
              <w:end w:w="110" w:type="dxa"/>
            </w:tcMar>
          </w:tcPr>
          <w:p>
            <w:pPr>
              <w:spacing w:after="0" w:line="240" w:lineRule="auto"/>
            </w:pPr>
            <w:r/>
            <w:r>
              <w:rPr>
                <w:rFonts w:ascii="Arial" w:hAnsi="Arial"/>
                <w:b w:val="0"/>
                <w:color w:val="18242F"/>
                <w:sz w:val="14"/>
              </w:rPr>
              <w:t>TLS outside local dev, restricted CORS, rate limits, authentication on WebSocket upgrade and origin checks.</w:t>
            </w:r>
          </w:p>
        </w:tc>
      </w:tr>
      <w:tr>
        <w:tc>
          <w:tcPr>
            <w:tcW w:type="dxa" w:w="20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Retention</w:t>
            </w:r>
          </w:p>
        </w:tc>
        <w:tc>
          <w:tcPr>
            <w:tcW w:type="dxa" w:w="770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Document retention/deletion process; delete vector points and cached text when the corresponding case/document is deleted or superseded according to policy.</w:t>
            </w:r>
          </w:p>
        </w:tc>
      </w:tr>
      <w:tr>
        <w:tc>
          <w:tcPr>
            <w:tcW w:type="dxa" w:w="2088"/>
            <w:vAlign w:val="center"/>
            <w:tcMar>
              <w:top w:w="90" w:type="dxa"/>
              <w:start w:w="110" w:type="dxa"/>
              <w:bottom w:w="90" w:type="dxa"/>
              <w:end w:w="110" w:type="dxa"/>
            </w:tcMar>
          </w:tcPr>
          <w:p>
            <w:pPr>
              <w:spacing w:after="0" w:line="240" w:lineRule="auto"/>
            </w:pPr>
            <w:r/>
            <w:r>
              <w:rPr>
                <w:rFonts w:ascii="Arial" w:hAnsi="Arial"/>
                <w:b w:val="0"/>
                <w:color w:val="18242F"/>
                <w:sz w:val="14"/>
              </w:rPr>
              <w:t>Report controls</w:t>
            </w:r>
          </w:p>
        </w:tc>
        <w:tc>
          <w:tcPr>
            <w:tcW w:type="dxa" w:w="7704"/>
            <w:vAlign w:val="center"/>
            <w:tcMar>
              <w:top w:w="90" w:type="dxa"/>
              <w:start w:w="110" w:type="dxa"/>
              <w:bottom w:w="90" w:type="dxa"/>
              <w:end w:w="110" w:type="dxa"/>
            </w:tcMar>
          </w:tcPr>
          <w:p>
            <w:pPr>
              <w:spacing w:after="0" w:line="240" w:lineRule="auto"/>
            </w:pPr>
            <w:r/>
            <w:r>
              <w:rPr>
                <w:rFonts w:ascii="Arial" w:hAnsi="Arial"/>
                <w:b w:val="0"/>
                <w:color w:val="18242F"/>
                <w:sz w:val="14"/>
              </w:rPr>
              <w:t>Draft/read/review/export/share are different permissions. External sharing and destructive changes require explicit approval.</w:t>
            </w:r>
          </w:p>
        </w:tc>
      </w:tr>
      <w:tr>
        <w:tc>
          <w:tcPr>
            <w:tcW w:type="dxa" w:w="20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Audit</w:t>
            </w:r>
          </w:p>
        </w:tc>
        <w:tc>
          <w:tcPr>
            <w:tcW w:type="dxa" w:w="770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Immutable/append-oriented record of actor, action, target, reason, timestamp, result and approval reference.</w:t>
            </w:r>
          </w:p>
        </w:tc>
      </w:tr>
    </w:tbl>
    <w:p>
      <w:pPr>
        <w:spacing w:after="20"/>
      </w:pPr>
    </w:p>
    <w:p>
      <w:pPr>
        <w:pStyle w:val="Heading2"/>
      </w:pPr>
      <w:r>
        <w:t>16.2 Threat model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vAlign w:val="center"/>
            <w:tcMar>
              <w:top w:w="90" w:type="dxa"/>
              <w:start w:w="110" w:type="dxa"/>
              <w:bottom w:w="90" w:type="dxa"/>
              <w:end w:w="110" w:type="dxa"/>
            </w:tcMar>
            <w:shd w:fill="1D3B55"/>
          </w:tcPr>
          <w:p>
            <w:pPr>
              <w:spacing w:after="0" w:line="240" w:lineRule="auto"/>
            </w:pPr>
            <w:r/>
            <w:r>
              <w:rPr>
                <w:rFonts w:ascii="Arial" w:hAnsi="Arial"/>
                <w:b/>
                <w:color w:val="FFFFFF"/>
                <w:sz w:val="16"/>
              </w:rPr>
              <w:t>Threat</w:t>
            </w:r>
          </w:p>
        </w:tc>
        <w:tc>
          <w:tcPr>
            <w:tcW w:type="dxa" w:w="6768"/>
            <w:vAlign w:val="center"/>
            <w:tcMar>
              <w:top w:w="90" w:type="dxa"/>
              <w:start w:w="110" w:type="dxa"/>
              <w:bottom w:w="90" w:type="dxa"/>
              <w:end w:w="110" w:type="dxa"/>
            </w:tcMar>
            <w:shd w:fill="1D3B55"/>
          </w:tcPr>
          <w:p>
            <w:pPr>
              <w:spacing w:after="0" w:line="240" w:lineRule="auto"/>
            </w:pPr>
            <w:r/>
            <w:r>
              <w:rPr>
                <w:rFonts w:ascii="Arial" w:hAnsi="Arial"/>
                <w:b/>
                <w:color w:val="FFFFFF"/>
                <w:sz w:val="16"/>
              </w:rPr>
              <w:t>Mitigation / test</w:t>
            </w:r>
          </w:p>
        </w:tc>
      </w:tr>
      <w:tr>
        <w:tc>
          <w:tcPr>
            <w:tcW w:type="dxa" w:w="3024"/>
            <w:vAlign w:val="center"/>
            <w:tcMar>
              <w:top w:w="90" w:type="dxa"/>
              <w:start w:w="110" w:type="dxa"/>
              <w:bottom w:w="90" w:type="dxa"/>
              <w:end w:w="110" w:type="dxa"/>
            </w:tcMar>
          </w:tcPr>
          <w:p>
            <w:pPr>
              <w:spacing w:after="0" w:line="240" w:lineRule="auto"/>
            </w:pPr>
            <w:r/>
            <w:r>
              <w:rPr>
                <w:rFonts w:ascii="Arial" w:hAnsi="Arial"/>
                <w:b w:val="0"/>
                <w:color w:val="18242F"/>
                <w:sz w:val="14"/>
              </w:rPr>
              <w:t>Prompt injection embedded in a document</w:t>
            </w:r>
          </w:p>
        </w:tc>
        <w:tc>
          <w:tcPr>
            <w:tcW w:type="dxa" w:w="6768"/>
            <w:vAlign w:val="center"/>
            <w:tcMar>
              <w:top w:w="90" w:type="dxa"/>
              <w:start w:w="110" w:type="dxa"/>
              <w:bottom w:w="90" w:type="dxa"/>
              <w:end w:w="110" w:type="dxa"/>
            </w:tcMar>
          </w:tcPr>
          <w:p>
            <w:pPr>
              <w:spacing w:after="0" w:line="240" w:lineRule="auto"/>
            </w:pPr>
            <w:r/>
            <w:r>
              <w:rPr>
                <w:rFonts w:ascii="Arial" w:hAnsi="Arial"/>
                <w:b w:val="0"/>
                <w:color w:val="18242F"/>
                <w:sz w:val="14"/>
              </w:rPr>
              <w:t>Treat content as untrusted; never grant tool privileges from document text; adversarial fixture tries “mark all edges supported”.</w:t>
            </w:r>
          </w:p>
        </w:tc>
      </w:tr>
      <w:tr>
        <w:tc>
          <w:tcPr>
            <w:tcW w:type="dxa" w:w="302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Cross-case data leakage</w:t>
            </w:r>
          </w:p>
        </w:tc>
        <w:tc>
          <w:tcPr>
            <w:tcW w:type="dxa" w:w="676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Case/tenant filter enforced at API, repository and Qdrant query; test user A cannot retrieve case B chunks.</w:t>
            </w:r>
          </w:p>
        </w:tc>
      </w:tr>
      <w:tr>
        <w:tc>
          <w:tcPr>
            <w:tcW w:type="dxa" w:w="3024"/>
            <w:vAlign w:val="center"/>
            <w:tcMar>
              <w:top w:w="90" w:type="dxa"/>
              <w:start w:w="110" w:type="dxa"/>
              <w:bottom w:w="90" w:type="dxa"/>
              <w:end w:w="110" w:type="dxa"/>
            </w:tcMar>
          </w:tcPr>
          <w:p>
            <w:pPr>
              <w:spacing w:after="0" w:line="240" w:lineRule="auto"/>
            </w:pPr>
            <w:r/>
            <w:r>
              <w:rPr>
                <w:rFonts w:ascii="Arial" w:hAnsi="Arial"/>
                <w:b w:val="0"/>
                <w:color w:val="18242F"/>
                <w:sz w:val="14"/>
              </w:rPr>
              <w:t>Forged citation</w:t>
            </w:r>
          </w:p>
        </w:tc>
        <w:tc>
          <w:tcPr>
            <w:tcW w:type="dxa" w:w="6768"/>
            <w:vAlign w:val="center"/>
            <w:tcMar>
              <w:top w:w="90" w:type="dxa"/>
              <w:start w:w="110" w:type="dxa"/>
              <w:bottom w:w="90" w:type="dxa"/>
              <w:end w:w="110" w:type="dxa"/>
            </w:tcMar>
          </w:tcPr>
          <w:p>
            <w:pPr>
              <w:spacing w:after="0" w:line="240" w:lineRule="auto"/>
            </w:pPr>
            <w:r/>
            <w:r>
              <w:rPr>
                <w:rFonts w:ascii="Arial" w:hAnsi="Arial"/>
                <w:b w:val="0"/>
                <w:color w:val="18242F"/>
                <w:sz w:val="14"/>
              </w:rPr>
              <w:t>Server resolves quote from offsets/source hash; any mismatch fails closed.</w:t>
            </w:r>
          </w:p>
        </w:tc>
      </w:tr>
      <w:tr>
        <w:tc>
          <w:tcPr>
            <w:tcW w:type="dxa" w:w="302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Ambiguous identity merge</w:t>
            </w:r>
          </w:p>
        </w:tc>
        <w:tc>
          <w:tcPr>
            <w:tcW w:type="dxa" w:w="676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Candidate matching only; reviewer required where identifier evidence is inconclusive.</w:t>
            </w:r>
          </w:p>
        </w:tc>
      </w:tr>
      <w:tr>
        <w:tc>
          <w:tcPr>
            <w:tcW w:type="dxa" w:w="3024"/>
            <w:vAlign w:val="center"/>
            <w:tcMar>
              <w:top w:w="90" w:type="dxa"/>
              <w:start w:w="110" w:type="dxa"/>
              <w:bottom w:w="90" w:type="dxa"/>
              <w:end w:w="110" w:type="dxa"/>
            </w:tcMar>
          </w:tcPr>
          <w:p>
            <w:pPr>
              <w:spacing w:after="0" w:line="240" w:lineRule="auto"/>
            </w:pPr>
            <w:r/>
            <w:r>
              <w:rPr>
                <w:rFonts w:ascii="Arial" w:hAnsi="Arial"/>
                <w:b w:val="0"/>
                <w:color w:val="18242F"/>
                <w:sz w:val="14"/>
              </w:rPr>
              <w:t>LLM malformed/partial output</w:t>
            </w:r>
          </w:p>
        </w:tc>
        <w:tc>
          <w:tcPr>
            <w:tcW w:type="dxa" w:w="6768"/>
            <w:vAlign w:val="center"/>
            <w:tcMar>
              <w:top w:w="90" w:type="dxa"/>
              <w:start w:w="110" w:type="dxa"/>
              <w:bottom w:w="90" w:type="dxa"/>
              <w:end w:w="110" w:type="dxa"/>
            </w:tcMar>
          </w:tcPr>
          <w:p>
            <w:pPr>
              <w:spacing w:after="0" w:line="240" w:lineRule="auto"/>
            </w:pPr>
            <w:r/>
            <w:r>
              <w:rPr>
                <w:rFonts w:ascii="Arial" w:hAnsi="Arial"/>
                <w:b w:val="0"/>
                <w:color w:val="18242F"/>
                <w:sz w:val="14"/>
              </w:rPr>
              <w:t>Pydantic validation; one retry max; invalid result becomes failed/needs_review.</w:t>
            </w:r>
          </w:p>
        </w:tc>
      </w:tr>
      <w:tr>
        <w:tc>
          <w:tcPr>
            <w:tcW w:type="dxa" w:w="302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Replay/duplicate request</w:t>
            </w:r>
          </w:p>
        </w:tc>
        <w:tc>
          <w:tcPr>
            <w:tcW w:type="dxa" w:w="676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Idempotency key and unique run creation policy.</w:t>
            </w:r>
          </w:p>
        </w:tc>
      </w:tr>
      <w:tr>
        <w:tc>
          <w:tcPr>
            <w:tcW w:type="dxa" w:w="3024"/>
            <w:vAlign w:val="center"/>
            <w:tcMar>
              <w:top w:w="90" w:type="dxa"/>
              <w:start w:w="110" w:type="dxa"/>
              <w:bottom w:w="90" w:type="dxa"/>
              <w:end w:w="110" w:type="dxa"/>
            </w:tcMar>
          </w:tcPr>
          <w:p>
            <w:pPr>
              <w:spacing w:after="0" w:line="240" w:lineRule="auto"/>
            </w:pPr>
            <w:r/>
            <w:r>
              <w:rPr>
                <w:rFonts w:ascii="Arial" w:hAnsi="Arial"/>
                <w:b w:val="0"/>
                <w:color w:val="18242F"/>
                <w:sz w:val="14"/>
              </w:rPr>
              <w:t>WebSocket/voice abuse</w:t>
            </w:r>
          </w:p>
        </w:tc>
        <w:tc>
          <w:tcPr>
            <w:tcW w:type="dxa" w:w="6768"/>
            <w:vAlign w:val="center"/>
            <w:tcMar>
              <w:top w:w="90" w:type="dxa"/>
              <w:start w:w="110" w:type="dxa"/>
              <w:bottom w:w="90" w:type="dxa"/>
              <w:end w:w="110" w:type="dxa"/>
            </w:tcMar>
          </w:tcPr>
          <w:p>
            <w:pPr>
              <w:spacing w:after="0" w:line="240" w:lineRule="auto"/>
            </w:pPr>
            <w:r/>
            <w:r>
              <w:rPr>
                <w:rFonts w:ascii="Arial" w:hAnsi="Arial"/>
                <w:b w:val="0"/>
                <w:color w:val="18242F"/>
                <w:sz w:val="14"/>
              </w:rPr>
              <w:t>Authentication, rate limit, allowed origins, session timeout, per-user/run limits and narrow tools.</w:t>
            </w:r>
          </w:p>
        </w:tc>
      </w:tr>
      <w:tr>
        <w:tc>
          <w:tcPr>
            <w:tcW w:type="dxa" w:w="302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Provider outage/slow response</w:t>
            </w:r>
          </w:p>
        </w:tc>
        <w:tc>
          <w:tcPr>
            <w:tcW w:type="dxa" w:w="676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Timeouts, circuit-breaker or bounded retry, `provider_unavailable` error, no false success.</w:t>
            </w:r>
          </w:p>
        </w:tc>
      </w:tr>
      <w:tr>
        <w:tc>
          <w:tcPr>
            <w:tcW w:type="dxa" w:w="3024"/>
            <w:vAlign w:val="center"/>
            <w:tcMar>
              <w:top w:w="90" w:type="dxa"/>
              <w:start w:w="110" w:type="dxa"/>
              <w:bottom w:w="90" w:type="dxa"/>
              <w:end w:w="110" w:type="dxa"/>
            </w:tcMar>
          </w:tcPr>
          <w:p>
            <w:pPr>
              <w:spacing w:after="0" w:line="240" w:lineRule="auto"/>
            </w:pPr>
            <w:r/>
            <w:r>
              <w:rPr>
                <w:rFonts w:ascii="Arial" w:hAnsi="Arial"/>
                <w:b w:val="0"/>
                <w:color w:val="18242F"/>
                <w:sz w:val="14"/>
              </w:rPr>
              <w:t>Audit/log information leakage</w:t>
            </w:r>
          </w:p>
        </w:tc>
        <w:tc>
          <w:tcPr>
            <w:tcW w:type="dxa" w:w="6768"/>
            <w:vAlign w:val="center"/>
            <w:tcMar>
              <w:top w:w="90" w:type="dxa"/>
              <w:start w:w="110" w:type="dxa"/>
              <w:bottom w:w="90" w:type="dxa"/>
              <w:end w:w="110" w:type="dxa"/>
            </w:tcMar>
          </w:tcPr>
          <w:p>
            <w:pPr>
              <w:spacing w:after="0" w:line="240" w:lineRule="auto"/>
            </w:pPr>
            <w:r/>
            <w:r>
              <w:rPr>
                <w:rFonts w:ascii="Arial" w:hAnsi="Arial"/>
                <w:b w:val="0"/>
                <w:color w:val="18242F"/>
                <w:sz w:val="14"/>
              </w:rPr>
              <w:t>Redaction; structured summaries; least-privilege log access and retention.</w:t>
            </w:r>
          </w:p>
        </w:tc>
      </w:tr>
      <w:tr>
        <w:tc>
          <w:tcPr>
            <w:tcW w:type="dxa" w:w="302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Malicious or malformed uploaded file</w:t>
            </w:r>
          </w:p>
        </w:tc>
        <w:tc>
          <w:tcPr>
            <w:tcW w:type="dxa" w:w="676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File size/type limits, parser isolation/timeouts, quarantined status, never execute uploaded content.</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0E8"/>
            <w:tcMar>
              <w:top w:w="140" w:type="dxa"/>
              <w:start w:w="180" w:type="dxa"/>
              <w:bottom w:w="140" w:type="dxa"/>
              <w:end w:w="180" w:type="dxa"/>
            </w:tcMar>
          </w:tcPr>
          <w:p>
            <w:pPr>
              <w:spacing w:after="60"/>
            </w:pPr>
            <w:r/>
            <w:r>
              <w:rPr>
                <w:b/>
                <w:color w:val="E07A45"/>
                <w:sz w:val="20"/>
              </w:rPr>
              <w:t>Data protection boundary</w:t>
            </w:r>
          </w:p>
          <w:p>
            <w:pPr>
              <w:spacing w:after="0" w:line="252" w:lineRule="auto"/>
            </w:pPr>
            <w:r>
              <w:rPr>
                <w:color w:val="18242F"/>
                <w:sz w:val="18"/>
              </w:rPr>
              <w:t>This is an engineering specification, not a statement of legal compliance or operational authorization. The MVP must use synthetic records. Before using real investigation records or a hosted LLM, obtain organizational approval for data transfer, retention, access, provider terms and applicable law.</w:t>
            </w:r>
          </w:p>
        </w:tc>
      </w:tr>
    </w:tbl>
    <w:p>
      <w:pPr>
        <w:spacing w:after="20"/>
      </w:pPr>
    </w:p>
    <w:p>
      <w:pPr>
        <w:pStyle w:val="Heading1"/>
      </w:pPr>
      <w:r>
        <w:t>17. Errors, retries, idempotency and cancellation</w:t>
      </w:r>
    </w:p>
    <w:p>
      <w:pPr>
        <w:pStyle w:val="Heading2"/>
      </w:pPr>
      <w:r>
        <w:t>17.1 Stable API error format</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w:t>
            </w:r>
          </w:p>
          <w:p>
            <w:pPr>
              <w:pStyle w:val="TATTVACode"/>
              <w:keepLines/>
            </w:pPr>
            <w:r>
              <w:rPr>
                <w:rFonts w:ascii="Consolas" w:hAnsi="Consolas"/>
                <w:color w:val="203448"/>
                <w:sz w:val="14"/>
              </w:rPr>
              <w:t xml:space="preserve">  "error": {</w:t>
            </w:r>
          </w:p>
          <w:p>
            <w:pPr>
              <w:pStyle w:val="TATTVACode"/>
              <w:keepLines/>
            </w:pPr>
            <w:r>
              <w:rPr>
                <w:rFonts w:ascii="Consolas" w:hAnsi="Consolas"/>
                <w:color w:val="203448"/>
                <w:sz w:val="14"/>
              </w:rPr>
              <w:t xml:space="preserve">    "code": "CASE_ACCESS_DENIED",</w:t>
            </w:r>
          </w:p>
          <w:p>
            <w:pPr>
              <w:pStyle w:val="TATTVACode"/>
              <w:keepLines/>
            </w:pPr>
            <w:r>
              <w:rPr>
                <w:rFonts w:ascii="Consolas" w:hAnsi="Consolas"/>
                <w:color w:val="203448"/>
                <w:sz w:val="14"/>
              </w:rPr>
              <w:t xml:space="preserve">    "message": "You do not have access to this case.",</w:t>
            </w:r>
          </w:p>
          <w:p>
            <w:pPr>
              <w:pStyle w:val="TATTVACode"/>
              <w:keepLines/>
            </w:pPr>
            <w:r>
              <w:rPr>
                <w:rFonts w:ascii="Consolas" w:hAnsi="Consolas"/>
                <w:color w:val="203448"/>
                <w:sz w:val="14"/>
              </w:rPr>
              <w:t xml:space="preserve">    "request_id": "req_abc123",</w:t>
            </w:r>
          </w:p>
          <w:p>
            <w:pPr>
              <w:pStyle w:val="TATTVACode"/>
              <w:keepLines/>
            </w:pPr>
            <w:r>
              <w:rPr>
                <w:rFonts w:ascii="Consolas" w:hAnsi="Consolas"/>
                <w:color w:val="203448"/>
                <w:sz w:val="14"/>
              </w:rPr>
              <w:t xml:space="preserve">    "retryable": false</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w:t>
            </w:r>
          </w:p>
        </w:tc>
      </w:tr>
    </w:tbl>
    <w:p>
      <w:pPr>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152"/>
            <w:vAlign w:val="center"/>
            <w:tcMar>
              <w:top w:w="90" w:type="dxa"/>
              <w:start w:w="110" w:type="dxa"/>
              <w:bottom w:w="90" w:type="dxa"/>
              <w:end w:w="110" w:type="dxa"/>
            </w:tcMar>
            <w:shd w:fill="1D3B55"/>
          </w:tcPr>
          <w:p>
            <w:pPr>
              <w:spacing w:after="0" w:line="240" w:lineRule="auto"/>
            </w:pPr>
            <w:r/>
            <w:r>
              <w:rPr>
                <w:rFonts w:ascii="Arial" w:hAnsi="Arial"/>
                <w:b/>
                <w:color w:val="FFFFFF"/>
                <w:sz w:val="16"/>
              </w:rPr>
              <w:t>HTTP</w:t>
            </w:r>
          </w:p>
        </w:tc>
        <w:tc>
          <w:tcPr>
            <w:tcW w:type="dxa" w:w="8640"/>
            <w:vAlign w:val="center"/>
            <w:tcMar>
              <w:top w:w="90" w:type="dxa"/>
              <w:start w:w="110" w:type="dxa"/>
              <w:bottom w:w="90" w:type="dxa"/>
              <w:end w:w="110" w:type="dxa"/>
            </w:tcMar>
            <w:shd w:fill="1D3B55"/>
          </w:tcPr>
          <w:p>
            <w:pPr>
              <w:spacing w:after="0" w:line="240" w:lineRule="auto"/>
            </w:pPr>
            <w:r/>
            <w:r>
              <w:rPr>
                <w:rFonts w:ascii="Arial" w:hAnsi="Arial"/>
                <w:b/>
                <w:color w:val="FFFFFF"/>
                <w:sz w:val="16"/>
              </w:rPr>
              <w:t>When</w:t>
            </w:r>
          </w:p>
        </w:tc>
      </w:tr>
      <w:tr>
        <w:tc>
          <w:tcPr>
            <w:tcW w:type="dxa" w:w="1152"/>
            <w:vAlign w:val="center"/>
            <w:tcMar>
              <w:top w:w="90" w:type="dxa"/>
              <w:start w:w="110" w:type="dxa"/>
              <w:bottom w:w="90" w:type="dxa"/>
              <w:end w:w="110" w:type="dxa"/>
            </w:tcMar>
          </w:tcPr>
          <w:p>
            <w:pPr>
              <w:spacing w:after="0" w:line="240" w:lineRule="auto"/>
            </w:pPr>
            <w:r/>
            <w:r>
              <w:rPr>
                <w:rFonts w:ascii="Arial" w:hAnsi="Arial"/>
                <w:b w:val="0"/>
                <w:color w:val="18242F"/>
                <w:sz w:val="16"/>
              </w:rPr>
              <w:t>400</w:t>
            </w:r>
          </w:p>
        </w:tc>
        <w:tc>
          <w:tcPr>
            <w:tcW w:type="dxa" w:w="8640"/>
            <w:vAlign w:val="center"/>
            <w:tcMar>
              <w:top w:w="90" w:type="dxa"/>
              <w:start w:w="110" w:type="dxa"/>
              <w:bottom w:w="90" w:type="dxa"/>
              <w:end w:w="110" w:type="dxa"/>
            </w:tcMar>
          </w:tcPr>
          <w:p>
            <w:pPr>
              <w:spacing w:after="0" w:line="240" w:lineRule="auto"/>
            </w:pPr>
            <w:r/>
            <w:r>
              <w:rPr>
                <w:rFonts w:ascii="Arial" w:hAnsi="Arial"/>
                <w:b w:val="0"/>
                <w:color w:val="18242F"/>
                <w:sz w:val="16"/>
              </w:rPr>
              <w:t>Malformed body or invalid idempotency payload.</w:t>
            </w:r>
          </w:p>
        </w:tc>
      </w:tr>
      <w:tr>
        <w:tc>
          <w:tcPr>
            <w:tcW w:type="dxa" w:w="1152"/>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401</w:t>
            </w:r>
          </w:p>
        </w:tc>
        <w:tc>
          <w:tcPr>
            <w:tcW w:type="dxa" w:w="8640"/>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No valid authenticated identity.</w:t>
            </w:r>
          </w:p>
        </w:tc>
      </w:tr>
      <w:tr>
        <w:tc>
          <w:tcPr>
            <w:tcW w:type="dxa" w:w="1152"/>
            <w:vAlign w:val="center"/>
            <w:tcMar>
              <w:top w:w="90" w:type="dxa"/>
              <w:start w:w="110" w:type="dxa"/>
              <w:bottom w:w="90" w:type="dxa"/>
              <w:end w:w="110" w:type="dxa"/>
            </w:tcMar>
          </w:tcPr>
          <w:p>
            <w:pPr>
              <w:spacing w:after="0" w:line="240" w:lineRule="auto"/>
            </w:pPr>
            <w:r/>
            <w:r>
              <w:rPr>
                <w:rFonts w:ascii="Arial" w:hAnsi="Arial"/>
                <w:b w:val="0"/>
                <w:color w:val="18242F"/>
                <w:sz w:val="16"/>
              </w:rPr>
              <w:t>403</w:t>
            </w:r>
          </w:p>
        </w:tc>
        <w:tc>
          <w:tcPr>
            <w:tcW w:type="dxa" w:w="8640"/>
            <w:vAlign w:val="center"/>
            <w:tcMar>
              <w:top w:w="90" w:type="dxa"/>
              <w:start w:w="110" w:type="dxa"/>
              <w:bottom w:w="90" w:type="dxa"/>
              <w:end w:w="110" w:type="dxa"/>
            </w:tcMar>
          </w:tcPr>
          <w:p>
            <w:pPr>
              <w:spacing w:after="0" w:line="240" w:lineRule="auto"/>
            </w:pPr>
            <w:r/>
            <w:r>
              <w:rPr>
                <w:rFonts w:ascii="Arial" w:hAnsi="Arial"/>
                <w:b w:val="0"/>
                <w:color w:val="18242F"/>
                <w:sz w:val="16"/>
              </w:rPr>
              <w:t>Identity is valid but case/action is not permitted.</w:t>
            </w:r>
          </w:p>
        </w:tc>
      </w:tr>
      <w:tr>
        <w:tc>
          <w:tcPr>
            <w:tcW w:type="dxa" w:w="1152"/>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404</w:t>
            </w:r>
          </w:p>
        </w:tc>
        <w:tc>
          <w:tcPr>
            <w:tcW w:type="dxa" w:w="8640"/>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Resource does not exist or must be concealed from this actor.</w:t>
            </w:r>
          </w:p>
        </w:tc>
      </w:tr>
      <w:tr>
        <w:tc>
          <w:tcPr>
            <w:tcW w:type="dxa" w:w="1152"/>
            <w:vAlign w:val="center"/>
            <w:tcMar>
              <w:top w:w="90" w:type="dxa"/>
              <w:start w:w="110" w:type="dxa"/>
              <w:bottom w:w="90" w:type="dxa"/>
              <w:end w:w="110" w:type="dxa"/>
            </w:tcMar>
          </w:tcPr>
          <w:p>
            <w:pPr>
              <w:spacing w:after="0" w:line="240" w:lineRule="auto"/>
            </w:pPr>
            <w:r/>
            <w:r>
              <w:rPr>
                <w:rFonts w:ascii="Arial" w:hAnsi="Arial"/>
                <w:b w:val="0"/>
                <w:color w:val="18242F"/>
                <w:sz w:val="16"/>
              </w:rPr>
              <w:t>409</w:t>
            </w:r>
          </w:p>
        </w:tc>
        <w:tc>
          <w:tcPr>
            <w:tcW w:type="dxa" w:w="8640"/>
            <w:vAlign w:val="center"/>
            <w:tcMar>
              <w:top w:w="90" w:type="dxa"/>
              <w:start w:w="110" w:type="dxa"/>
              <w:bottom w:w="90" w:type="dxa"/>
              <w:end w:w="110" w:type="dxa"/>
            </w:tcMar>
          </w:tcPr>
          <w:p>
            <w:pPr>
              <w:spacing w:after="0" w:line="240" w:lineRule="auto"/>
            </w:pPr>
            <w:r/>
            <w:r>
              <w:rPr>
                <w:rFonts w:ascii="Arial" w:hAnsi="Arial"/>
                <w:b w:val="0"/>
                <w:color w:val="18242F"/>
                <w:sz w:val="16"/>
              </w:rPr>
              <w:t>Run already active, conflicting state transition or idempotency conflict.</w:t>
            </w:r>
          </w:p>
        </w:tc>
      </w:tr>
      <w:tr>
        <w:tc>
          <w:tcPr>
            <w:tcW w:type="dxa" w:w="1152"/>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413</w:t>
            </w:r>
          </w:p>
        </w:tc>
        <w:tc>
          <w:tcPr>
            <w:tcW w:type="dxa" w:w="8640"/>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Upload exceeds configured size limit.</w:t>
            </w:r>
          </w:p>
        </w:tc>
      </w:tr>
      <w:tr>
        <w:tc>
          <w:tcPr>
            <w:tcW w:type="dxa" w:w="1152"/>
            <w:vAlign w:val="center"/>
            <w:tcMar>
              <w:top w:w="90" w:type="dxa"/>
              <w:start w:w="110" w:type="dxa"/>
              <w:bottom w:w="90" w:type="dxa"/>
              <w:end w:w="110" w:type="dxa"/>
            </w:tcMar>
          </w:tcPr>
          <w:p>
            <w:pPr>
              <w:spacing w:after="0" w:line="240" w:lineRule="auto"/>
            </w:pPr>
            <w:r/>
            <w:r>
              <w:rPr>
                <w:rFonts w:ascii="Arial" w:hAnsi="Arial"/>
                <w:b w:val="0"/>
                <w:color w:val="18242F"/>
                <w:sz w:val="16"/>
              </w:rPr>
              <w:t>422</w:t>
            </w:r>
          </w:p>
        </w:tc>
        <w:tc>
          <w:tcPr>
            <w:tcW w:type="dxa" w:w="8640"/>
            <w:vAlign w:val="center"/>
            <w:tcMar>
              <w:top w:w="90" w:type="dxa"/>
              <w:start w:w="110" w:type="dxa"/>
              <w:bottom w:w="90" w:type="dxa"/>
              <w:end w:w="110" w:type="dxa"/>
            </w:tcMar>
          </w:tcPr>
          <w:p>
            <w:pPr>
              <w:spacing w:after="0" w:line="240" w:lineRule="auto"/>
            </w:pPr>
            <w:r/>
            <w:r>
              <w:rPr>
                <w:rFonts w:ascii="Arial" w:hAnsi="Arial"/>
                <w:b w:val="0"/>
                <w:color w:val="18242F"/>
                <w:sz w:val="16"/>
              </w:rPr>
              <w:t>Schema or domain validation failure.</w:t>
            </w:r>
          </w:p>
        </w:tc>
      </w:tr>
      <w:tr>
        <w:tc>
          <w:tcPr>
            <w:tcW w:type="dxa" w:w="1152"/>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429</w:t>
            </w:r>
          </w:p>
        </w:tc>
        <w:tc>
          <w:tcPr>
            <w:tcW w:type="dxa" w:w="8640"/>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Rate or token/cost budget limit exceeded.</w:t>
            </w:r>
          </w:p>
        </w:tc>
      </w:tr>
      <w:tr>
        <w:tc>
          <w:tcPr>
            <w:tcW w:type="dxa" w:w="1152"/>
            <w:vAlign w:val="center"/>
            <w:tcMar>
              <w:top w:w="90" w:type="dxa"/>
              <w:start w:w="110" w:type="dxa"/>
              <w:bottom w:w="90" w:type="dxa"/>
              <w:end w:w="110" w:type="dxa"/>
            </w:tcMar>
          </w:tcPr>
          <w:p>
            <w:pPr>
              <w:spacing w:after="0" w:line="240" w:lineRule="auto"/>
            </w:pPr>
            <w:r/>
            <w:r>
              <w:rPr>
                <w:rFonts w:ascii="Arial" w:hAnsi="Arial"/>
                <w:b w:val="0"/>
                <w:color w:val="18242F"/>
                <w:sz w:val="16"/>
              </w:rPr>
              <w:t>502/503</w:t>
            </w:r>
          </w:p>
        </w:tc>
        <w:tc>
          <w:tcPr>
            <w:tcW w:type="dxa" w:w="8640"/>
            <w:vAlign w:val="center"/>
            <w:tcMar>
              <w:top w:w="90" w:type="dxa"/>
              <w:start w:w="110" w:type="dxa"/>
              <w:bottom w:w="90" w:type="dxa"/>
              <w:end w:w="110" w:type="dxa"/>
            </w:tcMar>
          </w:tcPr>
          <w:p>
            <w:pPr>
              <w:spacing w:after="0" w:line="240" w:lineRule="auto"/>
            </w:pPr>
            <w:r/>
            <w:r>
              <w:rPr>
                <w:rFonts w:ascii="Arial" w:hAnsi="Arial"/>
                <w:b w:val="0"/>
                <w:color w:val="18242F"/>
                <w:sz w:val="16"/>
              </w:rPr>
              <w:t>Provider or dependency unavailable; no success fabricated.</w:t>
            </w:r>
          </w:p>
        </w:tc>
      </w:tr>
      <w:tr>
        <w:tc>
          <w:tcPr>
            <w:tcW w:type="dxa" w:w="1152"/>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504</w:t>
            </w:r>
          </w:p>
        </w:tc>
        <w:tc>
          <w:tcPr>
            <w:tcW w:type="dxa" w:w="8640"/>
            <w:vAlign w:val="center"/>
            <w:tcMar>
              <w:top w:w="90" w:type="dxa"/>
              <w:start w:w="110" w:type="dxa"/>
              <w:bottom w:w="90" w:type="dxa"/>
              <w:end w:w="110" w:type="dxa"/>
            </w:tcMar>
            <w:shd w:fill="F5F8FA"/>
          </w:tcPr>
          <w:p>
            <w:pPr>
              <w:spacing w:after="0" w:line="240" w:lineRule="auto"/>
            </w:pPr>
            <w:r/>
            <w:r>
              <w:rPr>
                <w:rFonts w:ascii="Arial" w:hAnsi="Arial"/>
                <w:b w:val="0"/>
                <w:color w:val="18242F"/>
                <w:sz w:val="16"/>
              </w:rPr>
              <w:t>Bounded upstream/task timeout; task/run state recorded.</w:t>
            </w:r>
          </w:p>
        </w:tc>
      </w:tr>
    </w:tbl>
    <w:p>
      <w:pPr>
        <w:spacing w:after="20"/>
      </w:pPr>
    </w:p>
    <w:p>
      <w:pPr>
        <w:pStyle w:val="Heading2"/>
      </w:pPr>
      <w:r>
        <w:t>17.2 Retry policy</w:t>
      </w:r>
    </w:p>
    <w:p>
      <w:pPr>
        <w:pStyle w:val="ListBullet"/>
        <w:spacing w:after="40"/>
        <w:ind w:left="360"/>
      </w:pPr>
      <w:r>
        <w:t>Retry only transient network/provider errors and safe idempotent operations.</w:t>
      </w:r>
    </w:p>
    <w:p>
      <w:pPr>
        <w:pStyle w:val="ListBullet"/>
        <w:spacing w:after="40"/>
        <w:ind w:left="360"/>
      </w:pPr>
      <w:r>
        <w:t>Do not retry authorization failures, invalid citations, unsupported task types or schema errors indefinitely.</w:t>
      </w:r>
    </w:p>
    <w:p>
      <w:pPr>
        <w:pStyle w:val="ListBullet"/>
        <w:spacing w:after="40"/>
        <w:ind w:left="360"/>
      </w:pPr>
      <w:r>
        <w:t>At most one retry per task in MVP; record attempt number and prior error.</w:t>
      </w:r>
    </w:p>
    <w:p>
      <w:pPr>
        <w:pStyle w:val="ListBullet"/>
        <w:spacing w:after="40"/>
        <w:ind w:left="360"/>
      </w:pPr>
      <w:r>
        <w:t>Use exponential backoff with jitter for transient provider failures, within the task/run timeout.</w:t>
      </w:r>
    </w:p>
    <w:p>
      <w:pPr>
        <w:pStyle w:val="ListBullet"/>
        <w:spacing w:after="40"/>
        <w:ind w:left="360"/>
      </w:pPr>
      <w:r>
        <w:t>Use idempotency keys for run creation and document ingestion; duplicate uploads should not create duplicate active runs unintentionally.</w:t>
      </w:r>
    </w:p>
    <w:p>
      <w:pPr>
        <w:pStyle w:val="Heading2"/>
      </w:pPr>
      <w:r>
        <w:t>17.3 State recovery</w:t>
      </w:r>
    </w:p>
    <w:p>
      <w:r>
        <w:rPr>
          <w:i w:val="0"/>
        </w:rPr>
        <w:t>At worker startup, find runs/tasks stuck in `running` beyond their lease/heartbeat timeout. Mark them `interrupted` or `retry_wait` according to idempotency and retry policy; never infer success merely because a worker disappeared. Use task lease/heartbeat and store provider call metadata separately from evidence content.</w:t>
      </w:r>
    </w:p>
    <w:p>
      <w:pPr>
        <w:pStyle w:val="Heading1"/>
      </w:pPr>
      <w:r>
        <w:t>18. Testing strategy and evaluation benchmark</w:t>
      </w:r>
    </w:p>
    <w:p>
      <w:pPr>
        <w:pStyle w:val="Heading2"/>
      </w:pPr>
      <w:r>
        <w:t>18.1 Test layers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vAlign w:val="center"/>
            <w:tcMar>
              <w:top w:w="90" w:type="dxa"/>
              <w:start w:w="110" w:type="dxa"/>
              <w:bottom w:w="90" w:type="dxa"/>
              <w:end w:w="110" w:type="dxa"/>
            </w:tcMar>
            <w:shd w:fill="1D3B55"/>
          </w:tcPr>
          <w:p>
            <w:pPr>
              <w:spacing w:after="0" w:line="240" w:lineRule="auto"/>
            </w:pPr>
            <w:r/>
            <w:r>
              <w:rPr>
                <w:rFonts w:ascii="Arial" w:hAnsi="Arial"/>
                <w:b/>
                <w:color w:val="FFFFFF"/>
                <w:sz w:val="16"/>
              </w:rPr>
              <w:t>Layer</w:t>
            </w:r>
          </w:p>
        </w:tc>
        <w:tc>
          <w:tcPr>
            <w:tcW w:type="dxa" w:w="7632"/>
            <w:vAlign w:val="center"/>
            <w:tcMar>
              <w:top w:w="90" w:type="dxa"/>
              <w:start w:w="110" w:type="dxa"/>
              <w:bottom w:w="90" w:type="dxa"/>
              <w:end w:w="110" w:type="dxa"/>
            </w:tcMar>
            <w:shd w:fill="1D3B55"/>
          </w:tcPr>
          <w:p>
            <w:pPr>
              <w:spacing w:after="0" w:line="240" w:lineRule="auto"/>
            </w:pPr>
            <w:r/>
            <w:r>
              <w:rPr>
                <w:rFonts w:ascii="Arial" w:hAnsi="Arial"/>
                <w:b/>
                <w:color w:val="FFFFFF"/>
                <w:sz w:val="16"/>
              </w:rPr>
              <w:t>What to test</w:t>
            </w:r>
          </w:p>
        </w:tc>
      </w:tr>
      <w:tr>
        <w:tc>
          <w:tcPr>
            <w:tcW w:type="dxa" w:w="2160"/>
            <w:vAlign w:val="center"/>
            <w:tcMar>
              <w:top w:w="90" w:type="dxa"/>
              <w:start w:w="110" w:type="dxa"/>
              <w:bottom w:w="90" w:type="dxa"/>
              <w:end w:w="110" w:type="dxa"/>
            </w:tcMar>
          </w:tcPr>
          <w:p>
            <w:pPr>
              <w:spacing w:after="0" w:line="240" w:lineRule="auto"/>
            </w:pPr>
            <w:r/>
            <w:r>
              <w:rPr>
                <w:rFonts w:ascii="Arial" w:hAnsi="Arial"/>
                <w:b w:val="0"/>
                <w:color w:val="18242F"/>
                <w:sz w:val="14"/>
              </w:rPr>
              <w:t>Unit</w:t>
            </w:r>
          </w:p>
        </w:tc>
        <w:tc>
          <w:tcPr>
            <w:tcW w:type="dxa" w:w="7632"/>
            <w:vAlign w:val="center"/>
            <w:tcMar>
              <w:top w:w="90" w:type="dxa"/>
              <w:start w:w="110" w:type="dxa"/>
              <w:bottom w:w="90" w:type="dxa"/>
              <w:end w:w="110" w:type="dxa"/>
            </w:tcMar>
          </w:tcPr>
          <w:p>
            <w:pPr>
              <w:spacing w:after="0" w:line="240" w:lineRule="auto"/>
            </w:pPr>
            <w:r/>
            <w:r>
              <w:rPr>
                <w:rFonts w:ascii="Arial" w:hAnsi="Arial"/>
                <w:b w:val="0"/>
                <w:color w:val="18242F"/>
                <w:sz w:val="14"/>
              </w:rPr>
              <w:t>Text normalization/offsets, source hash, Pydantic schemas, task dependency planner, retry policy, anomaly rules, graph metrics.</w:t>
            </w:r>
          </w:p>
        </w:tc>
      </w:tr>
      <w:tr>
        <w:tc>
          <w:tcPr>
            <w:tcW w:type="dxa" w:w="216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Repository integration</w:t>
            </w:r>
          </w:p>
        </w:tc>
        <w:tc>
          <w:tcPr>
            <w:tcW w:type="dxa" w:w="763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Mongo indexes, case filters, document/evidence persistence, Qdrant upsert/filter/search and delete cleanup.</w:t>
            </w:r>
          </w:p>
        </w:tc>
      </w:tr>
      <w:tr>
        <w:tc>
          <w:tcPr>
            <w:tcW w:type="dxa" w:w="2160"/>
            <w:vAlign w:val="center"/>
            <w:tcMar>
              <w:top w:w="90" w:type="dxa"/>
              <w:start w:w="110" w:type="dxa"/>
              <w:bottom w:w="90" w:type="dxa"/>
              <w:end w:w="110" w:type="dxa"/>
            </w:tcMar>
          </w:tcPr>
          <w:p>
            <w:pPr>
              <w:spacing w:after="0" w:line="240" w:lineRule="auto"/>
            </w:pPr>
            <w:r/>
            <w:r>
              <w:rPr>
                <w:rFonts w:ascii="Arial" w:hAnsi="Arial"/>
                <w:b w:val="0"/>
                <w:color w:val="18242F"/>
                <w:sz w:val="14"/>
              </w:rPr>
              <w:t>API contract</w:t>
            </w:r>
          </w:p>
        </w:tc>
        <w:tc>
          <w:tcPr>
            <w:tcW w:type="dxa" w:w="7632"/>
            <w:vAlign w:val="center"/>
            <w:tcMar>
              <w:top w:w="90" w:type="dxa"/>
              <w:start w:w="110" w:type="dxa"/>
              <w:bottom w:w="90" w:type="dxa"/>
              <w:end w:w="110" w:type="dxa"/>
            </w:tcMar>
          </w:tcPr>
          <w:p>
            <w:pPr>
              <w:spacing w:after="0" w:line="240" w:lineRule="auto"/>
            </w:pPr>
            <w:r/>
            <w:r>
              <w:rPr>
                <w:rFonts w:ascii="Arial" w:hAnsi="Arial"/>
                <w:b w:val="0"/>
                <w:color w:val="18242F"/>
                <w:sz w:val="14"/>
              </w:rPr>
              <w:t>Auth/permissions, status codes, idempotency, upload errors, graph schema, SSE replay, cancellation endpoint.</w:t>
            </w:r>
          </w:p>
        </w:tc>
      </w:tr>
      <w:tr>
        <w:tc>
          <w:tcPr>
            <w:tcW w:type="dxa" w:w="216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LLM adapter contract</w:t>
            </w:r>
          </w:p>
        </w:tc>
        <w:tc>
          <w:tcPr>
            <w:tcW w:type="dxa" w:w="763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Timeouts, schema parsing, empty/malformed response, provider errors, usage/latency recording; mock provider in CI.</w:t>
            </w:r>
          </w:p>
        </w:tc>
      </w:tr>
      <w:tr>
        <w:tc>
          <w:tcPr>
            <w:tcW w:type="dxa" w:w="2160"/>
            <w:vAlign w:val="center"/>
            <w:tcMar>
              <w:top w:w="90" w:type="dxa"/>
              <w:start w:w="110" w:type="dxa"/>
              <w:bottom w:w="90" w:type="dxa"/>
              <w:end w:w="110" w:type="dxa"/>
            </w:tcMar>
          </w:tcPr>
          <w:p>
            <w:pPr>
              <w:spacing w:after="0" w:line="240" w:lineRule="auto"/>
            </w:pPr>
            <w:r/>
            <w:r>
              <w:rPr>
                <w:rFonts w:ascii="Arial" w:hAnsi="Arial"/>
                <w:b w:val="0"/>
                <w:color w:val="18242F"/>
                <w:sz w:val="14"/>
              </w:rPr>
              <w:t>Voice integration</w:t>
            </w:r>
          </w:p>
        </w:tc>
        <w:tc>
          <w:tcPr>
            <w:tcW w:type="dxa" w:w="7632"/>
            <w:vAlign w:val="center"/>
            <w:tcMar>
              <w:top w:w="90" w:type="dxa"/>
              <w:start w:w="110" w:type="dxa"/>
              <w:bottom w:w="90" w:type="dxa"/>
              <w:end w:w="110" w:type="dxa"/>
            </w:tcMar>
          </w:tcPr>
          <w:p>
            <w:pPr>
              <w:spacing w:after="0" w:line="240" w:lineRule="auto"/>
            </w:pPr>
            <w:r/>
            <w:r>
              <w:rPr>
                <w:rFonts w:ascii="Arial" w:hAnsi="Arial"/>
                <w:b w:val="0"/>
                <w:color w:val="18242F"/>
                <w:sz w:val="14"/>
              </w:rPr>
              <w:t>Mock Live events/tool calls, valid/invalid intent, ambiguous case, unauthorized action, dropped session and typed fallback.</w:t>
            </w:r>
          </w:p>
        </w:tc>
      </w:tr>
      <w:tr>
        <w:tc>
          <w:tcPr>
            <w:tcW w:type="dxa" w:w="216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End-to-end</w:t>
            </w:r>
          </w:p>
        </w:tc>
        <w:tc>
          <w:tcPr>
            <w:tcW w:type="dxa" w:w="763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Three synthetic documents through extraction, graph, verification, pattern flag, report and dashboard events.</w:t>
            </w:r>
          </w:p>
        </w:tc>
      </w:tr>
      <w:tr>
        <w:tc>
          <w:tcPr>
            <w:tcW w:type="dxa" w:w="2160"/>
            <w:vAlign w:val="center"/>
            <w:tcMar>
              <w:top w:w="90" w:type="dxa"/>
              <w:start w:w="110" w:type="dxa"/>
              <w:bottom w:w="90" w:type="dxa"/>
              <w:end w:w="110" w:type="dxa"/>
            </w:tcMar>
          </w:tcPr>
          <w:p>
            <w:pPr>
              <w:spacing w:after="0" w:line="240" w:lineRule="auto"/>
            </w:pPr>
            <w:r/>
            <w:r>
              <w:rPr>
                <w:rFonts w:ascii="Arial" w:hAnsi="Arial"/>
                <w:b w:val="0"/>
                <w:color w:val="18242F"/>
                <w:sz w:val="14"/>
              </w:rPr>
              <w:t>Security</w:t>
            </w:r>
          </w:p>
        </w:tc>
        <w:tc>
          <w:tcPr>
            <w:tcW w:type="dxa" w:w="7632"/>
            <w:vAlign w:val="center"/>
            <w:tcMar>
              <w:top w:w="90" w:type="dxa"/>
              <w:start w:w="110" w:type="dxa"/>
              <w:bottom w:w="90" w:type="dxa"/>
              <w:end w:w="110" w:type="dxa"/>
            </w:tcMar>
          </w:tcPr>
          <w:p>
            <w:pPr>
              <w:spacing w:after="0" w:line="240" w:lineRule="auto"/>
            </w:pPr>
            <w:r/>
            <w:r>
              <w:rPr>
                <w:rFonts w:ascii="Arial" w:hAnsi="Arial"/>
                <w:b w:val="0"/>
                <w:color w:val="18242F"/>
                <w:sz w:val="14"/>
              </w:rPr>
              <w:t>Cross-case query, prompt injection, forged quote, invalid object IDs, duplicate request, upload abuse, unauthorized report export.</w:t>
            </w:r>
          </w:p>
        </w:tc>
      </w:tr>
      <w:tr>
        <w:tc>
          <w:tcPr>
            <w:tcW w:type="dxa" w:w="216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Quality benchmark</w:t>
            </w:r>
          </w:p>
        </w:tc>
        <w:tc>
          <w:tcPr>
            <w:tcW w:type="dxa" w:w="763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Entity F1, relationship precision/recall, source citation validity, contradiction detection, RAG retrieval Recall@k and latency.</w:t>
            </w:r>
          </w:p>
        </w:tc>
      </w:tr>
    </w:tbl>
    <w:p>
      <w:pPr>
        <w:spacing w:after="20"/>
      </w:pPr>
    </w:p>
    <w:p>
      <w:pPr>
        <w:pStyle w:val="Heading2"/>
      </w:pPr>
      <w:r>
        <w:t>18.2 MVP synthetic benchmark</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tcMar>
              <w:top w:w="90" w:type="dxa"/>
              <w:start w:w="110" w:type="dxa"/>
              <w:bottom w:w="90" w:type="dxa"/>
              <w:end w:w="110" w:type="dxa"/>
            </w:tcMar>
            <w:shd w:fill="1D3B55"/>
          </w:tcPr>
          <w:p>
            <w:pPr>
              <w:spacing w:after="0" w:line="240" w:lineRule="auto"/>
            </w:pPr>
            <w:r/>
            <w:r>
              <w:rPr>
                <w:rFonts w:ascii="Arial" w:hAnsi="Arial"/>
                <w:b/>
                <w:color w:val="FFFFFF"/>
                <w:sz w:val="16"/>
              </w:rPr>
              <w:t>Dataset element</w:t>
            </w:r>
          </w:p>
        </w:tc>
        <w:tc>
          <w:tcPr>
            <w:tcW w:type="dxa" w:w="7200"/>
            <w:vAlign w:val="center"/>
            <w:tcMar>
              <w:top w:w="90" w:type="dxa"/>
              <w:start w:w="110" w:type="dxa"/>
              <w:bottom w:w="90" w:type="dxa"/>
              <w:end w:w="110" w:type="dxa"/>
            </w:tcMar>
            <w:shd w:fill="1D3B55"/>
          </w:tcPr>
          <w:p>
            <w:pPr>
              <w:spacing w:after="0" w:line="240" w:lineRule="auto"/>
            </w:pPr>
            <w:r/>
            <w:r>
              <w:rPr>
                <w:rFonts w:ascii="Arial" w:hAnsi="Arial"/>
                <w:b/>
                <w:color w:val="FFFFFF"/>
                <w:sz w:val="16"/>
              </w:rPr>
              <w:t>Minimum target</w:t>
            </w:r>
          </w:p>
        </w:tc>
      </w:tr>
      <w:tr>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5"/>
              </w:rPr>
              <w:t>Cases</w:t>
            </w:r>
          </w:p>
        </w:tc>
        <w:tc>
          <w:tcPr>
            <w:tcW w:type="dxa" w:w="7200"/>
            <w:vAlign w:val="center"/>
            <w:tcMar>
              <w:top w:w="90" w:type="dxa"/>
              <w:start w:w="110" w:type="dxa"/>
              <w:bottom w:w="90" w:type="dxa"/>
              <w:end w:w="110" w:type="dxa"/>
            </w:tcMar>
          </w:tcPr>
          <w:p>
            <w:pPr>
              <w:spacing w:after="0" w:line="240" w:lineRule="auto"/>
            </w:pPr>
            <w:r/>
            <w:r>
              <w:rPr>
                <w:rFonts w:ascii="Arial" w:hAnsi="Arial"/>
                <w:b w:val="0"/>
                <w:color w:val="18242F"/>
                <w:sz w:val="15"/>
              </w:rPr>
              <w:t>8–10 fully synthetic, manually labelled cases.</w:t>
            </w:r>
          </w:p>
        </w:tc>
      </w:tr>
      <w:tr>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Sources</w:t>
            </w:r>
          </w:p>
        </w:tc>
        <w:tc>
          <w:tcPr>
            <w:tcW w:type="dxa" w:w="720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24–32 FIR-like narratives, call summaries, transaction records and related notes.</w:t>
            </w:r>
          </w:p>
        </w:tc>
      </w:tr>
      <w:tr>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5"/>
              </w:rPr>
              <w:t>Entity mentions</w:t>
            </w:r>
          </w:p>
        </w:tc>
        <w:tc>
          <w:tcPr>
            <w:tcW w:type="dxa" w:w="7200"/>
            <w:vAlign w:val="center"/>
            <w:tcMar>
              <w:top w:w="90" w:type="dxa"/>
              <w:start w:w="110" w:type="dxa"/>
              <w:bottom w:w="90" w:type="dxa"/>
              <w:end w:w="110" w:type="dxa"/>
            </w:tcMar>
          </w:tcPr>
          <w:p>
            <w:pPr>
              <w:spacing w:after="0" w:line="240" w:lineRule="auto"/>
            </w:pPr>
            <w:r/>
            <w:r>
              <w:rPr>
                <w:rFonts w:ascii="Arial" w:hAnsi="Arial"/>
                <w:b w:val="0"/>
                <w:color w:val="18242F"/>
                <w:sz w:val="15"/>
              </w:rPr>
              <w:t>At least 80 annotated mentions across defined entity types.</w:t>
            </w:r>
          </w:p>
        </w:tc>
      </w:tr>
      <w:tr>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Relationship candidates</w:t>
            </w:r>
          </w:p>
        </w:tc>
        <w:tc>
          <w:tcPr>
            <w:tcW w:type="dxa" w:w="720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40–60 with gold support/dispute/insufficient labels.</w:t>
            </w:r>
          </w:p>
        </w:tc>
      </w:tr>
      <w:tr>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5"/>
              </w:rPr>
              <w:t>Contradictions</w:t>
            </w:r>
          </w:p>
        </w:tc>
        <w:tc>
          <w:tcPr>
            <w:tcW w:type="dxa" w:w="7200"/>
            <w:vAlign w:val="center"/>
            <w:tcMar>
              <w:top w:w="90" w:type="dxa"/>
              <w:start w:w="110" w:type="dxa"/>
              <w:bottom w:w="90" w:type="dxa"/>
              <w:end w:w="110" w:type="dxa"/>
            </w:tcMar>
          </w:tcPr>
          <w:p>
            <w:pPr>
              <w:spacing w:after="0" w:line="240" w:lineRule="auto"/>
            </w:pPr>
            <w:r/>
            <w:r>
              <w:rPr>
                <w:rFonts w:ascii="Arial" w:hAnsi="Arial"/>
                <w:b w:val="0"/>
                <w:color w:val="18242F"/>
                <w:sz w:val="15"/>
              </w:rPr>
              <w:t>At least 12 labelled contradiction pairs.</w:t>
            </w:r>
          </w:p>
        </w:tc>
      </w:tr>
      <w:tr>
        <w:tc>
          <w:tcPr>
            <w:tcW w:type="dxa" w:w="2592"/>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Adversarial examples</w:t>
            </w:r>
          </w:p>
        </w:tc>
        <w:tc>
          <w:tcPr>
            <w:tcW w:type="dxa" w:w="720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At least two prompt-injection documents; one contains the instruction to mark all edges supported.</w:t>
            </w:r>
          </w:p>
        </w:tc>
      </w:tr>
      <w:tr>
        <w:tc>
          <w:tcPr>
            <w:tcW w:type="dxa" w:w="2592"/>
            <w:vAlign w:val="center"/>
            <w:tcMar>
              <w:top w:w="90" w:type="dxa"/>
              <w:start w:w="110" w:type="dxa"/>
              <w:bottom w:w="90" w:type="dxa"/>
              <w:end w:w="110" w:type="dxa"/>
            </w:tcMar>
          </w:tcPr>
          <w:p>
            <w:pPr>
              <w:spacing w:after="0" w:line="240" w:lineRule="auto"/>
            </w:pPr>
            <w:r/>
            <w:r>
              <w:rPr>
                <w:rFonts w:ascii="Arial" w:hAnsi="Arial"/>
                <w:b w:val="0"/>
                <w:color w:val="18242F"/>
                <w:sz w:val="15"/>
              </w:rPr>
              <w:t>Critical edge cases</w:t>
            </w:r>
          </w:p>
        </w:tc>
        <w:tc>
          <w:tcPr>
            <w:tcW w:type="dxa" w:w="7200"/>
            <w:vAlign w:val="center"/>
            <w:tcMar>
              <w:top w:w="90" w:type="dxa"/>
              <w:start w:w="110" w:type="dxa"/>
              <w:bottom w:w="90" w:type="dxa"/>
              <w:end w:w="110" w:type="dxa"/>
            </w:tcMar>
          </w:tcPr>
          <w:p>
            <w:pPr>
              <w:spacing w:after="0" w:line="240" w:lineRule="auto"/>
            </w:pPr>
            <w:r/>
            <w:r>
              <w:rPr>
                <w:rFonts w:ascii="Arial" w:hAnsi="Arial"/>
                <w:b w:val="0"/>
                <w:color w:val="18242F"/>
                <w:sz w:val="15"/>
              </w:rPr>
              <w:t>Co-mention only, shared phone, similar names, conflicting dates, missing source, bad offsets, duplicate record, partial evidence chain.</w:t>
            </w:r>
          </w:p>
        </w:tc>
      </w:tr>
    </w:tbl>
    <w:p>
      <w:pPr>
        <w:spacing w:after="20"/>
      </w:pPr>
    </w:p>
    <w:p>
      <w:pPr>
        <w:pStyle w:val="Heading2"/>
      </w:pPr>
      <w:r>
        <w:t>18.3 Acceptance thresholds to measure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90" w:type="dxa"/>
              <w:start w:w="110" w:type="dxa"/>
              <w:bottom w:w="90" w:type="dxa"/>
              <w:end w:w="110" w:type="dxa"/>
            </w:tcMar>
            <w:shd w:fill="1D3B55"/>
          </w:tcPr>
          <w:p>
            <w:pPr>
              <w:spacing w:after="0" w:line="240" w:lineRule="auto"/>
            </w:pPr>
            <w:r/>
            <w:r>
              <w:rPr>
                <w:rFonts w:ascii="Arial" w:hAnsi="Arial"/>
                <w:b/>
                <w:color w:val="FFFFFF"/>
                <w:sz w:val="16"/>
              </w:rPr>
              <w:t>Metric</w:t>
            </w:r>
          </w:p>
        </w:tc>
        <w:tc>
          <w:tcPr>
            <w:tcW w:type="dxa" w:w="3672"/>
            <w:vAlign w:val="center"/>
            <w:tcMar>
              <w:top w:w="90" w:type="dxa"/>
              <w:start w:w="110" w:type="dxa"/>
              <w:bottom w:w="90" w:type="dxa"/>
              <w:end w:w="110" w:type="dxa"/>
            </w:tcMar>
            <w:shd w:fill="1D3B55"/>
          </w:tcPr>
          <w:p>
            <w:pPr>
              <w:spacing w:after="0" w:line="240" w:lineRule="auto"/>
            </w:pPr>
            <w:r/>
            <w:r>
              <w:rPr>
                <w:rFonts w:ascii="Arial" w:hAnsi="Arial"/>
                <w:b/>
                <w:color w:val="FFFFFF"/>
                <w:sz w:val="16"/>
              </w:rPr>
              <w:t>Initial acceptance target</w:t>
            </w:r>
          </w:p>
        </w:tc>
        <w:tc>
          <w:tcPr>
            <w:tcW w:type="dxa" w:w="3888"/>
            <w:vAlign w:val="center"/>
            <w:tcMar>
              <w:top w:w="90" w:type="dxa"/>
              <w:start w:w="110" w:type="dxa"/>
              <w:bottom w:w="90" w:type="dxa"/>
              <w:end w:w="110" w:type="dxa"/>
            </w:tcMar>
            <w:shd w:fill="1D3B55"/>
          </w:tcPr>
          <w:p>
            <w:pPr>
              <w:spacing w:after="0" w:line="240" w:lineRule="auto"/>
            </w:pPr>
            <w:r/>
            <w:r>
              <w:rPr>
                <w:rFonts w:ascii="Arial" w:hAnsi="Arial"/>
                <w:b/>
                <w:color w:val="FFFFFF"/>
                <w:sz w:val="16"/>
              </w:rPr>
              <w:t>How measured</w:t>
            </w:r>
          </w:p>
        </w:tc>
      </w:tr>
      <w:tr>
        <w:tc>
          <w:tcPr>
            <w:tcW w:type="dxa" w:w="2232"/>
            <w:vAlign w:val="center"/>
            <w:tcMar>
              <w:top w:w="90" w:type="dxa"/>
              <w:start w:w="110" w:type="dxa"/>
              <w:bottom w:w="90" w:type="dxa"/>
              <w:end w:w="110" w:type="dxa"/>
            </w:tcMar>
          </w:tcPr>
          <w:p>
            <w:pPr>
              <w:spacing w:after="0" w:line="240" w:lineRule="auto"/>
            </w:pPr>
            <w:r/>
            <w:r>
              <w:rPr>
                <w:rFonts w:ascii="Arial" w:hAnsi="Arial"/>
                <w:b w:val="0"/>
                <w:color w:val="18242F"/>
                <w:sz w:val="14"/>
              </w:rPr>
              <w:t>Citation validity</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100% of accepted-for-review citations resolve to exact stored source spans.</w:t>
            </w:r>
          </w:p>
        </w:tc>
        <w:tc>
          <w:tcPr>
            <w:tcW w:type="dxa" w:w="3888"/>
            <w:vAlign w:val="center"/>
            <w:tcMar>
              <w:top w:w="90" w:type="dxa"/>
              <w:start w:w="110" w:type="dxa"/>
              <w:bottom w:w="90" w:type="dxa"/>
              <w:end w:w="110" w:type="dxa"/>
            </w:tcMar>
          </w:tcPr>
          <w:p>
            <w:pPr>
              <w:spacing w:after="0" w:line="240" w:lineRule="auto"/>
            </w:pPr>
            <w:r/>
            <w:r>
              <w:rPr>
                <w:rFonts w:ascii="Arial" w:hAnsi="Arial"/>
                <w:b w:val="0"/>
                <w:color w:val="18242F"/>
                <w:sz w:val="14"/>
              </w:rPr>
              <w:t>Automated checks over generated report/relationship records.</w:t>
            </w:r>
          </w:p>
        </w:tc>
      </w:tr>
      <w:tr>
        <w:tc>
          <w:tcPr>
            <w:tcW w:type="dxa" w:w="223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Unauthorized action execution</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0 in test suite.</w:t>
            </w:r>
          </w:p>
        </w:tc>
        <w:tc>
          <w:tcPr>
            <w:tcW w:type="dxa" w:w="38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Security integration tests and audit-log inspection.</w:t>
            </w:r>
          </w:p>
        </w:tc>
      </w:tr>
      <w:tr>
        <w:tc>
          <w:tcPr>
            <w:tcW w:type="dxa" w:w="2232"/>
            <w:vAlign w:val="center"/>
            <w:tcMar>
              <w:top w:w="90" w:type="dxa"/>
              <w:start w:w="110" w:type="dxa"/>
              <w:bottom w:w="90" w:type="dxa"/>
              <w:end w:w="110" w:type="dxa"/>
            </w:tcMar>
          </w:tcPr>
          <w:p>
            <w:pPr>
              <w:spacing w:after="0" w:line="240" w:lineRule="auto"/>
            </w:pPr>
            <w:r/>
            <w:r>
              <w:rPr>
                <w:rFonts w:ascii="Arial" w:hAnsi="Arial"/>
                <w:b w:val="0"/>
                <w:color w:val="18242F"/>
                <w:sz w:val="14"/>
              </w:rPr>
              <w:t>Prompt injection resistance</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0 verification-status/permission changes caused solely by injected source instructions.</w:t>
            </w:r>
          </w:p>
        </w:tc>
        <w:tc>
          <w:tcPr>
            <w:tcW w:type="dxa" w:w="3888"/>
            <w:vAlign w:val="center"/>
            <w:tcMar>
              <w:top w:w="90" w:type="dxa"/>
              <w:start w:w="110" w:type="dxa"/>
              <w:bottom w:w="90" w:type="dxa"/>
              <w:end w:w="110" w:type="dxa"/>
            </w:tcMar>
          </w:tcPr>
          <w:p>
            <w:pPr>
              <w:spacing w:after="0" w:line="240" w:lineRule="auto"/>
            </w:pPr>
            <w:r/>
            <w:r>
              <w:rPr>
                <w:rFonts w:ascii="Arial" w:hAnsi="Arial"/>
                <w:b w:val="0"/>
                <w:color w:val="18242F"/>
                <w:sz w:val="14"/>
              </w:rPr>
              <w:t>Before/after state assertions.</w:t>
            </w:r>
          </w:p>
        </w:tc>
      </w:tr>
      <w:tr>
        <w:tc>
          <w:tcPr>
            <w:tcW w:type="dxa" w:w="223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Voice intent</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At least 16/20 fixed commands preserve intended operation + case number.</w:t>
            </w:r>
          </w:p>
        </w:tc>
        <w:tc>
          <w:tcPr>
            <w:tcW w:type="dxa" w:w="38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Human-labelled Hindi/English/Hinglish utterance suite.</w:t>
            </w:r>
          </w:p>
        </w:tc>
      </w:tr>
      <w:tr>
        <w:tc>
          <w:tcPr>
            <w:tcW w:type="dxa" w:w="2232"/>
            <w:vAlign w:val="center"/>
            <w:tcMar>
              <w:top w:w="90" w:type="dxa"/>
              <w:start w:w="110" w:type="dxa"/>
              <w:bottom w:w="90" w:type="dxa"/>
              <w:end w:w="110" w:type="dxa"/>
            </w:tcMar>
          </w:tcPr>
          <w:p>
            <w:pPr>
              <w:spacing w:after="0" w:line="240" w:lineRule="auto"/>
            </w:pPr>
            <w:r/>
            <w:r>
              <w:rPr>
                <w:rFonts w:ascii="Arial" w:hAnsi="Arial"/>
                <w:b w:val="0"/>
                <w:color w:val="18242F"/>
                <w:sz w:val="14"/>
              </w:rPr>
              <w:t>Task bounds</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0 runs exceed configured tasks/replans/retries/concurrency.</w:t>
            </w:r>
          </w:p>
        </w:tc>
        <w:tc>
          <w:tcPr>
            <w:tcW w:type="dxa" w:w="3888"/>
            <w:vAlign w:val="center"/>
            <w:tcMar>
              <w:top w:w="90" w:type="dxa"/>
              <w:start w:w="110" w:type="dxa"/>
              <w:bottom w:w="90" w:type="dxa"/>
              <w:end w:w="110" w:type="dxa"/>
            </w:tcMar>
          </w:tcPr>
          <w:p>
            <w:pPr>
              <w:spacing w:after="0" w:line="240" w:lineRule="auto"/>
            </w:pPr>
            <w:r/>
            <w:r>
              <w:rPr>
                <w:rFonts w:ascii="Arial" w:hAnsi="Arial"/>
                <w:b w:val="0"/>
                <w:color w:val="18242F"/>
                <w:sz w:val="14"/>
              </w:rPr>
              <w:t>Property/integration tests.</w:t>
            </w:r>
          </w:p>
        </w:tc>
      </w:tr>
      <w:tr>
        <w:tc>
          <w:tcPr>
            <w:tcW w:type="dxa" w:w="223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RAG citation grounding</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100% of cited chunk IDs were in retrieved/authorized context; answer quality reported separately.</w:t>
            </w:r>
          </w:p>
        </w:tc>
        <w:tc>
          <w:tcPr>
            <w:tcW w:type="dxa" w:w="38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Citation-ID membership and access tests.</w:t>
            </w:r>
          </w:p>
        </w:tc>
      </w:tr>
      <w:tr>
        <w:tc>
          <w:tcPr>
            <w:tcW w:type="dxa" w:w="2232"/>
            <w:vAlign w:val="center"/>
            <w:tcMar>
              <w:top w:w="90" w:type="dxa"/>
              <w:start w:w="110" w:type="dxa"/>
              <w:bottom w:w="90" w:type="dxa"/>
              <w:end w:w="110" w:type="dxa"/>
            </w:tcMar>
          </w:tcPr>
          <w:p>
            <w:pPr>
              <w:spacing w:after="0" w:line="240" w:lineRule="auto"/>
            </w:pPr>
            <w:r/>
            <w:r>
              <w:rPr>
                <w:rFonts w:ascii="Arial" w:hAnsi="Arial"/>
                <w:b w:val="0"/>
                <w:color w:val="18242F"/>
                <w:sz w:val="14"/>
              </w:rPr>
              <w:t>Dashboard freshness</w:t>
            </w:r>
          </w:p>
        </w:tc>
        <w:tc>
          <w:tcPr>
            <w:tcW w:type="dxa" w:w="3672"/>
            <w:vAlign w:val="center"/>
            <w:tcMar>
              <w:top w:w="90" w:type="dxa"/>
              <w:start w:w="110" w:type="dxa"/>
              <w:bottom w:w="90" w:type="dxa"/>
              <w:end w:w="110" w:type="dxa"/>
            </w:tcMar>
          </w:tcPr>
          <w:p>
            <w:pPr>
              <w:spacing w:after="0" w:line="240" w:lineRule="auto"/>
            </w:pPr>
            <w:r/>
            <w:r>
              <w:rPr>
                <w:rFonts w:ascii="Arial" w:hAnsi="Arial"/>
                <w:b w:val="0"/>
                <w:color w:val="18242F"/>
                <w:sz w:val="14"/>
              </w:rPr>
              <w:t>Provisional p95 event-to-visible update under 1 second on local test setup.</w:t>
            </w:r>
          </w:p>
        </w:tc>
        <w:tc>
          <w:tcPr>
            <w:tcW w:type="dxa" w:w="3888"/>
            <w:vAlign w:val="center"/>
            <w:tcMar>
              <w:top w:w="90" w:type="dxa"/>
              <w:start w:w="110" w:type="dxa"/>
              <w:bottom w:w="90" w:type="dxa"/>
              <w:end w:w="110" w:type="dxa"/>
            </w:tcMar>
          </w:tcPr>
          <w:p>
            <w:pPr>
              <w:spacing w:after="0" w:line="240" w:lineRule="auto"/>
            </w:pPr>
            <w:r/>
            <w:r>
              <w:rPr>
                <w:rFonts w:ascii="Arial" w:hAnsi="Arial"/>
                <w:b w:val="0"/>
                <w:color w:val="18242F"/>
                <w:sz w:val="14"/>
              </w:rPr>
              <w:t>Timestamp state update and browser receipt/render; record test environment.</w:t>
            </w:r>
          </w:p>
        </w:tc>
      </w:tr>
      <w:tr>
        <w:tc>
          <w:tcPr>
            <w:tcW w:type="dxa" w:w="223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Core latency</w:t>
            </w:r>
          </w:p>
        </w:tc>
        <w:tc>
          <w:tcPr>
            <w:tcW w:type="dxa" w:w="367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Establish p50/p95 before setting a contractual target.</w:t>
            </w:r>
          </w:p>
        </w:tc>
        <w:tc>
          <w:tcPr>
            <w:tcW w:type="dxa" w:w="388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Same benchmark prompts/provider region; separate model, retrieval and parsing timings.</w:t>
            </w:r>
          </w:p>
        </w:tc>
      </w:tr>
    </w:tbl>
    <w:p>
      <w:pPr>
        <w:spacing w:after="20"/>
      </w:pPr>
    </w:p>
    <w:p>
      <w:pPr>
        <w:pStyle w:val="Heading2"/>
      </w:pPr>
      <w:r>
        <w:t>18.4 Ablation tests</w:t>
      </w:r>
    </w:p>
    <w:p>
      <w:r>
        <w:rPr>
          <w:i w:val="0"/>
        </w:rPr>
        <w:t>Run a 2×2 ablation: relationship verification ON/OFF and hypothesis analyst ON/OFF. Compare unsupported edge acceptance, cited evidence validity, investigator review time and report usefulness. This tests whether the differentiators actually improve quality rather than merely adding more agents.</w:t>
      </w:r>
    </w:p>
    <w:p>
      <w:pPr>
        <w:pStyle w:val="Heading1"/>
      </w:pPr>
      <w:r>
        <w:t>19. Local development and deployment</w:t>
      </w:r>
    </w:p>
    <w:p>
      <w:pPr>
        <w:pStyle w:val="Heading2"/>
      </w:pPr>
      <w:r>
        <w:t>19.1 Services in local Docker Compose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tcMar>
              <w:top w:w="90" w:type="dxa"/>
              <w:start w:w="110" w:type="dxa"/>
              <w:bottom w:w="90" w:type="dxa"/>
              <w:end w:w="110" w:type="dxa"/>
            </w:tcMar>
            <w:shd w:fill="1D3B55"/>
          </w:tcPr>
          <w:p>
            <w:pPr>
              <w:spacing w:after="0" w:line="240" w:lineRule="auto"/>
            </w:pPr>
            <w:r/>
            <w:r>
              <w:rPr>
                <w:rFonts w:ascii="Arial" w:hAnsi="Arial"/>
                <w:b/>
                <w:color w:val="FFFFFF"/>
                <w:sz w:val="16"/>
              </w:rPr>
              <w:t>Service</w:t>
            </w:r>
          </w:p>
        </w:tc>
        <w:tc>
          <w:tcPr>
            <w:tcW w:type="dxa" w:w="3744"/>
            <w:vAlign w:val="center"/>
            <w:tcMar>
              <w:top w:w="90" w:type="dxa"/>
              <w:start w:w="110" w:type="dxa"/>
              <w:bottom w:w="90" w:type="dxa"/>
              <w:end w:w="110" w:type="dxa"/>
            </w:tcMar>
            <w:shd w:fill="1D3B55"/>
          </w:tcPr>
          <w:p>
            <w:pPr>
              <w:spacing w:after="0" w:line="240" w:lineRule="auto"/>
            </w:pPr>
            <w:r/>
            <w:r>
              <w:rPr>
                <w:rFonts w:ascii="Arial" w:hAnsi="Arial"/>
                <w:b/>
                <w:color w:val="FFFFFF"/>
                <w:sz w:val="16"/>
              </w:rPr>
              <w:t>Purpose</w:t>
            </w:r>
          </w:p>
        </w:tc>
        <w:tc>
          <w:tcPr>
            <w:tcW w:type="dxa" w:w="4176"/>
            <w:vAlign w:val="center"/>
            <w:tcMar>
              <w:top w:w="90" w:type="dxa"/>
              <w:start w:w="110" w:type="dxa"/>
              <w:bottom w:w="90" w:type="dxa"/>
              <w:end w:w="110" w:type="dxa"/>
            </w:tcMar>
            <w:shd w:fill="1D3B55"/>
          </w:tcPr>
          <w:p>
            <w:pPr>
              <w:spacing w:after="0" w:line="240" w:lineRule="auto"/>
            </w:pPr>
            <w:r/>
            <w:r>
              <w:rPr>
                <w:rFonts w:ascii="Arial" w:hAnsi="Arial"/>
                <w:b/>
                <w:color w:val="FFFFFF"/>
                <w:sz w:val="16"/>
              </w:rPr>
              <w:t>Persistent data</w:t>
            </w:r>
          </w:p>
        </w:tc>
      </w:tr>
      <w:tr>
        <w:tc>
          <w:tcPr>
            <w:tcW w:type="dxa" w:w="1872"/>
            <w:vAlign w:val="center"/>
            <w:tcMar>
              <w:top w:w="90" w:type="dxa"/>
              <w:start w:w="110" w:type="dxa"/>
              <w:bottom w:w="90" w:type="dxa"/>
              <w:end w:w="110" w:type="dxa"/>
            </w:tcMar>
          </w:tcPr>
          <w:p>
            <w:pPr>
              <w:spacing w:after="0" w:line="240" w:lineRule="auto"/>
            </w:pPr>
            <w:r/>
            <w:r>
              <w:rPr>
                <w:rFonts w:ascii="Arial" w:hAnsi="Arial"/>
                <w:b w:val="0"/>
                <w:color w:val="18242F"/>
                <w:sz w:val="15"/>
              </w:rPr>
              <w:t>frontend</w:t>
            </w:r>
          </w:p>
        </w:tc>
        <w:tc>
          <w:tcPr>
            <w:tcW w:type="dxa" w:w="3744"/>
            <w:vAlign w:val="center"/>
            <w:tcMar>
              <w:top w:w="90" w:type="dxa"/>
              <w:start w:w="110" w:type="dxa"/>
              <w:bottom w:w="90" w:type="dxa"/>
              <w:end w:w="110" w:type="dxa"/>
            </w:tcMar>
          </w:tcPr>
          <w:p>
            <w:pPr>
              <w:spacing w:after="0" w:line="240" w:lineRule="auto"/>
            </w:pPr>
            <w:r/>
            <w:r>
              <w:rPr>
                <w:rFonts w:ascii="Arial" w:hAnsi="Arial"/>
                <w:b w:val="0"/>
                <w:color w:val="18242F"/>
                <w:sz w:val="15"/>
              </w:rPr>
              <w:t>Next.js UI</w:t>
            </w:r>
          </w:p>
        </w:tc>
        <w:tc>
          <w:tcPr>
            <w:tcW w:type="dxa" w:w="4176"/>
            <w:vAlign w:val="center"/>
            <w:tcMar>
              <w:top w:w="90" w:type="dxa"/>
              <w:start w:w="110" w:type="dxa"/>
              <w:bottom w:w="90" w:type="dxa"/>
              <w:end w:w="110" w:type="dxa"/>
            </w:tcMar>
          </w:tcPr>
          <w:p>
            <w:pPr>
              <w:spacing w:after="0" w:line="240" w:lineRule="auto"/>
            </w:pPr>
            <w:r/>
            <w:r>
              <w:rPr>
                <w:rFonts w:ascii="Arial" w:hAnsi="Arial"/>
                <w:b w:val="0"/>
                <w:color w:val="18242F"/>
                <w:sz w:val="15"/>
              </w:rPr>
              <w:t>Optional build/cache volume</w:t>
            </w:r>
          </w:p>
        </w:tc>
      </w:tr>
      <w:tr>
        <w:tc>
          <w:tcPr>
            <w:tcW w:type="dxa" w:w="1872"/>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api</w:t>
            </w:r>
          </w:p>
        </w:tc>
        <w:tc>
          <w:tcPr>
            <w:tcW w:type="dxa" w:w="374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FastAPI REST + SSE</w:t>
            </w:r>
          </w:p>
        </w:tc>
        <w:tc>
          <w:tcPr>
            <w:tcW w:type="dxa" w:w="417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Stateless process; secrets from env</w:t>
            </w:r>
          </w:p>
        </w:tc>
      </w:tr>
      <w:tr>
        <w:tc>
          <w:tcPr>
            <w:tcW w:type="dxa" w:w="1872"/>
            <w:vAlign w:val="center"/>
            <w:tcMar>
              <w:top w:w="90" w:type="dxa"/>
              <w:start w:w="110" w:type="dxa"/>
              <w:bottom w:w="90" w:type="dxa"/>
              <w:end w:w="110" w:type="dxa"/>
            </w:tcMar>
          </w:tcPr>
          <w:p>
            <w:pPr>
              <w:spacing w:after="0" w:line="240" w:lineRule="auto"/>
            </w:pPr>
            <w:r/>
            <w:r>
              <w:rPr>
                <w:rFonts w:ascii="Arial" w:hAnsi="Arial"/>
                <w:b w:val="0"/>
                <w:color w:val="18242F"/>
                <w:sz w:val="15"/>
              </w:rPr>
              <w:t>voice-gateway</w:t>
            </w:r>
          </w:p>
        </w:tc>
        <w:tc>
          <w:tcPr>
            <w:tcW w:type="dxa" w:w="3744"/>
            <w:vAlign w:val="center"/>
            <w:tcMar>
              <w:top w:w="90" w:type="dxa"/>
              <w:start w:w="110" w:type="dxa"/>
              <w:bottom w:w="90" w:type="dxa"/>
              <w:end w:w="110" w:type="dxa"/>
            </w:tcMar>
          </w:tcPr>
          <w:p>
            <w:pPr>
              <w:spacing w:after="0" w:line="240" w:lineRule="auto"/>
            </w:pPr>
            <w:r/>
            <w:r>
              <w:rPr>
                <w:rFonts w:ascii="Arial" w:hAnsi="Arial"/>
                <w:b w:val="0"/>
                <w:color w:val="18242F"/>
                <w:sz w:val="15"/>
              </w:rPr>
              <w:t>Existing Gemini Live WebSocket gateway</w:t>
            </w:r>
          </w:p>
        </w:tc>
        <w:tc>
          <w:tcPr>
            <w:tcW w:type="dxa" w:w="4176"/>
            <w:vAlign w:val="center"/>
            <w:tcMar>
              <w:top w:w="90" w:type="dxa"/>
              <w:start w:w="110" w:type="dxa"/>
              <w:bottom w:w="90" w:type="dxa"/>
              <w:end w:w="110" w:type="dxa"/>
            </w:tcMar>
          </w:tcPr>
          <w:p>
            <w:pPr>
              <w:spacing w:after="0" w:line="240" w:lineRule="auto"/>
            </w:pPr>
            <w:r/>
            <w:r>
              <w:rPr>
                <w:rFonts w:ascii="Arial" w:hAnsi="Arial"/>
                <w:b w:val="0"/>
                <w:color w:val="18242F"/>
                <w:sz w:val="15"/>
              </w:rPr>
              <w:t>No long-term session state outside configured store</w:t>
            </w:r>
          </w:p>
        </w:tc>
      </w:tr>
      <w:tr>
        <w:tc>
          <w:tcPr>
            <w:tcW w:type="dxa" w:w="1872"/>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worker</w:t>
            </w:r>
          </w:p>
        </w:tc>
        <w:tc>
          <w:tcPr>
            <w:tcW w:type="dxa" w:w="374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Background task execution</w:t>
            </w:r>
          </w:p>
        </w:tc>
        <w:tc>
          <w:tcPr>
            <w:tcW w:type="dxa" w:w="417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Task/run states persisted in MongoDB</w:t>
            </w:r>
          </w:p>
        </w:tc>
      </w:tr>
      <w:tr>
        <w:tc>
          <w:tcPr>
            <w:tcW w:type="dxa" w:w="1872"/>
            <w:vAlign w:val="center"/>
            <w:tcMar>
              <w:top w:w="90" w:type="dxa"/>
              <w:start w:w="110" w:type="dxa"/>
              <w:bottom w:w="90" w:type="dxa"/>
              <w:end w:w="110" w:type="dxa"/>
            </w:tcMar>
          </w:tcPr>
          <w:p>
            <w:pPr>
              <w:spacing w:after="0" w:line="240" w:lineRule="auto"/>
            </w:pPr>
            <w:r/>
            <w:r>
              <w:rPr>
                <w:rFonts w:ascii="Arial" w:hAnsi="Arial"/>
                <w:b w:val="0"/>
                <w:color w:val="18242F"/>
                <w:sz w:val="15"/>
              </w:rPr>
              <w:t>mongodb</w:t>
            </w:r>
          </w:p>
        </w:tc>
        <w:tc>
          <w:tcPr>
            <w:tcW w:type="dxa" w:w="3744"/>
            <w:vAlign w:val="center"/>
            <w:tcMar>
              <w:top w:w="90" w:type="dxa"/>
              <w:start w:w="110" w:type="dxa"/>
              <w:bottom w:w="90" w:type="dxa"/>
              <w:end w:w="110" w:type="dxa"/>
            </w:tcMar>
          </w:tcPr>
          <w:p>
            <w:pPr>
              <w:spacing w:after="0" w:line="240" w:lineRule="auto"/>
            </w:pPr>
            <w:r/>
            <w:r>
              <w:rPr>
                <w:rFonts w:ascii="Arial" w:hAnsi="Arial"/>
                <w:b w:val="0"/>
                <w:color w:val="18242F"/>
                <w:sz w:val="15"/>
              </w:rPr>
              <w:t>Cases, evidence metadata, runs, events, audit</w:t>
            </w:r>
          </w:p>
        </w:tc>
        <w:tc>
          <w:tcPr>
            <w:tcW w:type="dxa" w:w="4176"/>
            <w:vAlign w:val="center"/>
            <w:tcMar>
              <w:top w:w="90" w:type="dxa"/>
              <w:start w:w="110" w:type="dxa"/>
              <w:bottom w:w="90" w:type="dxa"/>
              <w:end w:w="110" w:type="dxa"/>
            </w:tcMar>
          </w:tcPr>
          <w:p>
            <w:pPr>
              <w:spacing w:after="0" w:line="240" w:lineRule="auto"/>
            </w:pPr>
            <w:r/>
            <w:r>
              <w:rPr>
                <w:rFonts w:ascii="Arial" w:hAnsi="Arial"/>
                <w:b w:val="0"/>
                <w:color w:val="18242F"/>
                <w:sz w:val="15"/>
              </w:rPr>
              <w:t>Named volume / managed dev instance</w:t>
            </w:r>
          </w:p>
        </w:tc>
      </w:tr>
      <w:tr>
        <w:tc>
          <w:tcPr>
            <w:tcW w:type="dxa" w:w="1872"/>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redis</w:t>
            </w:r>
          </w:p>
        </w:tc>
        <w:tc>
          <w:tcPr>
            <w:tcW w:type="dxa" w:w="374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Queue, locks, rate-limit/cache as configured</w:t>
            </w:r>
          </w:p>
        </w:tc>
        <w:tc>
          <w:tcPr>
            <w:tcW w:type="dxa" w:w="417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Queue persistence policy; not source of truth</w:t>
            </w:r>
          </w:p>
        </w:tc>
      </w:tr>
      <w:tr>
        <w:tc>
          <w:tcPr>
            <w:tcW w:type="dxa" w:w="1872"/>
            <w:vAlign w:val="center"/>
            <w:tcMar>
              <w:top w:w="90" w:type="dxa"/>
              <w:start w:w="110" w:type="dxa"/>
              <w:bottom w:w="90" w:type="dxa"/>
              <w:end w:w="110" w:type="dxa"/>
            </w:tcMar>
          </w:tcPr>
          <w:p>
            <w:pPr>
              <w:spacing w:after="0" w:line="240" w:lineRule="auto"/>
            </w:pPr>
            <w:r/>
            <w:r>
              <w:rPr>
                <w:rFonts w:ascii="Arial" w:hAnsi="Arial"/>
                <w:b w:val="0"/>
                <w:color w:val="18242F"/>
                <w:sz w:val="15"/>
              </w:rPr>
              <w:t>qdrant</w:t>
            </w:r>
          </w:p>
        </w:tc>
        <w:tc>
          <w:tcPr>
            <w:tcW w:type="dxa" w:w="3744"/>
            <w:vAlign w:val="center"/>
            <w:tcMar>
              <w:top w:w="90" w:type="dxa"/>
              <w:start w:w="110" w:type="dxa"/>
              <w:bottom w:w="90" w:type="dxa"/>
              <w:end w:w="110" w:type="dxa"/>
            </w:tcMar>
          </w:tcPr>
          <w:p>
            <w:pPr>
              <w:spacing w:after="0" w:line="240" w:lineRule="auto"/>
            </w:pPr>
            <w:r/>
            <w:r>
              <w:rPr>
                <w:rFonts w:ascii="Arial" w:hAnsi="Arial"/>
                <w:b w:val="0"/>
                <w:color w:val="18242F"/>
                <w:sz w:val="15"/>
              </w:rPr>
              <w:t>Vector retrieval index</w:t>
            </w:r>
          </w:p>
        </w:tc>
        <w:tc>
          <w:tcPr>
            <w:tcW w:type="dxa" w:w="4176"/>
            <w:vAlign w:val="center"/>
            <w:tcMar>
              <w:top w:w="90" w:type="dxa"/>
              <w:start w:w="110" w:type="dxa"/>
              <w:bottom w:w="90" w:type="dxa"/>
              <w:end w:w="110" w:type="dxa"/>
            </w:tcMar>
          </w:tcPr>
          <w:p>
            <w:pPr>
              <w:spacing w:after="0" w:line="240" w:lineRule="auto"/>
            </w:pPr>
            <w:r/>
            <w:r>
              <w:rPr>
                <w:rFonts w:ascii="Arial" w:hAnsi="Arial"/>
                <w:b w:val="0"/>
                <w:color w:val="18242F"/>
                <w:sz w:val="15"/>
              </w:rPr>
              <w:t>Named volume; backup/rebuild plan</w:t>
            </w:r>
          </w:p>
        </w:tc>
      </w:tr>
      <w:tr>
        <w:tc>
          <w:tcPr>
            <w:tcW w:type="dxa" w:w="1872"/>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file storage</w:t>
            </w:r>
          </w:p>
        </w:tc>
        <w:tc>
          <w:tcPr>
            <w:tcW w:type="dxa" w:w="374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Original uploaded files / extracted artefacts</w:t>
            </w:r>
          </w:p>
        </w:tc>
        <w:tc>
          <w:tcPr>
            <w:tcW w:type="dxa" w:w="4176"/>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Named volume for local MVP</w:t>
            </w:r>
          </w:p>
        </w:tc>
      </w:tr>
    </w:tbl>
    <w:p>
      <w:pPr>
        <w:spacing w:after="20"/>
      </w:pPr>
    </w:p>
    <w:p>
      <w:r>
        <w:rPr>
          <w:i w:val="0"/>
        </w:rPr>
        <w:t>The core LLM is an external online API in the chosen deployment; no local GPU model container is required for the initial plan. Embeddings may remain local with FastEmbed if benchmarks permit.</w:t>
      </w:r>
    </w:p>
    <w:p>
      <w:pPr>
        <w:pStyle w:val="Heading2"/>
      </w:pPr>
      <w:r>
        <w:t>19.2 Development workflow</w:t>
      </w:r>
    </w:p>
    <w:p>
      <w:pPr>
        <w:pStyle w:val="ListNumber"/>
        <w:spacing w:after="40"/>
      </w:pPr>
      <w:r>
        <w:t>Create `.env` from `.env.example`; set strong development secrets and provider keys. Never commit `.env`.</w:t>
      </w:r>
    </w:p>
    <w:p>
      <w:pPr>
        <w:pStyle w:val="ListNumber"/>
        <w:spacing w:after="40"/>
      </w:pPr>
      <w:r>
        <w:t>Start MongoDB, Redis and Qdrant; verify readiness and create indexes/payload indexes before ingesting fixtures.</w:t>
      </w:r>
    </w:p>
    <w:p>
      <w:pPr>
        <w:pStyle w:val="ListNumber"/>
        <w:spacing w:after="40"/>
      </w:pPr>
      <w:r>
        <w:t>Start API and worker; run migrations/index bootstrap and `GET /readyz`.</w:t>
      </w:r>
    </w:p>
    <w:p>
      <w:pPr>
        <w:pStyle w:val="ListNumber"/>
        <w:spacing w:after="40"/>
      </w:pPr>
      <w:r>
        <w:t>Start voice gateway and frontend; configure allowed origins and API/WebSocket base URLs.</w:t>
      </w:r>
    </w:p>
    <w:p>
      <w:pPr>
        <w:pStyle w:val="ListNumber"/>
        <w:spacing w:after="40"/>
      </w:pPr>
      <w:r>
        <w:t>Load synthetic Case 345 fixtures. Run unit/contract tests before launching analysis.</w:t>
      </w:r>
    </w:p>
    <w:p>
      <w:pPr>
        <w:pStyle w:val="ListNumber"/>
        <w:spacing w:after="40"/>
      </w:pPr>
      <w:r>
        <w:t>Create an analysis run via API; watch persisted task/event records and verify that each visible dashboard event maps to a real backend transition.</w:t>
      </w:r>
    </w:p>
    <w:p>
      <w:pPr>
        <w:pStyle w:val="Heading2"/>
      </w:pPr>
      <w:r>
        <w:t>19.3 Recommended commands</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 from backend/</w:t>
            </w:r>
          </w:p>
          <w:p>
            <w:pPr>
              <w:pStyle w:val="TATTVACode"/>
              <w:keepLines/>
            </w:pPr>
            <w:r>
              <w:rPr>
                <w:rFonts w:ascii="Consolas" w:hAnsi="Consolas"/>
                <w:color w:val="203448"/>
                <w:sz w:val="14"/>
              </w:rPr>
              <w:t>python -m venv .venv</w:t>
            </w:r>
          </w:p>
          <w:p>
            <w:pPr>
              <w:pStyle w:val="TATTVACode"/>
              <w:keepLines/>
            </w:pPr>
            <w:r>
              <w:rPr>
                <w:rFonts w:ascii="Consolas" w:hAnsi="Consolas"/>
                <w:color w:val="203448"/>
                <w:sz w:val="14"/>
              </w:rPr>
              <w:t># Windows PowerShell: .venv\Scripts\Activate.ps1</w:t>
            </w:r>
          </w:p>
          <w:p>
            <w:pPr>
              <w:pStyle w:val="TATTVACode"/>
              <w:keepLines/>
            </w:pPr>
            <w:r>
              <w:rPr>
                <w:rFonts w:ascii="Consolas" w:hAnsi="Consolas"/>
                <w:color w:val="203448"/>
                <w:sz w:val="14"/>
              </w:rPr>
              <w:t># macOS/Linux: source .venv/bin/activate</w:t>
            </w:r>
          </w:p>
          <w:p>
            <w:pPr>
              <w:pStyle w:val="TATTVACode"/>
              <w:keepLines/>
            </w:pPr>
            <w:r>
              <w:rPr>
                <w:rFonts w:ascii="Consolas" w:hAnsi="Consolas"/>
                <w:color w:val="203448"/>
                <w:sz w:val="14"/>
              </w:rPr>
              <w:t>python -m pip install -r requirements.txt</w:t>
            </w:r>
          </w:p>
          <w:p>
            <w:pPr>
              <w:pStyle w:val="TATTVACode"/>
              <w:keepLines/>
            </w:pPr>
            <w:r>
              <w:rPr>
                <w:rFonts w:ascii="Consolas" w:hAnsi="Consolas"/>
                <w:color w:val="203448"/>
                <w:sz w:val="14"/>
              </w:rPr>
              <w:t>pytest -q</w:t>
            </w:r>
          </w:p>
          <w:p>
            <w:pPr>
              <w:pStyle w:val="TATTVACode"/>
              <w:keepLines/>
            </w:pPr>
            <w:r>
              <w:rPr>
                <w:rFonts w:ascii="Consolas" w:hAnsi="Consolas"/>
                <w:color w:val="203448"/>
                <w:sz w:val="14"/>
              </w:rPr>
              <w:t>uvicorn app.main:app --reload --host 127.0.0.1 --port 8000</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Compose commands depend on the final service names</w:t>
            </w:r>
          </w:p>
          <w:p>
            <w:pPr>
              <w:pStyle w:val="TATTVACode"/>
              <w:keepLines/>
            </w:pPr>
            <w:r>
              <w:rPr>
                <w:rFonts w:ascii="Consolas" w:hAnsi="Consolas"/>
                <w:color w:val="203448"/>
                <w:sz w:val="14"/>
              </w:rPr>
              <w:t># docker compose up --build -d</w:t>
            </w:r>
          </w:p>
          <w:p>
            <w:pPr>
              <w:pStyle w:val="TATTVACode"/>
              <w:keepLines/>
            </w:pPr>
            <w:r>
              <w:rPr>
                <w:rFonts w:ascii="Consolas" w:hAnsi="Consolas"/>
                <w:color w:val="203448"/>
                <w:sz w:val="14"/>
              </w:rPr>
              <w:t># docker compose logs -f api worker voice-gateway</w:t>
            </w:r>
          </w:p>
        </w:tc>
      </w:tr>
    </w:tbl>
    <w:p>
      <w:pPr>
        <w:spacing w:after="20"/>
      </w:pPr>
    </w:p>
    <w:p>
      <w:pPr>
        <w:pStyle w:val="Heading2"/>
      </w:pPr>
      <w:r>
        <w:t>19.4 Environment configuration</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APP_ENV=development</w:t>
            </w:r>
          </w:p>
          <w:p>
            <w:pPr>
              <w:pStyle w:val="TATTVACode"/>
              <w:keepLines/>
            </w:pPr>
            <w:r>
              <w:rPr>
                <w:rFonts w:ascii="Consolas" w:hAnsi="Consolas"/>
                <w:color w:val="203448"/>
                <w:sz w:val="14"/>
              </w:rPr>
              <w:t>APP_HOST=0.0.0.0</w:t>
            </w:r>
          </w:p>
          <w:p>
            <w:pPr>
              <w:pStyle w:val="TATTVACode"/>
              <w:keepLines/>
            </w:pPr>
            <w:r>
              <w:rPr>
                <w:rFonts w:ascii="Consolas" w:hAnsi="Consolas"/>
                <w:color w:val="203448"/>
                <w:sz w:val="14"/>
              </w:rPr>
              <w:t>APP_PORT=8000</w:t>
            </w:r>
          </w:p>
          <w:p>
            <w:pPr>
              <w:pStyle w:val="TATTVACode"/>
              <w:keepLines/>
            </w:pPr>
            <w:r>
              <w:rPr>
                <w:rFonts w:ascii="Consolas" w:hAnsi="Consolas"/>
                <w:color w:val="203448"/>
                <w:sz w:val="14"/>
              </w:rPr>
              <w:t>LOG_LEVEL=INFO</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MONGODB_URI=mongodb://localhost:27017</w:t>
            </w:r>
          </w:p>
          <w:p>
            <w:pPr>
              <w:pStyle w:val="TATTVACode"/>
              <w:keepLines/>
            </w:pPr>
            <w:r>
              <w:rPr>
                <w:rFonts w:ascii="Consolas" w:hAnsi="Consolas"/>
                <w:color w:val="203448"/>
                <w:sz w:val="14"/>
              </w:rPr>
              <w:t>MONGODB_DATABASE=tattva_dev</w:t>
            </w:r>
          </w:p>
          <w:p>
            <w:pPr>
              <w:pStyle w:val="TATTVACode"/>
              <w:keepLines/>
            </w:pPr>
            <w:r>
              <w:rPr>
                <w:rFonts w:ascii="Consolas" w:hAnsi="Consolas"/>
                <w:color w:val="203448"/>
                <w:sz w:val="14"/>
              </w:rPr>
              <w:t>REDIS_URL=redis://localhost:6379/0</w:t>
            </w:r>
          </w:p>
          <w:p>
            <w:pPr>
              <w:pStyle w:val="TATTVACode"/>
              <w:keepLines/>
            </w:pPr>
            <w:r>
              <w:rPr>
                <w:rFonts w:ascii="Consolas" w:hAnsi="Consolas"/>
                <w:color w:val="203448"/>
                <w:sz w:val="14"/>
              </w:rPr>
              <w:t>QDRANT_URL=http://localhost:6333</w:t>
            </w:r>
          </w:p>
          <w:p>
            <w:pPr>
              <w:pStyle w:val="TATTVACode"/>
              <w:keepLines/>
            </w:pPr>
            <w:r>
              <w:rPr>
                <w:rFonts w:ascii="Consolas" w:hAnsi="Consolas"/>
                <w:color w:val="203448"/>
                <w:sz w:val="14"/>
              </w:rPr>
              <w:t>QDRANT_COLLECTION=tattva_case_chunks</w:t>
            </w:r>
          </w:p>
          <w:p>
            <w:pPr>
              <w:pStyle w:val="TATTVACode"/>
              <w:keepLines/>
            </w:pPr>
            <w:r>
              <w:rPr>
                <w:rFonts w:ascii="Consolas" w:hAnsi="Consolas"/>
                <w:color w:val="203448"/>
                <w:sz w:val="14"/>
              </w:rPr>
              <w:t>FILE_STORAGE_ROOT=./data/uploads</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CORE_LLM_PROVIDER=hosted_qwen</w:t>
            </w:r>
          </w:p>
          <w:p>
            <w:pPr>
              <w:pStyle w:val="TATTVACode"/>
              <w:keepLines/>
            </w:pPr>
            <w:r>
              <w:rPr>
                <w:rFonts w:ascii="Consolas" w:hAnsi="Consolas"/>
                <w:color w:val="203448"/>
                <w:sz w:val="14"/>
              </w:rPr>
              <w:t>CORE_LLM_BASE_URL=&lt;provider endpoint&gt;</w:t>
            </w:r>
          </w:p>
          <w:p>
            <w:pPr>
              <w:pStyle w:val="TATTVACode"/>
              <w:keepLines/>
            </w:pPr>
            <w:r>
              <w:rPr>
                <w:rFonts w:ascii="Consolas" w:hAnsi="Consolas"/>
                <w:color w:val="203448"/>
                <w:sz w:val="14"/>
              </w:rPr>
              <w:t>CORE_LLM_API_KEY=&lt;secret from environment&gt;</w:t>
            </w:r>
          </w:p>
          <w:p>
            <w:pPr>
              <w:pStyle w:val="TATTVACode"/>
              <w:keepLines/>
            </w:pPr>
            <w:r>
              <w:rPr>
                <w:rFonts w:ascii="Consolas" w:hAnsi="Consolas"/>
                <w:color w:val="203448"/>
                <w:sz w:val="14"/>
              </w:rPr>
              <w:t>CORE_LLM_MODEL=&lt;provider model id&gt;</w:t>
            </w:r>
          </w:p>
          <w:p>
            <w:pPr>
              <w:pStyle w:val="TATTVACode"/>
              <w:keepLines/>
            </w:pPr>
            <w:r>
              <w:rPr>
                <w:rFonts w:ascii="Consolas" w:hAnsi="Consolas"/>
                <w:color w:val="203448"/>
                <w:sz w:val="14"/>
              </w:rPr>
              <w:t>CORE_LLM_TIMEOUT_SECONDS=45</w:t>
            </w:r>
          </w:p>
          <w:p>
            <w:pPr>
              <w:pStyle w:val="TATTVACode"/>
              <w:keepLines/>
            </w:pPr>
            <w:r>
              <w:rPr>
                <w:rFonts w:ascii="Consolas" w:hAnsi="Consolas"/>
                <w:color w:val="203448"/>
                <w:sz w:val="14"/>
              </w:rPr>
              <w:t>CORE_LLM_MAX_OUTPUT_TOKENS=2048</w:t>
            </w:r>
          </w:p>
          <w:p>
            <w:pPr>
              <w:pStyle w:val="TATTVACode"/>
              <w:keepLines/>
            </w:pPr>
            <w:r>
              <w:rPr>
                <w:rFonts w:ascii="Consolas" w:hAnsi="Consolas"/>
                <w:color w:val="203448"/>
                <w:sz w:val="14"/>
              </w:rPr>
              <w:t>CORE_LLM_MAX_COST_PER_RUN=&lt;configured budget&gt;</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GEMINI_API_KEY=&lt;server-side secret&gt;</w:t>
            </w:r>
          </w:p>
          <w:p>
            <w:pPr>
              <w:pStyle w:val="TATTVACode"/>
              <w:keepLines/>
            </w:pPr>
            <w:r>
              <w:rPr>
                <w:rFonts w:ascii="Consolas" w:hAnsi="Consolas"/>
                <w:color w:val="203448"/>
                <w:sz w:val="14"/>
              </w:rPr>
              <w:t>GEMINI_LIVE_MODEL=&lt;current supported Live model id&gt;</w:t>
            </w:r>
          </w:p>
          <w:p>
            <w:pPr>
              <w:pStyle w:val="TATTVACode"/>
              <w:keepLines/>
            </w:pPr>
            <w:r>
              <w:rPr>
                <w:rFonts w:ascii="Consolas" w:hAnsi="Consolas"/>
                <w:color w:val="203448"/>
                <w:sz w:val="14"/>
              </w:rPr>
              <w:t>VOICE_GATEWAY_URL=ws://localhost:&lt;configured-port&gt;</w:t>
            </w:r>
          </w:p>
          <w:p>
            <w:pPr>
              <w:pStyle w:val="TATTVACode"/>
              <w:keepLines/>
            </w:pPr>
            <w:r>
              <w:rPr>
                <w:rFonts w:ascii="Consolas" w:hAnsi="Consolas"/>
                <w:color w:val="203448"/>
                <w:sz w:val="14"/>
              </w:rPr>
              <w:t>ALLOWED_ORIGINS=http://localhost:3000</w:t>
            </w:r>
          </w:p>
          <w:p>
            <w:pPr>
              <w:pStyle w:val="TATTVACode"/>
              <w:keepLines/>
            </w:pPr>
            <w:r>
              <w:rPr>
                <w:rFonts w:ascii="Consolas" w:hAnsi="Consolas"/>
                <w:color w:val="203448"/>
                <w:sz w:val="14"/>
              </w:rPr>
              <w:t>MAX_UPLOAD_MB=25</w:t>
            </w:r>
          </w:p>
          <w:p>
            <w:pPr>
              <w:pStyle w:val="TATTVACode"/>
              <w:keepLines/>
            </w:pPr>
            <w:r>
              <w:rPr>
                <w:rFonts w:ascii="Consolas" w:hAnsi="Consolas"/>
                <w:color w:val="203448"/>
                <w:sz w:val="14"/>
              </w:rPr>
              <w:t>MAX_TASKS_PER_RUN=20</w:t>
            </w:r>
          </w:p>
          <w:p>
            <w:pPr>
              <w:pStyle w:val="TATTVACode"/>
              <w:keepLines/>
            </w:pPr>
            <w:r>
              <w:rPr>
                <w:rFonts w:ascii="Consolas" w:hAnsi="Consolas"/>
                <w:color w:val="203448"/>
                <w:sz w:val="14"/>
              </w:rPr>
              <w:t>MAX_REPLAN_ROUNDS=2</w:t>
            </w:r>
          </w:p>
          <w:p>
            <w:pPr>
              <w:pStyle w:val="TATTVACode"/>
              <w:keepLines/>
            </w:pPr>
            <w:r>
              <w:rPr>
                <w:rFonts w:ascii="Consolas" w:hAnsi="Consolas"/>
                <w:color w:val="203448"/>
                <w:sz w:val="14"/>
              </w:rPr>
              <w:t>MAX_RETRIES_PER_TASK=1</w:t>
            </w:r>
          </w:p>
          <w:p>
            <w:pPr>
              <w:pStyle w:val="TATTVACode"/>
              <w:keepLines/>
            </w:pPr>
            <w:r>
              <w:rPr>
                <w:rFonts w:ascii="Consolas" w:hAnsi="Consolas"/>
                <w:color w:val="203448"/>
                <w:sz w:val="14"/>
              </w:rPr>
              <w:t>MAX_CONCURRENT_TASKS=3</w:t>
            </w:r>
          </w:p>
        </w:tc>
      </w:tr>
    </w:tbl>
    <w:p>
      <w:pPr>
        <w:spacing w:after="20"/>
      </w:pPr>
    </w:p>
    <w:p>
      <w:r>
        <w:rPr>
          <w:i w:val="0"/>
        </w:rPr>
        <w:t>Angle-bracket values are placeholders and must be replaced. Use current provider documentation to choose a supported model ID and confirm account access, data controls and rate limits. Do not expose secrets as `NEXT_PUBLIC_*` frontend variables.</w:t>
      </w:r>
    </w:p>
    <w:p>
      <w:pPr>
        <w:pStyle w:val="Heading2"/>
      </w:pPr>
      <w:r>
        <w:t>19.5 Health and observability</w:t>
      </w:r>
    </w:p>
    <w:p>
      <w:pPr>
        <w:pStyle w:val="ListBullet"/>
        <w:spacing w:after="40"/>
        <w:ind w:left="360"/>
      </w:pPr>
      <w:r>
        <w:t>`/healthz`: process is alive; should not require every upstream provider to be healthy.</w:t>
      </w:r>
    </w:p>
    <w:p>
      <w:pPr>
        <w:pStyle w:val="ListBullet"/>
        <w:spacing w:after="40"/>
        <w:ind w:left="360"/>
      </w:pPr>
      <w:r>
        <w:t>`/readyz`: MongoDB, queue and Qdrant connections/collection are available; do not run a full LLM completion on every health probe.</w:t>
      </w:r>
    </w:p>
    <w:p>
      <w:pPr>
        <w:pStyle w:val="ListBullet"/>
        <w:spacing w:after="40"/>
        <w:ind w:left="360"/>
      </w:pPr>
      <w:r>
        <w:t>Log structured fields: request_id, user_id pseudonymous ID, case_id, run_id, task_id, provider, model_version, duration_ms, attempt and status.</w:t>
      </w:r>
    </w:p>
    <w:p>
      <w:pPr>
        <w:pStyle w:val="ListBullet"/>
        <w:spacing w:after="40"/>
        <w:ind w:left="360"/>
      </w:pPr>
      <w:r>
        <w:t>Record LLM token usage/cost if provider supplies it; never log API keys or full sensitive evidence by default.</w:t>
      </w:r>
    </w:p>
    <w:p>
      <w:pPr>
        <w:pStyle w:val="ListBullet"/>
        <w:spacing w:after="40"/>
        <w:ind w:left="360"/>
      </w:pPr>
      <w:r>
        <w:t>Expose metrics for queue depth, task latency, provider errors, run outcomes, event-delivery lag and RAG results.</w:t>
      </w:r>
    </w:p>
    <w:p>
      <w:pPr>
        <w:pStyle w:val="Heading1"/>
      </w:pPr>
      <w:r>
        <w:t>20. Phased implementation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90" w:type="dxa"/>
              <w:start w:w="110" w:type="dxa"/>
              <w:bottom w:w="90" w:type="dxa"/>
              <w:end w:w="110" w:type="dxa"/>
            </w:tcMar>
            <w:shd w:fill="1D3B55"/>
          </w:tcPr>
          <w:p>
            <w:pPr>
              <w:spacing w:after="0" w:line="240" w:lineRule="auto"/>
            </w:pPr>
            <w:r/>
            <w:r>
              <w:rPr>
                <w:rFonts w:ascii="Arial" w:hAnsi="Arial"/>
                <w:b/>
                <w:color w:val="FFFFFF"/>
                <w:sz w:val="16"/>
              </w:rPr>
              <w:t>Phase</w:t>
            </w:r>
          </w:p>
        </w:tc>
        <w:tc>
          <w:tcPr>
            <w:tcW w:type="dxa" w:w="4752"/>
            <w:vAlign w:val="center"/>
            <w:tcMar>
              <w:top w:w="90" w:type="dxa"/>
              <w:start w:w="110" w:type="dxa"/>
              <w:bottom w:w="90" w:type="dxa"/>
              <w:end w:w="110" w:type="dxa"/>
            </w:tcMar>
            <w:shd w:fill="1D3B55"/>
          </w:tcPr>
          <w:p>
            <w:pPr>
              <w:spacing w:after="0" w:line="240" w:lineRule="auto"/>
            </w:pPr>
            <w:r/>
            <w:r>
              <w:rPr>
                <w:rFonts w:ascii="Arial" w:hAnsi="Arial"/>
                <w:b/>
                <w:color w:val="FFFFFF"/>
                <w:sz w:val="16"/>
              </w:rPr>
              <w:t>Build items</w:t>
            </w:r>
          </w:p>
        </w:tc>
        <w:tc>
          <w:tcPr>
            <w:tcW w:type="dxa" w:w="3240"/>
            <w:vAlign w:val="center"/>
            <w:tcMar>
              <w:top w:w="90" w:type="dxa"/>
              <w:start w:w="110" w:type="dxa"/>
              <w:bottom w:w="90" w:type="dxa"/>
              <w:end w:w="110" w:type="dxa"/>
            </w:tcMar>
            <w:shd w:fill="1D3B55"/>
          </w:tcPr>
          <w:p>
            <w:pPr>
              <w:spacing w:after="0" w:line="240" w:lineRule="auto"/>
            </w:pPr>
            <w:r/>
            <w:r>
              <w:rPr>
                <w:rFonts w:ascii="Arial" w:hAnsi="Arial"/>
                <w:b/>
                <w:color w:val="FFFFFF"/>
                <w:sz w:val="16"/>
              </w:rPr>
              <w:t>Exit criterion</w:t>
            </w:r>
          </w:p>
        </w:tc>
      </w:tr>
      <w:tr>
        <w:tc>
          <w:tcPr>
            <w:tcW w:type="dxa" w:w="1800"/>
            <w:vAlign w:val="center"/>
            <w:tcMar>
              <w:top w:w="90" w:type="dxa"/>
              <w:start w:w="110" w:type="dxa"/>
              <w:bottom w:w="90" w:type="dxa"/>
              <w:end w:w="110" w:type="dxa"/>
            </w:tcMar>
          </w:tcPr>
          <w:p>
            <w:pPr>
              <w:spacing w:after="0" w:line="240" w:lineRule="auto"/>
            </w:pPr>
            <w:r/>
            <w:r>
              <w:rPr>
                <w:rFonts w:ascii="Arial" w:hAnsi="Arial"/>
                <w:b w:val="0"/>
                <w:color w:val="18242F"/>
                <w:sz w:val="14"/>
              </w:rPr>
              <w:t>P0: Contract freeze</w:t>
            </w:r>
          </w:p>
        </w:tc>
        <w:tc>
          <w:tcPr>
            <w:tcW w:type="dxa" w:w="4752"/>
            <w:vAlign w:val="center"/>
            <w:tcMar>
              <w:top w:w="90" w:type="dxa"/>
              <w:start w:w="110" w:type="dxa"/>
              <w:bottom w:w="90" w:type="dxa"/>
              <w:end w:w="110" w:type="dxa"/>
            </w:tcMar>
          </w:tcPr>
          <w:p>
            <w:pPr>
              <w:spacing w:after="0" w:line="240" w:lineRule="auto"/>
            </w:pPr>
            <w:r/>
            <w:r>
              <w:rPr>
                <w:rFonts w:ascii="Arial" w:hAnsi="Arial"/>
                <w:b w:val="0"/>
                <w:color w:val="18242F"/>
                <w:sz w:val="14"/>
              </w:rPr>
              <w:t>Approve IDs, statuses, TaskSpec, event envelope, API routes, LLM provider interface, case security policy.</w:t>
            </w:r>
          </w:p>
        </w:tc>
        <w:tc>
          <w:tcPr>
            <w:tcW w:type="dxa" w:w="3240"/>
            <w:vAlign w:val="center"/>
            <w:tcMar>
              <w:top w:w="90" w:type="dxa"/>
              <w:start w:w="110" w:type="dxa"/>
              <w:bottom w:w="90" w:type="dxa"/>
              <w:end w:w="110" w:type="dxa"/>
            </w:tcMar>
          </w:tcPr>
          <w:p>
            <w:pPr>
              <w:spacing w:after="0" w:line="240" w:lineRule="auto"/>
            </w:pPr>
            <w:r/>
            <w:r>
              <w:rPr>
                <w:rFonts w:ascii="Arial" w:hAnsi="Arial"/>
                <w:b w:val="0"/>
                <w:color w:val="18242F"/>
                <w:sz w:val="14"/>
              </w:rPr>
              <w:t>OpenAPI + schema examples reviewed; no contradictory state vocabulary.</w:t>
            </w:r>
          </w:p>
        </w:tc>
      </w:tr>
      <w:tr>
        <w:tc>
          <w:tcPr>
            <w:tcW w:type="dxa" w:w="180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P1: Foundation</w:t>
            </w:r>
          </w:p>
        </w:tc>
        <w:tc>
          <w:tcPr>
            <w:tcW w:type="dxa" w:w="475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FastAPI app, settings, auth stub for local dev, Mongo repositories/indexes, file storage, case/document CRUD.</w:t>
            </w:r>
          </w:p>
        </w:tc>
        <w:tc>
          <w:tcPr>
            <w:tcW w:type="dxa" w:w="324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Synthetic case can be created and three documents persisted with hash/status.</w:t>
            </w:r>
          </w:p>
        </w:tc>
      </w:tr>
      <w:tr>
        <w:tc>
          <w:tcPr>
            <w:tcW w:type="dxa" w:w="1800"/>
            <w:vAlign w:val="center"/>
            <w:tcMar>
              <w:top w:w="90" w:type="dxa"/>
              <w:start w:w="110" w:type="dxa"/>
              <w:bottom w:w="90" w:type="dxa"/>
              <w:end w:w="110" w:type="dxa"/>
            </w:tcMar>
          </w:tcPr>
          <w:p>
            <w:pPr>
              <w:spacing w:after="0" w:line="240" w:lineRule="auto"/>
            </w:pPr>
            <w:r/>
            <w:r>
              <w:rPr>
                <w:rFonts w:ascii="Arial" w:hAnsi="Arial"/>
                <w:b w:val="0"/>
                <w:color w:val="18242F"/>
                <w:sz w:val="14"/>
              </w:rPr>
              <w:t>P2: Ingestion + RAG</w:t>
            </w:r>
          </w:p>
        </w:tc>
        <w:tc>
          <w:tcPr>
            <w:tcW w:type="dxa" w:w="4752"/>
            <w:vAlign w:val="center"/>
            <w:tcMar>
              <w:top w:w="90" w:type="dxa"/>
              <w:start w:w="110" w:type="dxa"/>
              <w:bottom w:w="90" w:type="dxa"/>
              <w:end w:w="110" w:type="dxa"/>
            </w:tcMar>
          </w:tcPr>
          <w:p>
            <w:pPr>
              <w:spacing w:after="0" w:line="240" w:lineRule="auto"/>
            </w:pPr>
            <w:r/>
            <w:r>
              <w:rPr>
                <w:rFonts w:ascii="Arial" w:hAnsi="Arial"/>
                <w:b w:val="0"/>
                <w:color w:val="18242F"/>
                <w:sz w:val="14"/>
              </w:rPr>
              <w:t>Text extraction, chunk offsets, embeddings, Qdrant case filters, source-cited query endpoint.</w:t>
            </w:r>
          </w:p>
        </w:tc>
        <w:tc>
          <w:tcPr>
            <w:tcW w:type="dxa" w:w="3240"/>
            <w:vAlign w:val="center"/>
            <w:tcMar>
              <w:top w:w="90" w:type="dxa"/>
              <w:start w:w="110" w:type="dxa"/>
              <w:bottom w:w="90" w:type="dxa"/>
              <w:end w:w="110" w:type="dxa"/>
            </w:tcMar>
          </w:tcPr>
          <w:p>
            <w:pPr>
              <w:spacing w:after="0" w:line="240" w:lineRule="auto"/>
            </w:pPr>
            <w:r/>
            <w:r>
              <w:rPr>
                <w:rFonts w:ascii="Arial" w:hAnsi="Arial"/>
                <w:b w:val="0"/>
                <w:color w:val="18242F"/>
                <w:sz w:val="14"/>
              </w:rPr>
              <w:t>Cross-case retrieval tests pass; all retrieved chunks resolve to source.</w:t>
            </w:r>
          </w:p>
        </w:tc>
      </w:tr>
      <w:tr>
        <w:tc>
          <w:tcPr>
            <w:tcW w:type="dxa" w:w="180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P3: Evidence graph</w:t>
            </w:r>
          </w:p>
        </w:tc>
        <w:tc>
          <w:tcPr>
            <w:tcW w:type="dxa" w:w="475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Entity extraction, mention/evidence records, candidate edges, verifier, contradiction rules, NetworkX graph API.</w:t>
            </w:r>
          </w:p>
        </w:tc>
        <w:tc>
          <w:tcPr>
            <w:tcW w:type="dxa" w:w="324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Co-mention-only is not marked supported; graph edges link to source spans.</w:t>
            </w:r>
          </w:p>
        </w:tc>
      </w:tr>
      <w:tr>
        <w:tc>
          <w:tcPr>
            <w:tcW w:type="dxa" w:w="1800"/>
            <w:vAlign w:val="center"/>
            <w:tcMar>
              <w:top w:w="90" w:type="dxa"/>
              <w:start w:w="110" w:type="dxa"/>
              <w:bottom w:w="90" w:type="dxa"/>
              <w:end w:w="110" w:type="dxa"/>
            </w:tcMar>
          </w:tcPr>
          <w:p>
            <w:pPr>
              <w:spacing w:after="0" w:line="240" w:lineRule="auto"/>
            </w:pPr>
            <w:r/>
            <w:r>
              <w:rPr>
                <w:rFonts w:ascii="Arial" w:hAnsi="Arial"/>
                <w:b w:val="0"/>
                <w:color w:val="18242F"/>
                <w:sz w:val="14"/>
              </w:rPr>
              <w:t>P4: Bounded orchestration</w:t>
            </w:r>
          </w:p>
        </w:tc>
        <w:tc>
          <w:tcPr>
            <w:tcW w:type="dxa" w:w="4752"/>
            <w:vAlign w:val="center"/>
            <w:tcMar>
              <w:top w:w="90" w:type="dxa"/>
              <w:start w:w="110" w:type="dxa"/>
              <w:bottom w:w="90" w:type="dxa"/>
              <w:end w:w="110" w:type="dxa"/>
            </w:tcMar>
          </w:tcPr>
          <w:p>
            <w:pPr>
              <w:spacing w:after="0" w:line="240" w:lineRule="auto"/>
            </w:pPr>
            <w:r/>
            <w:r>
              <w:rPr>
                <w:rFonts w:ascii="Arial" w:hAnsi="Arial"/>
                <w:b w:val="0"/>
                <w:color w:val="18242F"/>
                <w:sz w:val="14"/>
              </w:rPr>
              <w:t>TaskSpec DAG, scheduler, queue worker, concurrency/retry/replan/cancel bounds and persistence.</w:t>
            </w:r>
          </w:p>
        </w:tc>
        <w:tc>
          <w:tcPr>
            <w:tcW w:type="dxa" w:w="3240"/>
            <w:vAlign w:val="center"/>
            <w:tcMar>
              <w:top w:w="90" w:type="dxa"/>
              <w:start w:w="110" w:type="dxa"/>
              <w:bottom w:w="90" w:type="dxa"/>
              <w:end w:w="110" w:type="dxa"/>
            </w:tcMar>
          </w:tcPr>
          <w:p>
            <w:pPr>
              <w:spacing w:after="0" w:line="240" w:lineRule="auto"/>
            </w:pPr>
            <w:r/>
            <w:r>
              <w:rPr>
                <w:rFonts w:ascii="Arial" w:hAnsi="Arial"/>
                <w:b w:val="0"/>
                <w:color w:val="18242F"/>
                <w:sz w:val="14"/>
              </w:rPr>
              <w:t>Analysis run executes expected tasks; restart does not silently lose state.</w:t>
            </w:r>
          </w:p>
        </w:tc>
      </w:tr>
      <w:tr>
        <w:tc>
          <w:tcPr>
            <w:tcW w:type="dxa" w:w="180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P5: Live dashboard</w:t>
            </w:r>
          </w:p>
        </w:tc>
        <w:tc>
          <w:tcPr>
            <w:tcW w:type="dxa" w:w="475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SSE replay/live delivery, frontend event mapping, real entity/edge highlighting, partial/failure states.</w:t>
            </w:r>
          </w:p>
        </w:tc>
        <w:tc>
          <w:tcPr>
            <w:tcW w:type="dxa" w:w="324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Every rendered step has a corresponding persisted event/state transition.</w:t>
            </w:r>
          </w:p>
        </w:tc>
      </w:tr>
      <w:tr>
        <w:tc>
          <w:tcPr>
            <w:tcW w:type="dxa" w:w="1800"/>
            <w:vAlign w:val="center"/>
            <w:tcMar>
              <w:top w:w="90" w:type="dxa"/>
              <w:start w:w="110" w:type="dxa"/>
              <w:bottom w:w="90" w:type="dxa"/>
              <w:end w:w="110" w:type="dxa"/>
            </w:tcMar>
          </w:tcPr>
          <w:p>
            <w:pPr>
              <w:spacing w:after="0" w:line="240" w:lineRule="auto"/>
            </w:pPr>
            <w:r/>
            <w:r>
              <w:rPr>
                <w:rFonts w:ascii="Arial" w:hAnsi="Arial"/>
                <w:b w:val="0"/>
                <w:color w:val="18242F"/>
                <w:sz w:val="14"/>
              </w:rPr>
              <w:t>P6: Voice</w:t>
            </w:r>
          </w:p>
        </w:tc>
        <w:tc>
          <w:tcPr>
            <w:tcW w:type="dxa" w:w="4752"/>
            <w:vAlign w:val="center"/>
            <w:tcMar>
              <w:top w:w="90" w:type="dxa"/>
              <w:start w:w="110" w:type="dxa"/>
              <w:bottom w:w="90" w:type="dxa"/>
              <w:end w:w="110" w:type="dxa"/>
            </w:tcMar>
          </w:tcPr>
          <w:p>
            <w:pPr>
              <w:spacing w:after="0" w:line="240" w:lineRule="auto"/>
            </w:pPr>
            <w:r/>
            <w:r>
              <w:rPr>
                <w:rFonts w:ascii="Arial" w:hAnsi="Arial"/>
                <w:b w:val="0"/>
                <w:color w:val="18242F"/>
                <w:sz w:val="14"/>
              </w:rPr>
              <w:t>Reconnect existing Gemini Live gateway, strict intent schema, allowed voice tools, transcript/audit and spoken summaries.</w:t>
            </w:r>
          </w:p>
        </w:tc>
        <w:tc>
          <w:tcPr>
            <w:tcW w:type="dxa" w:w="3240"/>
            <w:vAlign w:val="center"/>
            <w:tcMar>
              <w:top w:w="90" w:type="dxa"/>
              <w:start w:w="110" w:type="dxa"/>
              <w:bottom w:w="90" w:type="dxa"/>
              <w:end w:w="110" w:type="dxa"/>
            </w:tcMar>
          </w:tcPr>
          <w:p>
            <w:pPr>
              <w:spacing w:after="0" w:line="240" w:lineRule="auto"/>
            </w:pPr>
            <w:r/>
            <w:r>
              <w:rPr>
                <w:rFonts w:ascii="Arial" w:hAnsi="Arial"/>
                <w:b w:val="0"/>
                <w:color w:val="18242F"/>
                <w:sz w:val="14"/>
              </w:rPr>
              <w:t>Fixed 20-command suite and unauthorized-action tests pass.</w:t>
            </w:r>
          </w:p>
        </w:tc>
      </w:tr>
      <w:tr>
        <w:tc>
          <w:tcPr>
            <w:tcW w:type="dxa" w:w="180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P7: Evaluation/hardening</w:t>
            </w:r>
          </w:p>
        </w:tc>
        <w:tc>
          <w:tcPr>
            <w:tcW w:type="dxa" w:w="4752"/>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Benchmark, prompt injection, performance profiling, report review flow, deployment runbook.</w:t>
            </w:r>
          </w:p>
        </w:tc>
        <w:tc>
          <w:tcPr>
            <w:tcW w:type="dxa" w:w="324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Acceptance checks signed off; known limitations documented.</w:t>
            </w:r>
          </w:p>
        </w:tc>
      </w:tr>
    </w:tbl>
    <w:p>
      <w:pPr>
        <w:spacing w:after="20"/>
      </w:pPr>
    </w:p>
    <w:p>
      <w:pPr>
        <w:pStyle w:val="Heading2"/>
      </w:pPr>
      <w:r>
        <w:t>20.1 Suggested team split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90" w:type="dxa"/>
              <w:start w:w="110" w:type="dxa"/>
              <w:bottom w:w="90" w:type="dxa"/>
              <w:end w:w="110" w:type="dxa"/>
            </w:tcMar>
            <w:shd w:fill="1D3B55"/>
          </w:tcPr>
          <w:p>
            <w:pPr>
              <w:spacing w:after="0" w:line="240" w:lineRule="auto"/>
            </w:pPr>
            <w:r/>
            <w:r>
              <w:rPr>
                <w:rFonts w:ascii="Arial" w:hAnsi="Arial"/>
                <w:b/>
                <w:color w:val="FFFFFF"/>
                <w:sz w:val="16"/>
              </w:rPr>
              <w:t>Workstream</w:t>
            </w:r>
          </w:p>
        </w:tc>
        <w:tc>
          <w:tcPr>
            <w:tcW w:type="dxa" w:w="3888"/>
            <w:vAlign w:val="center"/>
            <w:tcMar>
              <w:top w:w="90" w:type="dxa"/>
              <w:start w:w="110" w:type="dxa"/>
              <w:bottom w:w="90" w:type="dxa"/>
              <w:end w:w="110" w:type="dxa"/>
            </w:tcMar>
            <w:shd w:fill="1D3B55"/>
          </w:tcPr>
          <w:p>
            <w:pPr>
              <w:spacing w:after="0" w:line="240" w:lineRule="auto"/>
            </w:pPr>
            <w:r/>
            <w:r>
              <w:rPr>
                <w:rFonts w:ascii="Arial" w:hAnsi="Arial"/>
                <w:b/>
                <w:color w:val="FFFFFF"/>
                <w:sz w:val="16"/>
              </w:rPr>
              <w:t>Owns</w:t>
            </w:r>
          </w:p>
        </w:tc>
        <w:tc>
          <w:tcPr>
            <w:tcW w:type="dxa" w:w="4104"/>
            <w:vAlign w:val="center"/>
            <w:tcMar>
              <w:top w:w="90" w:type="dxa"/>
              <w:start w:w="110" w:type="dxa"/>
              <w:bottom w:w="90" w:type="dxa"/>
              <w:end w:w="110" w:type="dxa"/>
            </w:tcMar>
            <w:shd w:fill="1D3B55"/>
          </w:tcPr>
          <w:p>
            <w:pPr>
              <w:spacing w:after="0" w:line="240" w:lineRule="auto"/>
            </w:pPr>
            <w:r/>
            <w:r>
              <w:rPr>
                <w:rFonts w:ascii="Arial" w:hAnsi="Arial"/>
                <w:b/>
                <w:color w:val="FFFFFF"/>
                <w:sz w:val="16"/>
              </w:rPr>
              <w:t>Interfaces to agree</w:t>
            </w:r>
          </w:p>
        </w:tc>
      </w:tr>
      <w:tr>
        <w:tc>
          <w:tcPr>
            <w:tcW w:type="dxa" w:w="1800"/>
            <w:vAlign w:val="center"/>
            <w:tcMar>
              <w:top w:w="90" w:type="dxa"/>
              <w:start w:w="110" w:type="dxa"/>
              <w:bottom w:w="90" w:type="dxa"/>
              <w:end w:w="110" w:type="dxa"/>
            </w:tcMar>
          </w:tcPr>
          <w:p>
            <w:pPr>
              <w:spacing w:after="0" w:line="240" w:lineRule="auto"/>
            </w:pPr>
            <w:r/>
            <w:r>
              <w:rPr>
                <w:rFonts w:ascii="Arial" w:hAnsi="Arial"/>
                <w:b w:val="0"/>
                <w:color w:val="18242F"/>
                <w:sz w:val="15"/>
              </w:rPr>
              <w:t>Backend / API</w:t>
            </w:r>
          </w:p>
        </w:tc>
        <w:tc>
          <w:tcPr>
            <w:tcW w:type="dxa" w:w="3888"/>
            <w:vAlign w:val="center"/>
            <w:tcMar>
              <w:top w:w="90" w:type="dxa"/>
              <w:start w:w="110" w:type="dxa"/>
              <w:bottom w:w="90" w:type="dxa"/>
              <w:end w:w="110" w:type="dxa"/>
            </w:tcMar>
          </w:tcPr>
          <w:p>
            <w:pPr>
              <w:spacing w:after="0" w:line="240" w:lineRule="auto"/>
            </w:pPr>
            <w:r/>
            <w:r>
              <w:rPr>
                <w:rFonts w:ascii="Arial" w:hAnsi="Arial"/>
                <w:b w:val="0"/>
                <w:color w:val="18242F"/>
                <w:sz w:val="15"/>
              </w:rPr>
              <w:t>Cases, documents, repositories, schemas, auth</w:t>
            </w:r>
          </w:p>
        </w:tc>
        <w:tc>
          <w:tcPr>
            <w:tcW w:type="dxa" w:w="4104"/>
            <w:vAlign w:val="center"/>
            <w:tcMar>
              <w:top w:w="90" w:type="dxa"/>
              <w:start w:w="110" w:type="dxa"/>
              <w:bottom w:w="90" w:type="dxa"/>
              <w:end w:w="110" w:type="dxa"/>
            </w:tcMar>
          </w:tcPr>
          <w:p>
            <w:pPr>
              <w:spacing w:after="0" w:line="240" w:lineRule="auto"/>
            </w:pPr>
            <w:r/>
            <w:r>
              <w:rPr>
                <w:rFonts w:ascii="Arial" w:hAnsi="Arial"/>
                <w:b w:val="0"/>
                <w:color w:val="18242F"/>
                <w:sz w:val="15"/>
              </w:rPr>
              <w:t>API contracts, IDs, errors, storage schema</w:t>
            </w:r>
          </w:p>
        </w:tc>
      </w:tr>
      <w:tr>
        <w:tc>
          <w:tcPr>
            <w:tcW w:type="dxa" w:w="180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Orchestration</w:t>
            </w:r>
          </w:p>
        </w:tc>
        <w:tc>
          <w:tcPr>
            <w:tcW w:type="dxa" w:w="388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DAG, TaskSpec, queue, retries, run states</w:t>
            </w:r>
          </w:p>
        </w:tc>
        <w:tc>
          <w:tcPr>
            <w:tcW w:type="dxa" w:w="410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Task registry, event types, bounded limits</w:t>
            </w:r>
          </w:p>
        </w:tc>
      </w:tr>
      <w:tr>
        <w:tc>
          <w:tcPr>
            <w:tcW w:type="dxa" w:w="1800"/>
            <w:vAlign w:val="center"/>
            <w:tcMar>
              <w:top w:w="90" w:type="dxa"/>
              <w:start w:w="110" w:type="dxa"/>
              <w:bottom w:w="90" w:type="dxa"/>
              <w:end w:w="110" w:type="dxa"/>
            </w:tcMar>
          </w:tcPr>
          <w:p>
            <w:pPr>
              <w:spacing w:after="0" w:line="240" w:lineRule="auto"/>
            </w:pPr>
            <w:r/>
            <w:r>
              <w:rPr>
                <w:rFonts w:ascii="Arial" w:hAnsi="Arial"/>
                <w:b w:val="0"/>
                <w:color w:val="18242F"/>
                <w:sz w:val="15"/>
              </w:rPr>
              <w:t>LLM + RAG</w:t>
            </w:r>
          </w:p>
        </w:tc>
        <w:tc>
          <w:tcPr>
            <w:tcW w:type="dxa" w:w="3888"/>
            <w:vAlign w:val="center"/>
            <w:tcMar>
              <w:top w:w="90" w:type="dxa"/>
              <w:start w:w="110" w:type="dxa"/>
              <w:bottom w:w="90" w:type="dxa"/>
              <w:end w:w="110" w:type="dxa"/>
            </w:tcMar>
          </w:tcPr>
          <w:p>
            <w:pPr>
              <w:spacing w:after="0" w:line="240" w:lineRule="auto"/>
            </w:pPr>
            <w:r/>
            <w:r>
              <w:rPr>
                <w:rFonts w:ascii="Arial" w:hAnsi="Arial"/>
                <w:b w:val="0"/>
                <w:color w:val="18242F"/>
                <w:sz w:val="15"/>
              </w:rPr>
              <w:t>CoreLLMProvider, extraction prompts, retrieval, citations</w:t>
            </w:r>
          </w:p>
        </w:tc>
        <w:tc>
          <w:tcPr>
            <w:tcW w:type="dxa" w:w="4104"/>
            <w:vAlign w:val="center"/>
            <w:tcMar>
              <w:top w:w="90" w:type="dxa"/>
              <w:start w:w="110" w:type="dxa"/>
              <w:bottom w:w="90" w:type="dxa"/>
              <w:end w:w="110" w:type="dxa"/>
            </w:tcMar>
          </w:tcPr>
          <w:p>
            <w:pPr>
              <w:spacing w:after="0" w:line="240" w:lineRule="auto"/>
            </w:pPr>
            <w:r/>
            <w:r>
              <w:rPr>
                <w:rFonts w:ascii="Arial" w:hAnsi="Arial"/>
                <w:b w:val="0"/>
                <w:color w:val="18242F"/>
                <w:sz w:val="15"/>
              </w:rPr>
              <w:t>Structured schemas, citation payload, model config</w:t>
            </w:r>
          </w:p>
        </w:tc>
      </w:tr>
      <w:tr>
        <w:tc>
          <w:tcPr>
            <w:tcW w:type="dxa" w:w="180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Evidence + graph</w:t>
            </w:r>
          </w:p>
        </w:tc>
        <w:tc>
          <w:tcPr>
            <w:tcW w:type="dxa" w:w="388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Verifier, contradictions, NetworkX, anomaly rules</w:t>
            </w:r>
          </w:p>
        </w:tc>
        <w:tc>
          <w:tcPr>
            <w:tcW w:type="dxa" w:w="410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Edge status vocabulary, source-span contract</w:t>
            </w:r>
          </w:p>
        </w:tc>
      </w:tr>
      <w:tr>
        <w:tc>
          <w:tcPr>
            <w:tcW w:type="dxa" w:w="1800"/>
            <w:vAlign w:val="center"/>
            <w:tcMar>
              <w:top w:w="90" w:type="dxa"/>
              <w:start w:w="110" w:type="dxa"/>
              <w:bottom w:w="90" w:type="dxa"/>
              <w:end w:w="110" w:type="dxa"/>
            </w:tcMar>
          </w:tcPr>
          <w:p>
            <w:pPr>
              <w:spacing w:after="0" w:line="240" w:lineRule="auto"/>
            </w:pPr>
            <w:r/>
            <w:r>
              <w:rPr>
                <w:rFonts w:ascii="Arial" w:hAnsi="Arial"/>
                <w:b w:val="0"/>
                <w:color w:val="18242F"/>
                <w:sz w:val="15"/>
              </w:rPr>
              <w:t>Voice + UI</w:t>
            </w:r>
          </w:p>
        </w:tc>
        <w:tc>
          <w:tcPr>
            <w:tcW w:type="dxa" w:w="3888"/>
            <w:vAlign w:val="center"/>
            <w:tcMar>
              <w:top w:w="90" w:type="dxa"/>
              <w:start w:w="110" w:type="dxa"/>
              <w:bottom w:w="90" w:type="dxa"/>
              <w:end w:w="110" w:type="dxa"/>
            </w:tcMar>
          </w:tcPr>
          <w:p>
            <w:pPr>
              <w:spacing w:after="0" w:line="240" w:lineRule="auto"/>
            </w:pPr>
            <w:r/>
            <w:r>
              <w:rPr>
                <w:rFonts w:ascii="Arial" w:hAnsi="Arial"/>
                <w:b w:val="0"/>
                <w:color w:val="18242F"/>
                <w:sz w:val="15"/>
              </w:rPr>
              <w:t>Gemini Live, frontend event stream, cinematic visualization</w:t>
            </w:r>
          </w:p>
        </w:tc>
        <w:tc>
          <w:tcPr>
            <w:tcW w:type="dxa" w:w="4104"/>
            <w:vAlign w:val="center"/>
            <w:tcMar>
              <w:top w:w="90" w:type="dxa"/>
              <w:start w:w="110" w:type="dxa"/>
              <w:bottom w:w="90" w:type="dxa"/>
              <w:end w:w="110" w:type="dxa"/>
            </w:tcMar>
          </w:tcPr>
          <w:p>
            <w:pPr>
              <w:spacing w:after="0" w:line="240" w:lineRule="auto"/>
            </w:pPr>
            <w:r/>
            <w:r>
              <w:rPr>
                <w:rFonts w:ascii="Arial" w:hAnsi="Arial"/>
                <w:b w:val="0"/>
                <w:color w:val="18242F"/>
                <w:sz w:val="15"/>
              </w:rPr>
              <w:t>Voice intent schema, event envelope, transcript behavior</w:t>
            </w:r>
          </w:p>
        </w:tc>
      </w:tr>
      <w:tr>
        <w:tc>
          <w:tcPr>
            <w:tcW w:type="dxa" w:w="1800"/>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QA / data</w:t>
            </w:r>
          </w:p>
        </w:tc>
        <w:tc>
          <w:tcPr>
            <w:tcW w:type="dxa" w:w="3888"/>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Synthetic cases, gold labels, integration/security tests</w:t>
            </w:r>
          </w:p>
        </w:tc>
        <w:tc>
          <w:tcPr>
            <w:tcW w:type="dxa" w:w="4104"/>
            <w:vAlign w:val="center"/>
            <w:tcMar>
              <w:top w:w="90" w:type="dxa"/>
              <w:start w:w="110" w:type="dxa"/>
              <w:bottom w:w="90" w:type="dxa"/>
              <w:end w:w="110" w:type="dxa"/>
            </w:tcMar>
            <w:shd w:fill="F5F8FA"/>
          </w:tcPr>
          <w:p>
            <w:pPr>
              <w:spacing w:after="0" w:line="240" w:lineRule="auto"/>
            </w:pPr>
            <w:r/>
            <w:r>
              <w:rPr>
                <w:rFonts w:ascii="Arial" w:hAnsi="Arial"/>
                <w:b w:val="0"/>
                <w:color w:val="18242F"/>
                <w:sz w:val="15"/>
              </w:rPr>
              <w:t>Benchmark fixture format, ground truth IDs and acceptance reports</w:t>
            </w:r>
          </w:p>
        </w:tc>
      </w:tr>
    </w:tbl>
    <w:p>
      <w:pPr>
        <w:spacing w:after="20"/>
      </w:pPr>
    </w:p>
    <w:p>
      <w:pPr>
        <w:pStyle w:val="Heading1"/>
      </w:pPr>
      <w:r>
        <w:t>21. Definition of done and acceptance tests</w:t>
      </w:r>
    </w:p>
    <w:p>
      <w:pPr>
        <w:pStyle w:val="Heading2"/>
      </w:pPr>
      <w:r>
        <w:t>21.1 End-to-end demo</w:t>
      </w:r>
    </w:p>
    <w:tbl>
      <w:tblPr>
        <w:tblW w:type="auto" w:w="0"/>
        <w:jc w:val="center"/>
        <w:tblLook w:firstColumn="1" w:firstRow="1" w:lastColumn="0" w:lastRow="0" w:noHBand="0" w:noVBand="1" w:val="04A0"/>
      </w:tblPr>
      <w:tblGrid>
        <w:gridCol w:w="10166"/>
      </w:tblGrid>
      <w:tr>
        <w:tc>
          <w:tcPr>
            <w:tcW w:type="dxa" w:w="10166"/>
            <w:shd w:fill="E7F5F4"/>
            <w:tcMar>
              <w:top w:w="140" w:type="dxa"/>
              <w:start w:w="180" w:type="dxa"/>
              <w:bottom w:w="140" w:type="dxa"/>
              <w:end w:w="180" w:type="dxa"/>
            </w:tcMar>
          </w:tcPr>
          <w:p>
            <w:pPr>
              <w:spacing w:after="60"/>
            </w:pPr>
            <w:r/>
            <w:r>
              <w:rPr>
                <w:b/>
                <w:color w:val="0F8B8D"/>
                <w:sz w:val="20"/>
              </w:rPr>
              <w:t>Required demonstration</w:t>
            </w:r>
          </w:p>
          <w:p>
            <w:pPr>
              <w:spacing w:after="0" w:line="252" w:lineRule="auto"/>
            </w:pPr>
            <w:r>
              <w:rPr>
                <w:color w:val="18242F"/>
                <w:sz w:val="18"/>
              </w:rPr>
              <w:t>An authorized user opens synthetic Case 345, uploads three synthetic documents, starts analysis through the dashboard or voice, sees real task events and graph changes, opens a relationship to inspect exact source evidence, sees one deliberately planted contradiction or anomaly, and generates a source-linked draft report for human review.</w:t>
            </w:r>
          </w:p>
        </w:tc>
      </w:tr>
    </w:tbl>
    <w:p>
      <w:pPr>
        <w:spacing w:after="20"/>
      </w:pPr>
    </w:p>
    <w:p>
      <w:pPr>
        <w:pStyle w:val="Heading2"/>
      </w:pPr>
      <w:r>
        <w:t>21.2 Must-pass checklist</w:t>
      </w:r>
    </w:p>
    <w:p>
      <w:pPr>
        <w:pStyle w:val="ListBullet"/>
        <w:spacing w:after="40"/>
      </w:pPr>
      <w:r>
        <w:t>☐  Case 345 has a stable internal case_id separate from its display case_number.</w:t>
      </w:r>
    </w:p>
    <w:p>
      <w:pPr>
        <w:pStyle w:val="ListBullet"/>
        <w:spacing w:after="40"/>
      </w:pPr>
      <w:r>
        <w:t>☐  All endpoints and background tasks enforce case-level permissions.</w:t>
      </w:r>
    </w:p>
    <w:p>
      <w:pPr>
        <w:pStyle w:val="ListBullet"/>
        <w:spacing w:after="40"/>
      </w:pPr>
      <w:r>
        <w:t>☐  Every source file has hash, content version and processing state.</w:t>
      </w:r>
    </w:p>
    <w:p>
      <w:pPr>
        <w:pStyle w:val="ListBullet"/>
        <w:spacing w:after="40"/>
      </w:pPr>
      <w:r>
        <w:t>☐  Every entity mention and relationship candidate has source references/offsets.</w:t>
      </w:r>
    </w:p>
    <w:p>
      <w:pPr>
        <w:pStyle w:val="ListBullet"/>
        <w:spacing w:after="40"/>
      </w:pPr>
      <w:r>
        <w:t>☐  Invalid offsets or forged quotes cannot create a supported relationship.</w:t>
      </w:r>
    </w:p>
    <w:p>
      <w:pPr>
        <w:pStyle w:val="ListBullet"/>
        <w:spacing w:after="40"/>
      </w:pPr>
      <w:r>
        <w:t>☐  Co-mention without a predicate statement remains insufficient evidence.</w:t>
      </w:r>
    </w:p>
    <w:p>
      <w:pPr>
        <w:pStyle w:val="ListBullet"/>
        <w:spacing w:after="40"/>
      </w:pPr>
      <w:r>
        <w:t>☐  Contradictory claims remain visible and are not silently overwritten.</w:t>
      </w:r>
    </w:p>
    <w:p>
      <w:pPr>
        <w:pStyle w:val="ListBullet"/>
        <w:spacing w:after="40"/>
      </w:pPr>
      <w:r>
        <w:t>☐  The LLM planner cannot add unregistered task types or exceed task/replan/retry/concurrency budgets.</w:t>
      </w:r>
    </w:p>
    <w:p>
      <w:pPr>
        <w:pStyle w:val="ListBullet"/>
        <w:spacing w:after="40"/>
      </w:pPr>
      <w:r>
        <w:t>☐  Reviewer JSON errors never auto-approve any finding.</w:t>
      </w:r>
    </w:p>
    <w:p>
      <w:pPr>
        <w:pStyle w:val="ListBullet"/>
        <w:spacing w:after="40"/>
      </w:pPr>
      <w:r>
        <w:t>☐  Every progress animation is driven by a persisted run event or state transition.</w:t>
      </w:r>
    </w:p>
    <w:p>
      <w:pPr>
        <w:pStyle w:val="ListBullet"/>
        <w:spacing w:after="40"/>
      </w:pPr>
      <w:r>
        <w:t>☐  Every Qdrant retrieval applies tenant_id/case_id authorization filters.</w:t>
      </w:r>
    </w:p>
    <w:p>
      <w:pPr>
        <w:pStyle w:val="ListBullet"/>
        <w:spacing w:after="40"/>
      </w:pPr>
      <w:r>
        <w:t>☐  Voice tool calls are typed, allowlisted, user-authorized and audited.</w:t>
      </w:r>
    </w:p>
    <w:p>
      <w:pPr>
        <w:pStyle w:val="ListBullet"/>
        <w:spacing w:after="40"/>
      </w:pPr>
      <w:r>
        <w:t>☐  Injected evidence cannot modify permissions, approvals or verification status.</w:t>
      </w:r>
    </w:p>
    <w:p>
      <w:pPr>
        <w:pStyle w:val="ListBullet"/>
        <w:spacing w:after="40"/>
      </w:pPr>
      <w:r>
        <w:t>☐  Provider timeout/outage yields a truthful error/partial status and never a fabricated completion.</w:t>
      </w:r>
    </w:p>
    <w:p>
      <w:pPr>
        <w:pStyle w:val="ListBullet"/>
        <w:spacing w:after="40"/>
      </w:pPr>
      <w:r>
        <w:t>☐  Report clearly separates supported source claims, disputed claims, insufficient evidence and human review outcomes.</w:t>
      </w:r>
    </w:p>
    <w:p>
      <w:pPr>
        <w:pStyle w:val="ListBullet"/>
        <w:spacing w:after="40"/>
      </w:pPr>
      <w:r>
        <w:t>☐  All evaluation results and unresolved known limitations are recorded in the README/release notes.</w:t>
      </w:r>
    </w:p>
    <w:p>
      <w:pPr>
        <w:pStyle w:val="Heading2"/>
      </w:pPr>
      <w:r>
        <w:t>21.3 Release gate</w:t>
      </w:r>
    </w:p>
    <w:p>
      <w:r>
        <w:rPr>
          <w:i w:val="0"/>
        </w:rPr>
        <w:t>Do not label the backend production-ready until authentication, authorization, data handling approval, retention/deletion, monitoring, provider terms, restore/backup, adversarial evaluation and deployment hardening are reviewed for the actual operating environment. The hackathon MVP should explicitly remain synthetic-data-only.</w:t>
      </w:r>
    </w:p>
    <w:p>
      <w:pPr>
        <w:pStyle w:val="Heading1"/>
      </w:pPr>
      <w:r>
        <w:t>22. Risks, assumptions and decisions to confirm</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vAlign w:val="center"/>
            <w:tcMar>
              <w:top w:w="90" w:type="dxa"/>
              <w:start w:w="110" w:type="dxa"/>
              <w:bottom w:w="90" w:type="dxa"/>
              <w:end w:w="110" w:type="dxa"/>
            </w:tcMar>
            <w:shd w:fill="1D3B55"/>
          </w:tcPr>
          <w:p>
            <w:pPr>
              <w:spacing w:after="0" w:line="240" w:lineRule="auto"/>
            </w:pPr>
            <w:r/>
            <w:r>
              <w:rPr>
                <w:rFonts w:ascii="Arial" w:hAnsi="Arial"/>
                <w:b/>
                <w:color w:val="FFFFFF"/>
                <w:sz w:val="16"/>
              </w:rPr>
              <w:t>Risk / open decision</w:t>
            </w:r>
          </w:p>
        </w:tc>
        <w:tc>
          <w:tcPr>
            <w:tcW w:type="dxa" w:w="4464"/>
            <w:vAlign w:val="center"/>
            <w:tcMar>
              <w:top w:w="90" w:type="dxa"/>
              <w:start w:w="110" w:type="dxa"/>
              <w:bottom w:w="90" w:type="dxa"/>
              <w:end w:w="110" w:type="dxa"/>
            </w:tcMar>
            <w:shd w:fill="1D3B55"/>
          </w:tcPr>
          <w:p>
            <w:pPr>
              <w:spacing w:after="0" w:line="240" w:lineRule="auto"/>
            </w:pPr>
            <w:r/>
            <w:r>
              <w:rPr>
                <w:rFonts w:ascii="Arial" w:hAnsi="Arial"/>
                <w:b/>
                <w:color w:val="FFFFFF"/>
                <w:sz w:val="16"/>
              </w:rPr>
              <w:t>Current recommendation</w:t>
            </w:r>
          </w:p>
        </w:tc>
        <w:tc>
          <w:tcPr>
            <w:tcW w:type="dxa" w:w="2880"/>
            <w:vAlign w:val="center"/>
            <w:tcMar>
              <w:top w:w="90" w:type="dxa"/>
              <w:start w:w="110" w:type="dxa"/>
              <w:bottom w:w="90" w:type="dxa"/>
              <w:end w:w="110" w:type="dxa"/>
            </w:tcMar>
            <w:shd w:fill="1D3B55"/>
          </w:tcPr>
          <w:p>
            <w:pPr>
              <w:spacing w:after="0" w:line="240" w:lineRule="auto"/>
            </w:pPr>
            <w:r/>
            <w:r>
              <w:rPr>
                <w:rFonts w:ascii="Arial" w:hAnsi="Arial"/>
                <w:b/>
                <w:color w:val="FFFFFF"/>
                <w:sz w:val="16"/>
              </w:rPr>
              <w:t>Owner / follow-up</w:t>
            </w:r>
          </w:p>
        </w:tc>
      </w:tr>
      <w:tr>
        <w:tc>
          <w:tcPr>
            <w:tcW w:type="dxa" w:w="2448"/>
            <w:vAlign w:val="center"/>
            <w:tcMar>
              <w:top w:w="90" w:type="dxa"/>
              <w:start w:w="110" w:type="dxa"/>
              <w:bottom w:w="90" w:type="dxa"/>
              <w:end w:w="110" w:type="dxa"/>
            </w:tcMar>
          </w:tcPr>
          <w:p>
            <w:pPr>
              <w:spacing w:after="0" w:line="240" w:lineRule="auto"/>
            </w:pPr>
            <w:r/>
            <w:r>
              <w:rPr>
                <w:rFonts w:ascii="Arial" w:hAnsi="Arial"/>
                <w:b w:val="0"/>
                <w:color w:val="18242F"/>
                <w:sz w:val="14"/>
              </w:rPr>
              <w:t>Online core LLM provider/model</w:t>
            </w:r>
          </w:p>
        </w:tc>
        <w:tc>
          <w:tcPr>
            <w:tcW w:type="dxa" w:w="4464"/>
            <w:vAlign w:val="center"/>
            <w:tcMar>
              <w:top w:w="90" w:type="dxa"/>
              <w:start w:w="110" w:type="dxa"/>
              <w:bottom w:w="90" w:type="dxa"/>
              <w:end w:w="110" w:type="dxa"/>
            </w:tcMar>
          </w:tcPr>
          <w:p>
            <w:pPr>
              <w:spacing w:after="0" w:line="240" w:lineRule="auto"/>
            </w:pPr>
            <w:r/>
            <w:r>
              <w:rPr>
                <w:rFonts w:ascii="Arial" w:hAnsi="Arial"/>
                <w:b w:val="0"/>
                <w:color w:val="18242F"/>
                <w:sz w:val="14"/>
              </w:rPr>
              <w:t>Use provider adapter; select hosted model after latency/quality/cost benchmark.</w:t>
            </w:r>
          </w:p>
        </w:tc>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4"/>
              </w:rPr>
              <w:t>Choose account, region, quotas and data terms before integration.</w:t>
            </w:r>
          </w:p>
        </w:tc>
      </w:tr>
      <w:tr>
        <w:tc>
          <w:tcPr>
            <w:tcW w:type="dxa" w:w="244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Sensitive evidence and cloud inference</w:t>
            </w:r>
          </w:p>
        </w:tc>
        <w:tc>
          <w:tcPr>
            <w:tcW w:type="dxa" w:w="446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Synthetic cases only for MVP; real data requires separate approval.</w:t>
            </w:r>
          </w:p>
        </w:tc>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Document retention, data processing and acceptable provider policy.</w:t>
            </w:r>
          </w:p>
        </w:tc>
      </w:tr>
      <w:tr>
        <w:tc>
          <w:tcPr>
            <w:tcW w:type="dxa" w:w="2448"/>
            <w:vAlign w:val="center"/>
            <w:tcMar>
              <w:top w:w="90" w:type="dxa"/>
              <w:start w:w="110" w:type="dxa"/>
              <w:bottom w:w="90" w:type="dxa"/>
              <w:end w:w="110" w:type="dxa"/>
            </w:tcMar>
          </w:tcPr>
          <w:p>
            <w:pPr>
              <w:spacing w:after="0" w:line="240" w:lineRule="auto"/>
            </w:pPr>
            <w:r/>
            <w:r>
              <w:rPr>
                <w:rFonts w:ascii="Arial" w:hAnsi="Arial"/>
                <w:b w:val="0"/>
                <w:color w:val="18242F"/>
                <w:sz w:val="14"/>
              </w:rPr>
              <w:t>Riva generic tools too broad</w:t>
            </w:r>
          </w:p>
        </w:tc>
        <w:tc>
          <w:tcPr>
            <w:tcW w:type="dxa" w:w="4464"/>
            <w:vAlign w:val="center"/>
            <w:tcMar>
              <w:top w:w="90" w:type="dxa"/>
              <w:start w:w="110" w:type="dxa"/>
              <w:bottom w:w="90" w:type="dxa"/>
              <w:end w:w="110" w:type="dxa"/>
            </w:tcMar>
          </w:tcPr>
          <w:p>
            <w:pPr>
              <w:spacing w:after="0" w:line="240" w:lineRule="auto"/>
            </w:pPr>
            <w:r/>
            <w:r>
              <w:rPr>
                <w:rFonts w:ascii="Arial" w:hAnsi="Arial"/>
                <w:b w:val="0"/>
                <w:color w:val="18242F"/>
                <w:sz w:val="14"/>
              </w:rPr>
              <w:t>Disable or isolate broad system/file/web tool registrations from TATTVA agent runtime.</w:t>
            </w:r>
          </w:p>
        </w:tc>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4"/>
              </w:rPr>
              <w:t>Implement allowlisted domain tools.</w:t>
            </w:r>
          </w:p>
        </w:tc>
      </w:tr>
      <w:tr>
        <w:tc>
          <w:tcPr>
            <w:tcW w:type="dxa" w:w="244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Source citation quality</w:t>
            </w:r>
          </w:p>
        </w:tc>
        <w:tc>
          <w:tcPr>
            <w:tcW w:type="dxa" w:w="446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Deterministic source-span resolution plus predicate-specific support checks.</w:t>
            </w:r>
          </w:p>
        </w:tc>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Create co-mention and prompt-injection gold fixtures.</w:t>
            </w:r>
          </w:p>
        </w:tc>
      </w:tr>
      <w:tr>
        <w:tc>
          <w:tcPr>
            <w:tcW w:type="dxa" w:w="2448"/>
            <w:vAlign w:val="center"/>
            <w:tcMar>
              <w:top w:w="90" w:type="dxa"/>
              <w:start w:w="110" w:type="dxa"/>
              <w:bottom w:w="90" w:type="dxa"/>
              <w:end w:w="110" w:type="dxa"/>
            </w:tcMar>
          </w:tcPr>
          <w:p>
            <w:pPr>
              <w:spacing w:after="0" w:line="240" w:lineRule="auto"/>
            </w:pPr>
            <w:r/>
            <w:r>
              <w:rPr>
                <w:rFonts w:ascii="Arial" w:hAnsi="Arial"/>
                <w:b w:val="0"/>
                <w:color w:val="18242F"/>
                <w:sz w:val="14"/>
              </w:rPr>
              <w:t>RAG cross-case exposure</w:t>
            </w:r>
          </w:p>
        </w:tc>
        <w:tc>
          <w:tcPr>
            <w:tcW w:type="dxa" w:w="4464"/>
            <w:vAlign w:val="center"/>
            <w:tcMar>
              <w:top w:w="90" w:type="dxa"/>
              <w:start w:w="110" w:type="dxa"/>
              <w:bottom w:w="90" w:type="dxa"/>
              <w:end w:w="110" w:type="dxa"/>
            </w:tcMar>
          </w:tcPr>
          <w:p>
            <w:pPr>
              <w:spacing w:after="0" w:line="240" w:lineRule="auto"/>
            </w:pPr>
            <w:r/>
            <w:r>
              <w:rPr>
                <w:rFonts w:ascii="Arial" w:hAnsi="Arial"/>
                <w:b w:val="0"/>
                <w:color w:val="18242F"/>
                <w:sz w:val="14"/>
              </w:rPr>
              <w:t>Mandatory case/tenant filters at query and source lookup.</w:t>
            </w:r>
          </w:p>
        </w:tc>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4"/>
              </w:rPr>
              <w:t>Integration-test filter enforcement.</w:t>
            </w:r>
          </w:p>
        </w:tc>
      </w:tr>
      <w:tr>
        <w:tc>
          <w:tcPr>
            <w:tcW w:type="dxa" w:w="244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Model latency and variable limits</w:t>
            </w:r>
          </w:p>
        </w:tc>
        <w:tc>
          <w:tcPr>
            <w:tcW w:type="dxa" w:w="446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Measure end-to-end; cap tokens, retries, task fan-out and provider calls.</w:t>
            </w:r>
          </w:p>
        </w:tc>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Load test with 20-task max plan.</w:t>
            </w:r>
          </w:p>
        </w:tc>
      </w:tr>
      <w:tr>
        <w:tc>
          <w:tcPr>
            <w:tcW w:type="dxa" w:w="2448"/>
            <w:vAlign w:val="center"/>
            <w:tcMar>
              <w:top w:w="90" w:type="dxa"/>
              <w:start w:w="110" w:type="dxa"/>
              <w:bottom w:w="90" w:type="dxa"/>
              <w:end w:w="110" w:type="dxa"/>
            </w:tcMar>
          </w:tcPr>
          <w:p>
            <w:pPr>
              <w:spacing w:after="0" w:line="240" w:lineRule="auto"/>
            </w:pPr>
            <w:r/>
            <w:r>
              <w:rPr>
                <w:rFonts w:ascii="Arial" w:hAnsi="Arial"/>
                <w:b w:val="0"/>
                <w:color w:val="18242F"/>
                <w:sz w:val="14"/>
              </w:rPr>
              <w:t>Autonomy vs reliability</w:t>
            </w:r>
          </w:p>
        </w:tc>
        <w:tc>
          <w:tcPr>
            <w:tcW w:type="dxa" w:w="4464"/>
            <w:vAlign w:val="center"/>
            <w:tcMar>
              <w:top w:w="90" w:type="dxa"/>
              <w:start w:w="110" w:type="dxa"/>
              <w:bottom w:w="90" w:type="dxa"/>
              <w:end w:w="110" w:type="dxa"/>
            </w:tcMar>
          </w:tcPr>
          <w:p>
            <w:pPr>
              <w:spacing w:after="0" w:line="240" w:lineRule="auto"/>
            </w:pPr>
            <w:r/>
            <w:r>
              <w:rPr>
                <w:rFonts w:ascii="Arial" w:hAnsi="Arial"/>
                <w:b w:val="0"/>
                <w:color w:val="18242F"/>
                <w:sz w:val="14"/>
              </w:rPr>
              <w:t>Bounded templates and conditional follow-ups; human review for material findings.</w:t>
            </w:r>
          </w:p>
        </w:tc>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4"/>
              </w:rPr>
              <w:t>No unrestricted agent loop.</w:t>
            </w:r>
          </w:p>
        </w:tc>
      </w:tr>
      <w:tr>
        <w:tc>
          <w:tcPr>
            <w:tcW w:type="dxa" w:w="244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Graph overinterpretation</w:t>
            </w:r>
          </w:p>
        </w:tc>
        <w:tc>
          <w:tcPr>
            <w:tcW w:type="dxa" w:w="446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Transparent metrics and evidence state; no guilt or opaque influence score.</w:t>
            </w:r>
          </w:p>
        </w:tc>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Label UI and reports accordingly.</w:t>
            </w:r>
          </w:p>
        </w:tc>
      </w:tr>
      <w:tr>
        <w:tc>
          <w:tcPr>
            <w:tcW w:type="dxa" w:w="2448"/>
            <w:vAlign w:val="center"/>
            <w:tcMar>
              <w:top w:w="90" w:type="dxa"/>
              <w:start w:w="110" w:type="dxa"/>
              <w:bottom w:w="90" w:type="dxa"/>
              <w:end w:w="110" w:type="dxa"/>
            </w:tcMar>
          </w:tcPr>
          <w:p>
            <w:pPr>
              <w:spacing w:after="0" w:line="240" w:lineRule="auto"/>
            </w:pPr>
            <w:r/>
            <w:r>
              <w:rPr>
                <w:rFonts w:ascii="Arial" w:hAnsi="Arial"/>
                <w:b w:val="0"/>
                <w:color w:val="18242F"/>
                <w:sz w:val="14"/>
              </w:rPr>
              <w:t>UI/backend event drift</w:t>
            </w:r>
          </w:p>
        </w:tc>
        <w:tc>
          <w:tcPr>
            <w:tcW w:type="dxa" w:w="4464"/>
            <w:vAlign w:val="center"/>
            <w:tcMar>
              <w:top w:w="90" w:type="dxa"/>
              <w:start w:w="110" w:type="dxa"/>
              <w:bottom w:w="90" w:type="dxa"/>
              <w:end w:w="110" w:type="dxa"/>
            </w:tcMar>
          </w:tcPr>
          <w:p>
            <w:pPr>
              <w:spacing w:after="0" w:line="240" w:lineRule="auto"/>
            </w:pPr>
            <w:r/>
            <w:r>
              <w:rPr>
                <w:rFonts w:ascii="Arial" w:hAnsi="Arial"/>
                <w:b w:val="0"/>
                <w:color w:val="18242F"/>
                <w:sz w:val="14"/>
              </w:rPr>
              <w:t>Use versioned event schema, persisted replay sequence and task correlation IDs.</w:t>
            </w:r>
          </w:p>
        </w:tc>
        <w:tc>
          <w:tcPr>
            <w:tcW w:type="dxa" w:w="2880"/>
            <w:vAlign w:val="center"/>
            <w:tcMar>
              <w:top w:w="90" w:type="dxa"/>
              <w:start w:w="110" w:type="dxa"/>
              <w:bottom w:w="90" w:type="dxa"/>
              <w:end w:w="110" w:type="dxa"/>
            </w:tcMar>
          </w:tcPr>
          <w:p>
            <w:pPr>
              <w:spacing w:after="0" w:line="240" w:lineRule="auto"/>
            </w:pPr>
            <w:r/>
            <w:r>
              <w:rPr>
                <w:rFonts w:ascii="Arial" w:hAnsi="Arial"/>
                <w:b w:val="0"/>
                <w:color w:val="18242F"/>
                <w:sz w:val="14"/>
              </w:rPr>
              <w:t>Contract tests shared with frontend.</w:t>
            </w:r>
          </w:p>
        </w:tc>
      </w:tr>
      <w:tr>
        <w:tc>
          <w:tcPr>
            <w:tcW w:type="dxa" w:w="2448"/>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Deployment complexity</w:t>
            </w:r>
          </w:p>
        </w:tc>
        <w:tc>
          <w:tcPr>
            <w:tcW w:type="dxa" w:w="4464"/>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One modular API + one worker + existing voice gateway.</w:t>
            </w:r>
          </w:p>
        </w:tc>
        <w:tc>
          <w:tcPr>
            <w:tcW w:type="dxa" w:w="2880"/>
            <w:vAlign w:val="center"/>
            <w:tcMar>
              <w:top w:w="90" w:type="dxa"/>
              <w:start w:w="110" w:type="dxa"/>
              <w:bottom w:w="90" w:type="dxa"/>
              <w:end w:w="110" w:type="dxa"/>
            </w:tcMar>
            <w:shd w:fill="F5F8FA"/>
          </w:tcPr>
          <w:p>
            <w:pPr>
              <w:spacing w:after="0" w:line="240" w:lineRule="auto"/>
            </w:pPr>
            <w:r/>
            <w:r>
              <w:rPr>
                <w:rFonts w:ascii="Arial" w:hAnsi="Arial"/>
                <w:b w:val="0"/>
                <w:color w:val="18242F"/>
                <w:sz w:val="14"/>
              </w:rPr>
              <w:t>Avoid microservices until traffic/ownership justifies them.</w:t>
            </w:r>
          </w:p>
        </w:tc>
      </w:tr>
    </w:tbl>
    <w:p>
      <w:pPr>
        <w:spacing w:after="20"/>
      </w:pPr>
    </w:p>
    <w:p>
      <w:r>
        <w:br w:type="page"/>
      </w:r>
    </w:p>
    <w:p>
      <w:pPr>
        <w:pStyle w:val="Heading1"/>
      </w:pPr>
      <w:r>
        <w:t>Appendix A. Starter schemas and examples</w:t>
      </w:r>
    </w:p>
    <w:p>
      <w:pPr>
        <w:pStyle w:val="Heading2"/>
      </w:pPr>
      <w:r>
        <w:t>A.1 Domain enums</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RunStatus = Literal[</w:t>
            </w:r>
          </w:p>
          <w:p>
            <w:pPr>
              <w:pStyle w:val="TATTVACode"/>
              <w:keepLines/>
            </w:pPr>
            <w:r>
              <w:rPr>
                <w:rFonts w:ascii="Consolas" w:hAnsi="Consolas"/>
                <w:color w:val="203448"/>
                <w:sz w:val="14"/>
              </w:rPr>
              <w:t xml:space="preserve">    "queued", "running", "awaiting_review", "completed",</w:t>
            </w:r>
          </w:p>
          <w:p>
            <w:pPr>
              <w:pStyle w:val="TATTVACode"/>
              <w:keepLines/>
            </w:pPr>
            <w:r>
              <w:rPr>
                <w:rFonts w:ascii="Consolas" w:hAnsi="Consolas"/>
                <w:color w:val="203448"/>
                <w:sz w:val="14"/>
              </w:rPr>
              <w:t xml:space="preserve">    "completed_with_warnings", "failed", "cancel_requested", "cancelled"</w:t>
            </w:r>
          </w:p>
          <w:p>
            <w:pPr>
              <w:pStyle w:val="TATTVACode"/>
              <w:keepLines/>
            </w:pPr>
            <w:r>
              <w:rPr>
                <w:rFonts w:ascii="Consolas" w:hAnsi="Consolas"/>
                <w:color w:val="203448"/>
                <w:sz w:val="14"/>
              </w:rPr>
              <w:t>]</w:t>
            </w:r>
          </w:p>
          <w:p>
            <w:pPr>
              <w:pStyle w:val="TATTVACode"/>
              <w:keepLines/>
            </w:pPr>
            <w:r>
              <w:rPr>
                <w:rFonts w:ascii="Consolas" w:hAnsi="Consolas"/>
                <w:color w:val="203448"/>
                <w:sz w:val="14"/>
              </w:rPr>
              <w:t>VerificationStatus = Literal[</w:t>
            </w:r>
          </w:p>
          <w:p>
            <w:pPr>
              <w:pStyle w:val="TATTVACode"/>
              <w:keepLines/>
            </w:pPr>
            <w:r>
              <w:rPr>
                <w:rFonts w:ascii="Consolas" w:hAnsi="Consolas"/>
                <w:color w:val="203448"/>
                <w:sz w:val="14"/>
              </w:rPr>
              <w:t xml:space="preserve">    "candidate", "supported", "disputed", "insufficient_evidence",</w:t>
            </w:r>
          </w:p>
          <w:p>
            <w:pPr>
              <w:pStyle w:val="TATTVACode"/>
              <w:keepLines/>
            </w:pPr>
            <w:r>
              <w:rPr>
                <w:rFonts w:ascii="Consolas" w:hAnsi="Consolas"/>
                <w:color w:val="203448"/>
                <w:sz w:val="14"/>
              </w:rPr>
              <w:t xml:space="preserve">    "verification_failed"</w:t>
            </w:r>
          </w:p>
          <w:p>
            <w:pPr>
              <w:pStyle w:val="TATTVACode"/>
              <w:keepLines/>
            </w:pPr>
            <w:r>
              <w:rPr>
                <w:rFonts w:ascii="Consolas" w:hAnsi="Consolas"/>
                <w:color w:val="203448"/>
                <w:sz w:val="14"/>
              </w:rPr>
              <w:t>]</w:t>
            </w:r>
          </w:p>
          <w:p>
            <w:pPr>
              <w:pStyle w:val="TATTVACode"/>
              <w:keepLines/>
            </w:pPr>
            <w:r>
              <w:rPr>
                <w:rFonts w:ascii="Consolas" w:hAnsi="Consolas"/>
                <w:color w:val="203448"/>
                <w:sz w:val="14"/>
              </w:rPr>
              <w:t>ReviewStatus = Literal[</w:t>
            </w:r>
          </w:p>
          <w:p>
            <w:pPr>
              <w:pStyle w:val="TATTVACode"/>
              <w:keepLines/>
            </w:pPr>
            <w:r>
              <w:rPr>
                <w:rFonts w:ascii="Consolas" w:hAnsi="Consolas"/>
                <w:color w:val="203448"/>
                <w:sz w:val="14"/>
              </w:rPr>
              <w:t xml:space="preserve">    "not_reviewed", "accepted_for_report", "rejected", "needs_more_evidence"</w:t>
            </w:r>
          </w:p>
          <w:p>
            <w:pPr>
              <w:pStyle w:val="TATTVACode"/>
              <w:keepLines/>
            </w:pPr>
            <w:r>
              <w:rPr>
                <w:rFonts w:ascii="Consolas" w:hAnsi="Consolas"/>
                <w:color w:val="203448"/>
                <w:sz w:val="14"/>
              </w:rPr>
              <w:t>]</w:t>
            </w:r>
          </w:p>
        </w:tc>
      </w:tr>
    </w:tbl>
    <w:p>
      <w:pPr>
        <w:spacing w:after="20"/>
      </w:pPr>
    </w:p>
    <w:p>
      <w:pPr>
        <w:pStyle w:val="Heading2"/>
      </w:pPr>
      <w:r>
        <w:t>A.2 Worker pseudocode</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async def execute_task(task_id: str) -&gt; None:</w:t>
            </w:r>
          </w:p>
          <w:p>
            <w:pPr>
              <w:pStyle w:val="TATTVACode"/>
              <w:keepLines/>
            </w:pPr>
            <w:r>
              <w:rPr>
                <w:rFonts w:ascii="Consolas" w:hAnsi="Consolas"/>
                <w:color w:val="203448"/>
                <w:sz w:val="14"/>
              </w:rPr>
              <w:t xml:space="preserve">    task = await task_repo.claim_ready_task(task_id)</w:t>
            </w:r>
          </w:p>
          <w:p>
            <w:pPr>
              <w:pStyle w:val="TATTVACode"/>
              <w:keepLines/>
            </w:pPr>
            <w:r>
              <w:rPr>
                <w:rFonts w:ascii="Consolas" w:hAnsi="Consolas"/>
                <w:color w:val="203448"/>
                <w:sz w:val="14"/>
              </w:rPr>
              <w:t xml:space="preserve">    if task is None:</w:t>
            </w:r>
          </w:p>
          <w:p>
            <w:pPr>
              <w:pStyle w:val="TATTVACode"/>
              <w:keepLines/>
            </w:pPr>
            <w:r>
              <w:rPr>
                <w:rFonts w:ascii="Consolas" w:hAnsi="Consolas"/>
                <w:color w:val="203448"/>
                <w:sz w:val="14"/>
              </w:rPr>
              <w:t xml:space="preserve">        return</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xml:space="preserve">    await task_repo.mark_running(task.task_id)</w:t>
            </w:r>
          </w:p>
          <w:p>
            <w:pPr>
              <w:pStyle w:val="TATTVACode"/>
              <w:keepLines/>
            </w:pPr>
            <w:r>
              <w:rPr>
                <w:rFonts w:ascii="Consolas" w:hAnsi="Consolas"/>
                <w:color w:val="203448"/>
                <w:sz w:val="14"/>
              </w:rPr>
              <w:t xml:space="preserve">    await events.publish_persisted("task.started", task)</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xml:space="preserve">    try:</w:t>
            </w:r>
          </w:p>
          <w:p>
            <w:pPr>
              <w:pStyle w:val="TATTVACode"/>
              <w:keepLines/>
            </w:pPr>
            <w:r>
              <w:rPr>
                <w:rFonts w:ascii="Consolas" w:hAnsi="Consolas"/>
                <w:color w:val="203448"/>
                <w:sz w:val="14"/>
              </w:rPr>
              <w:t xml:space="preserve">        case_policy.require_task_allowed(task)</w:t>
            </w:r>
          </w:p>
          <w:p>
            <w:pPr>
              <w:pStyle w:val="TATTVACode"/>
              <w:keepLines/>
            </w:pPr>
            <w:r>
              <w:rPr>
                <w:rFonts w:ascii="Consolas" w:hAnsi="Consolas"/>
                <w:color w:val="203448"/>
                <w:sz w:val="14"/>
              </w:rPr>
              <w:t xml:space="preserve">        inputs = await dependency_resolver.resolve(task.input_refs)</w:t>
            </w:r>
          </w:p>
          <w:p>
            <w:pPr>
              <w:pStyle w:val="TATTVACode"/>
              <w:keepLines/>
            </w:pPr>
            <w:r>
              <w:rPr>
                <w:rFonts w:ascii="Consolas" w:hAnsi="Consolas"/>
                <w:color w:val="203448"/>
                <w:sz w:val="14"/>
              </w:rPr>
              <w:t xml:space="preserve">        result = await task_registry[task.task_type].run(</w:t>
            </w:r>
          </w:p>
          <w:p>
            <w:pPr>
              <w:pStyle w:val="TATTVACode"/>
              <w:keepLines/>
            </w:pPr>
            <w:r>
              <w:rPr>
                <w:rFonts w:ascii="Consolas" w:hAnsi="Consolas"/>
                <w:color w:val="203448"/>
                <w:sz w:val="14"/>
              </w:rPr>
              <w:t xml:space="preserve">            task_spec=task, inputs=inputs, timeout=task.timeout_seconds</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xml:space="preserve">        validated = output_validator.validate(task.output_schema_name, result)</w:t>
            </w:r>
          </w:p>
          <w:p>
            <w:pPr>
              <w:pStyle w:val="TATTVACode"/>
              <w:keepLines/>
            </w:pPr>
            <w:r>
              <w:rPr>
                <w:rFonts w:ascii="Consolas" w:hAnsi="Consolas"/>
                <w:color w:val="203448"/>
                <w:sz w:val="14"/>
              </w:rPr>
              <w:t xml:space="preserve">        await task_repo.store_success(task.task_id, validated)</w:t>
            </w:r>
          </w:p>
          <w:p>
            <w:pPr>
              <w:pStyle w:val="TATTVACode"/>
              <w:keepLines/>
            </w:pPr>
            <w:r>
              <w:rPr>
                <w:rFonts w:ascii="Consolas" w:hAnsi="Consolas"/>
                <w:color w:val="203448"/>
                <w:sz w:val="14"/>
              </w:rPr>
              <w:t xml:space="preserve">        await events.publish_persisted("task.completed", task)</w:t>
            </w:r>
          </w:p>
          <w:p>
            <w:pPr>
              <w:pStyle w:val="TATTVACode"/>
              <w:keepLines/>
            </w:pPr>
            <w:r>
              <w:rPr>
                <w:rFonts w:ascii="Consolas" w:hAnsi="Consolas"/>
                <w:color w:val="203448"/>
                <w:sz w:val="14"/>
              </w:rPr>
              <w:t xml:space="preserve">    except RetryableError as exc:</w:t>
            </w:r>
          </w:p>
          <w:p>
            <w:pPr>
              <w:pStyle w:val="TATTVACode"/>
              <w:keepLines/>
            </w:pPr>
            <w:r>
              <w:rPr>
                <w:rFonts w:ascii="Consolas" w:hAnsi="Consolas"/>
                <w:color w:val="203448"/>
                <w:sz w:val="14"/>
              </w:rPr>
              <w:t xml:space="preserve">        await retry_policy.handle(task, exc)  # max one retry</w:t>
            </w:r>
          </w:p>
          <w:p>
            <w:pPr>
              <w:pStyle w:val="TATTVACode"/>
              <w:keepLines/>
            </w:pPr>
            <w:r>
              <w:rPr>
                <w:rFonts w:ascii="Consolas" w:hAnsi="Consolas"/>
                <w:color w:val="203448"/>
                <w:sz w:val="14"/>
              </w:rPr>
              <w:t xml:space="preserve">    except Exception as exc:</w:t>
            </w:r>
          </w:p>
          <w:p>
            <w:pPr>
              <w:pStyle w:val="TATTVACode"/>
              <w:keepLines/>
            </w:pPr>
            <w:r>
              <w:rPr>
                <w:rFonts w:ascii="Consolas" w:hAnsi="Consolas"/>
                <w:color w:val="203448"/>
                <w:sz w:val="14"/>
              </w:rPr>
              <w:t xml:space="preserve">        await task_repo.store_failure(task.task_id, safe_error(exc))</w:t>
            </w:r>
          </w:p>
          <w:p>
            <w:pPr>
              <w:pStyle w:val="TATTVACode"/>
              <w:keepLines/>
            </w:pPr>
            <w:r>
              <w:rPr>
                <w:rFonts w:ascii="Consolas" w:hAnsi="Consolas"/>
                <w:color w:val="203448"/>
                <w:sz w:val="14"/>
              </w:rPr>
              <w:t xml:space="preserve">        await events.publish_persisted("task.failed", task)</w:t>
            </w:r>
          </w:p>
          <w:p>
            <w:pPr>
              <w:pStyle w:val="TATTVACode"/>
              <w:keepLines/>
            </w:pPr>
            <w:r>
              <w:rPr>
                <w:rFonts w:ascii="Consolas" w:hAnsi="Consolas"/>
                <w:color w:val="203448"/>
                <w:sz w:val="14"/>
              </w:rPr>
              <w:t xml:space="preserve">        # Never convert failure into success by default.</w:t>
            </w:r>
          </w:p>
        </w:tc>
      </w:tr>
    </w:tbl>
    <w:p>
      <w:pPr>
        <w:spacing w:after="20"/>
      </w:pPr>
    </w:p>
    <w:p>
      <w:pPr>
        <w:pStyle w:val="Heading2"/>
      </w:pPr>
      <w:r>
        <w:t>A.3 Relationship review payload</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POST /api/v1/relationships/{relationship_id}/review</w:t>
            </w:r>
          </w:p>
          <w:p>
            <w:pPr>
              <w:pStyle w:val="TATTVACode"/>
              <w:keepLines/>
            </w:pPr>
            <w:r>
              <w:rPr>
                <w:rFonts w:ascii="Consolas" w:hAnsi="Consolas"/>
                <w:color w:val="203448"/>
                <w:sz w:val="14"/>
              </w:rPr>
              <w:t>{</w:t>
            </w:r>
          </w:p>
          <w:p>
            <w:pPr>
              <w:pStyle w:val="TATTVACode"/>
              <w:keepLines/>
            </w:pPr>
            <w:r>
              <w:rPr>
                <w:rFonts w:ascii="Consolas" w:hAnsi="Consolas"/>
                <w:color w:val="203448"/>
                <w:sz w:val="14"/>
              </w:rPr>
              <w:t xml:space="preserve">  "decision": "needs_more_evidence",</w:t>
            </w:r>
          </w:p>
          <w:p>
            <w:pPr>
              <w:pStyle w:val="TATTVACode"/>
              <w:keepLines/>
            </w:pPr>
            <w:r>
              <w:rPr>
                <w:rFonts w:ascii="Consolas" w:hAnsi="Consolas"/>
                <w:color w:val="203448"/>
                <w:sz w:val="14"/>
              </w:rPr>
              <w:t xml:space="preserve">  "rationale": "The source mentions both entities but does not state the relationship.",</w:t>
            </w:r>
          </w:p>
          <w:p>
            <w:pPr>
              <w:pStyle w:val="TATTVACode"/>
              <w:keepLines/>
            </w:pPr>
            <w:r>
              <w:rPr>
                <w:rFonts w:ascii="Consolas" w:hAnsi="Consolas"/>
                <w:color w:val="203448"/>
                <w:sz w:val="14"/>
              </w:rPr>
              <w:t xml:space="preserve">  "additional_evidence_ids": []</w:t>
            </w:r>
          </w:p>
          <w:p>
            <w:pPr>
              <w:pStyle w:val="TATTVACode"/>
              <w:keepLines/>
            </w:pPr>
            <w:r>
              <w:rPr>
                <w:rFonts w:ascii="Consolas" w:hAnsi="Consolas"/>
                <w:color w:val="203448"/>
                <w:sz w:val="14"/>
              </w:rPr>
              <w:t>}</w:t>
            </w:r>
          </w:p>
        </w:tc>
      </w:tr>
    </w:tbl>
    <w:p>
      <w:pPr>
        <w:spacing w:after="20"/>
      </w:pPr>
    </w:p>
    <w:p>
      <w:r>
        <w:rPr>
          <w:i w:val="0"/>
        </w:rPr>
        <w:t>The API must record authenticated actor, timestamp, previous status, new status and rationale in the audit trail. Review decisions must follow a state-transition policy and cannot modify the original source record.</w:t>
      </w:r>
    </w:p>
    <w:p>
      <w:pPr>
        <w:pStyle w:val="Heading2"/>
      </w:pPr>
      <w:r>
        <w:t>A.4 Report structure</w:t>
      </w:r>
    </w:p>
    <w:p>
      <w:pPr>
        <w:pStyle w:val="ListBullet"/>
        <w:spacing w:after="40"/>
        <w:ind w:left="360"/>
      </w:pPr>
      <w:r>
        <w:t>Run metadata: case number, run ID, time, model/parser/rule versions.</w:t>
      </w:r>
    </w:p>
    <w:p>
      <w:pPr>
        <w:pStyle w:val="ListBullet"/>
        <w:spacing w:after="40"/>
        <w:ind w:left="360"/>
      </w:pPr>
      <w:r>
        <w:t>Scope: document IDs analysed and any excluded/failed sources.</w:t>
      </w:r>
    </w:p>
    <w:p>
      <w:pPr>
        <w:pStyle w:val="ListBullet"/>
        <w:spacing w:after="40"/>
        <w:ind w:left="360"/>
      </w:pPr>
      <w:r>
        <w:t>Executive summary: concise and explicitly labelled as machine-generated draft.</w:t>
      </w:r>
    </w:p>
    <w:p>
      <w:pPr>
        <w:pStyle w:val="ListBullet"/>
        <w:spacing w:after="40"/>
        <w:ind w:left="360"/>
      </w:pPr>
      <w:r>
        <w:t>Evidence-supported relationship table: subject, predicate, object, source citations and status.</w:t>
      </w:r>
    </w:p>
    <w:p>
      <w:pPr>
        <w:pStyle w:val="ListBullet"/>
        <w:spacing w:after="40"/>
        <w:ind w:left="360"/>
      </w:pPr>
      <w:r>
        <w:t>Disputed/insufficient relationships and contradictions.</w:t>
      </w:r>
    </w:p>
    <w:p>
      <w:pPr>
        <w:pStyle w:val="ListBullet"/>
        <w:spacing w:after="40"/>
        <w:ind w:left="360"/>
      </w:pPr>
      <w:r>
        <w:t>Anomaly flags: rule, records, parameters, reason and limitations.</w:t>
      </w:r>
    </w:p>
    <w:p>
      <w:pPr>
        <w:pStyle w:val="ListBullet"/>
        <w:spacing w:after="40"/>
        <w:ind w:left="360"/>
      </w:pPr>
      <w:r>
        <w:t>Graph metrics: formula, inputs, scope and caveat; no guilt score.</w:t>
      </w:r>
    </w:p>
    <w:p>
      <w:pPr>
        <w:pStyle w:val="ListBullet"/>
        <w:spacing w:after="40"/>
        <w:ind w:left="360"/>
      </w:pPr>
      <w:r>
        <w:t>Alternative hypotheses (if enabled): evidence for/against and unresolved gaps.</w:t>
      </w:r>
    </w:p>
    <w:p>
      <w:pPr>
        <w:pStyle w:val="ListBullet"/>
        <w:spacing w:after="40"/>
        <w:ind w:left="360"/>
      </w:pPr>
      <w:r>
        <w:t>Failures, coverage gaps and recommended human verification steps.</w:t>
      </w:r>
    </w:p>
    <w:p>
      <w:pPr>
        <w:pStyle w:val="ListBullet"/>
        <w:spacing w:after="40"/>
        <w:ind w:left="360"/>
      </w:pPr>
      <w:r>
        <w:t>Investigator review/sign-off metadata and report version.</w:t>
      </w:r>
    </w:p>
    <w:p>
      <w:pPr>
        <w:pStyle w:val="Heading1"/>
      </w:pPr>
      <w:r>
        <w:t>Appendix B. Environment variable template</w:t>
      </w:r>
    </w:p>
    <w:tbl>
      <w:tblPr>
        <w:tblW w:type="auto" w:w="0"/>
        <w:jc w:val="center"/>
        <w:tblLayout w:type="fixed"/>
        <w:tblLook w:firstColumn="1" w:firstRow="1" w:lastColumn="0" w:lastRow="0" w:noHBand="0" w:noVBand="1" w:val="04A0"/>
      </w:tblPr>
      <w:tblGrid>
        <w:gridCol w:w="10166"/>
      </w:tblGrid>
      <w:tr>
        <w:tc>
          <w:tcPr>
            <w:tcW w:type="dxa" w:w="10166"/>
            <w:shd w:fill="F0F4F7"/>
            <w:tcMar>
              <w:top w:w="120" w:type="dxa"/>
              <w:start w:w="160" w:type="dxa"/>
              <w:bottom w:w="120" w:type="dxa"/>
              <w:end w:w="160" w:type="dxa"/>
            </w:tcMar>
          </w:tcPr>
          <w:p>
            <w:pPr>
              <w:pStyle w:val="TATTVACode"/>
              <w:keepLines/>
            </w:pPr>
            <w:r/>
            <w:r>
              <w:rPr>
                <w:rFonts w:ascii="Consolas" w:hAnsi="Consolas"/>
                <w:color w:val="203448"/>
                <w:sz w:val="14"/>
              </w:rPr>
              <w:t># App</w:t>
            </w:r>
          </w:p>
          <w:p>
            <w:pPr>
              <w:pStyle w:val="TATTVACode"/>
              <w:keepLines/>
            </w:pPr>
            <w:r>
              <w:rPr>
                <w:rFonts w:ascii="Consolas" w:hAnsi="Consolas"/>
                <w:color w:val="203448"/>
                <w:sz w:val="14"/>
              </w:rPr>
              <w:t>APP_ENV=development</w:t>
            </w:r>
          </w:p>
          <w:p>
            <w:pPr>
              <w:pStyle w:val="TATTVACode"/>
              <w:keepLines/>
            </w:pPr>
            <w:r>
              <w:rPr>
                <w:rFonts w:ascii="Consolas" w:hAnsi="Consolas"/>
                <w:color w:val="203448"/>
                <w:sz w:val="14"/>
              </w:rPr>
              <w:t>APP_SECRET_KEY=&lt;generate-a-long-random-secret&gt;</w:t>
            </w:r>
          </w:p>
          <w:p>
            <w:pPr>
              <w:pStyle w:val="TATTVACode"/>
              <w:keepLines/>
            </w:pPr>
            <w:r>
              <w:rPr>
                <w:rFonts w:ascii="Consolas" w:hAnsi="Consolas"/>
                <w:color w:val="203448"/>
                <w:sz w:val="14"/>
              </w:rPr>
              <w:t>APP_HOST=0.0.0.0</w:t>
            </w:r>
          </w:p>
          <w:p>
            <w:pPr>
              <w:pStyle w:val="TATTVACode"/>
              <w:keepLines/>
            </w:pPr>
            <w:r>
              <w:rPr>
                <w:rFonts w:ascii="Consolas" w:hAnsi="Consolas"/>
                <w:color w:val="203448"/>
                <w:sz w:val="14"/>
              </w:rPr>
              <w:t>APP_PORT=8000</w:t>
            </w:r>
          </w:p>
          <w:p>
            <w:pPr>
              <w:pStyle w:val="TATTVACode"/>
              <w:keepLines/>
            </w:pPr>
            <w:r>
              <w:rPr>
                <w:rFonts w:ascii="Consolas" w:hAnsi="Consolas"/>
                <w:color w:val="203448"/>
                <w:sz w:val="14"/>
              </w:rPr>
              <w:t>ALLOWED_ORIGINS=http://localhost:3000</w:t>
            </w:r>
          </w:p>
          <w:p>
            <w:pPr>
              <w:pStyle w:val="TATTVACode"/>
              <w:keepLines/>
            </w:pPr>
            <w:r>
              <w:rPr>
                <w:rFonts w:ascii="Consolas" w:hAnsi="Consolas"/>
                <w:color w:val="203448"/>
                <w:sz w:val="14"/>
              </w:rPr>
              <w:t>LOG_LEVEL=INFO</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MongoDB (new async code: PyMongo AsyncClient)</w:t>
            </w:r>
          </w:p>
          <w:p>
            <w:pPr>
              <w:pStyle w:val="TATTVACode"/>
              <w:keepLines/>
            </w:pPr>
            <w:r>
              <w:rPr>
                <w:rFonts w:ascii="Consolas" w:hAnsi="Consolas"/>
                <w:color w:val="203448"/>
                <w:sz w:val="14"/>
              </w:rPr>
              <w:t>MONGODB_URI=mongodb://localhost:27017</w:t>
            </w:r>
          </w:p>
          <w:p>
            <w:pPr>
              <w:pStyle w:val="TATTVACode"/>
              <w:keepLines/>
            </w:pPr>
            <w:r>
              <w:rPr>
                <w:rFonts w:ascii="Consolas" w:hAnsi="Consolas"/>
                <w:color w:val="203448"/>
                <w:sz w:val="14"/>
              </w:rPr>
              <w:t>MONGODB_DATABASE=tattva_dev</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Queue / worker</w:t>
            </w:r>
          </w:p>
          <w:p>
            <w:pPr>
              <w:pStyle w:val="TATTVACode"/>
              <w:keepLines/>
            </w:pPr>
            <w:r>
              <w:rPr>
                <w:rFonts w:ascii="Consolas" w:hAnsi="Consolas"/>
                <w:color w:val="203448"/>
                <w:sz w:val="14"/>
              </w:rPr>
              <w:t>REDIS_URL=redis://localhost:6379/0</w:t>
            </w:r>
          </w:p>
          <w:p>
            <w:pPr>
              <w:pStyle w:val="TATTVACode"/>
              <w:keepLines/>
            </w:pPr>
            <w:r>
              <w:rPr>
                <w:rFonts w:ascii="Consolas" w:hAnsi="Consolas"/>
                <w:color w:val="203448"/>
                <w:sz w:val="14"/>
              </w:rPr>
              <w:t>WORKER_CONCURRENCY=3</w:t>
            </w:r>
          </w:p>
          <w:p>
            <w:pPr>
              <w:pStyle w:val="TATTVACode"/>
              <w:keepLines/>
            </w:pPr>
            <w:r>
              <w:rPr>
                <w:rFonts w:ascii="Consolas" w:hAnsi="Consolas"/>
                <w:color w:val="203448"/>
                <w:sz w:val="14"/>
              </w:rPr>
              <w:t>TASK_LEASE_SECONDS=90</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Source and vector storage</w:t>
            </w:r>
          </w:p>
          <w:p>
            <w:pPr>
              <w:pStyle w:val="TATTVACode"/>
              <w:keepLines/>
            </w:pPr>
            <w:r>
              <w:rPr>
                <w:rFonts w:ascii="Consolas" w:hAnsi="Consolas"/>
                <w:color w:val="203448"/>
                <w:sz w:val="14"/>
              </w:rPr>
              <w:t>FILE_STORAGE_ROOT=./data/uploads</w:t>
            </w:r>
          </w:p>
          <w:p>
            <w:pPr>
              <w:pStyle w:val="TATTVACode"/>
              <w:keepLines/>
            </w:pPr>
            <w:r>
              <w:rPr>
                <w:rFonts w:ascii="Consolas" w:hAnsi="Consolas"/>
                <w:color w:val="203448"/>
                <w:sz w:val="14"/>
              </w:rPr>
              <w:t>MAX_UPLOAD_MB=25</w:t>
            </w:r>
          </w:p>
          <w:p>
            <w:pPr>
              <w:pStyle w:val="TATTVACode"/>
              <w:keepLines/>
            </w:pPr>
            <w:r>
              <w:rPr>
                <w:rFonts w:ascii="Consolas" w:hAnsi="Consolas"/>
                <w:color w:val="203448"/>
                <w:sz w:val="14"/>
              </w:rPr>
              <w:t>QDRANT_URL=http://localhost:6333</w:t>
            </w:r>
          </w:p>
          <w:p>
            <w:pPr>
              <w:pStyle w:val="TATTVACode"/>
              <w:keepLines/>
            </w:pPr>
            <w:r>
              <w:rPr>
                <w:rFonts w:ascii="Consolas" w:hAnsi="Consolas"/>
                <w:color w:val="203448"/>
                <w:sz w:val="14"/>
              </w:rPr>
              <w:t>QDRANT_API_KEY=</w:t>
            </w:r>
          </w:p>
          <w:p>
            <w:pPr>
              <w:pStyle w:val="TATTVACode"/>
              <w:keepLines/>
            </w:pPr>
            <w:r>
              <w:rPr>
                <w:rFonts w:ascii="Consolas" w:hAnsi="Consolas"/>
                <w:color w:val="203448"/>
                <w:sz w:val="14"/>
              </w:rPr>
              <w:t>QDRANT_COLLECTION=tattva_case_chunks</w:t>
            </w:r>
          </w:p>
          <w:p>
            <w:pPr>
              <w:pStyle w:val="TATTVACode"/>
              <w:keepLines/>
            </w:pPr>
            <w:r>
              <w:rPr>
                <w:rFonts w:ascii="Consolas" w:hAnsi="Consolas"/>
                <w:color w:val="203448"/>
                <w:sz w:val="14"/>
              </w:rPr>
              <w:t>EMBEDDING_PROVIDER=fastembed</w:t>
            </w:r>
          </w:p>
          <w:p>
            <w:pPr>
              <w:pStyle w:val="TATTVACode"/>
              <w:keepLines/>
            </w:pPr>
            <w:r>
              <w:rPr>
                <w:rFonts w:ascii="Consolas" w:hAnsi="Consolas"/>
                <w:color w:val="203448"/>
                <w:sz w:val="14"/>
              </w:rPr>
              <w:t>EMBEDDING_MODEL=&lt;configured-embedding-model&gt;</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Core LLM (online provider; exact values selected at setup)</w:t>
            </w:r>
          </w:p>
          <w:p>
            <w:pPr>
              <w:pStyle w:val="TATTVACode"/>
              <w:keepLines/>
            </w:pPr>
            <w:r>
              <w:rPr>
                <w:rFonts w:ascii="Consolas" w:hAnsi="Consolas"/>
                <w:color w:val="203448"/>
                <w:sz w:val="14"/>
              </w:rPr>
              <w:t>CORE_LLM_PROVIDER=&lt;provider-adapter-name&gt;</w:t>
            </w:r>
          </w:p>
          <w:p>
            <w:pPr>
              <w:pStyle w:val="TATTVACode"/>
              <w:keepLines/>
            </w:pPr>
            <w:r>
              <w:rPr>
                <w:rFonts w:ascii="Consolas" w:hAnsi="Consolas"/>
                <w:color w:val="203448"/>
                <w:sz w:val="14"/>
              </w:rPr>
              <w:t>CORE_LLM_BASE_URL=&lt;provider-endpoint&gt;</w:t>
            </w:r>
          </w:p>
          <w:p>
            <w:pPr>
              <w:pStyle w:val="TATTVACode"/>
              <w:keepLines/>
            </w:pPr>
            <w:r>
              <w:rPr>
                <w:rFonts w:ascii="Consolas" w:hAnsi="Consolas"/>
                <w:color w:val="203448"/>
                <w:sz w:val="14"/>
              </w:rPr>
              <w:t>CORE_LLM_API_KEY=&lt;server-only-secret&gt;</w:t>
            </w:r>
          </w:p>
          <w:p>
            <w:pPr>
              <w:pStyle w:val="TATTVACode"/>
              <w:keepLines/>
            </w:pPr>
            <w:r>
              <w:rPr>
                <w:rFonts w:ascii="Consolas" w:hAnsi="Consolas"/>
                <w:color w:val="203448"/>
                <w:sz w:val="14"/>
              </w:rPr>
              <w:t>CORE_LLM_MODEL=&lt;supported-model-id&gt;</w:t>
            </w:r>
          </w:p>
          <w:p>
            <w:pPr>
              <w:pStyle w:val="TATTVACode"/>
              <w:keepLines/>
            </w:pPr>
            <w:r>
              <w:rPr>
                <w:rFonts w:ascii="Consolas" w:hAnsi="Consolas"/>
                <w:color w:val="203448"/>
                <w:sz w:val="14"/>
              </w:rPr>
              <w:t>CORE_LLM_TIMEOUT_SECONDS=45</w:t>
            </w:r>
          </w:p>
          <w:p>
            <w:pPr>
              <w:pStyle w:val="TATTVACode"/>
              <w:keepLines/>
            </w:pPr>
            <w:r>
              <w:rPr>
                <w:rFonts w:ascii="Consolas" w:hAnsi="Consolas"/>
                <w:color w:val="203448"/>
                <w:sz w:val="14"/>
              </w:rPr>
              <w:t>CORE_LLM_MAX_OUTPUT_TOKENS=2048</w:t>
            </w:r>
          </w:p>
          <w:p>
            <w:pPr>
              <w:pStyle w:val="TATTVACode"/>
              <w:keepLines/>
            </w:pPr>
            <w:r>
              <w:rPr>
                <w:rFonts w:ascii="Consolas" w:hAnsi="Consolas"/>
                <w:color w:val="203448"/>
                <w:sz w:val="14"/>
              </w:rPr>
              <w:t>CORE_LLM_MAX_COST_PER_RUN=&lt;budget&gt;</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Gemini Live voice</w:t>
            </w:r>
          </w:p>
          <w:p>
            <w:pPr>
              <w:pStyle w:val="TATTVACode"/>
              <w:keepLines/>
            </w:pPr>
            <w:r>
              <w:rPr>
                <w:rFonts w:ascii="Consolas" w:hAnsi="Consolas"/>
                <w:color w:val="203448"/>
                <w:sz w:val="14"/>
              </w:rPr>
              <w:t>GEMINI_API_KEY=&lt;server-only-secret&gt;</w:t>
            </w:r>
          </w:p>
          <w:p>
            <w:pPr>
              <w:pStyle w:val="TATTVACode"/>
              <w:keepLines/>
            </w:pPr>
            <w:r>
              <w:rPr>
                <w:rFonts w:ascii="Consolas" w:hAnsi="Consolas"/>
                <w:color w:val="203448"/>
                <w:sz w:val="14"/>
              </w:rPr>
              <w:t>GEMINI_LIVE_MODEL=&lt;currently-supported-live-model-id&gt;</w:t>
            </w:r>
          </w:p>
          <w:p>
            <w:pPr>
              <w:pStyle w:val="TATTVACode"/>
              <w:keepLines/>
            </w:pPr>
            <w:r>
              <w:rPr>
                <w:rFonts w:ascii="Consolas" w:hAnsi="Consolas"/>
                <w:color w:val="203448"/>
                <w:sz w:val="14"/>
              </w:rPr>
              <w:t>VOICE_SESSION_MAX_SECONDS=1800</w:t>
            </w:r>
          </w:p>
          <w:p>
            <w:pPr>
              <w:pStyle w:val="TATTVACode"/>
              <w:keepLines/>
            </w:pPr>
            <w:r>
              <w:rPr>
                <w:rFonts w:ascii="Consolas" w:hAnsi="Consolas"/>
                <w:color w:val="203448"/>
                <w:sz w:val="14"/>
              </w:rPr>
              <w:t>VOICE_TRANSCRIPT_RETENTION_DAYS=&lt;policy-value&gt;</w:t>
            </w:r>
          </w:p>
          <w:p>
            <w:pPr>
              <w:pStyle w:val="TATTVACode"/>
              <w:keepLines/>
            </w:pPr>
            <w:r>
              <w:rPr>
                <w:rFonts w:ascii="Consolas" w:hAnsi="Consolas"/>
                <w:color w:val="203448"/>
                <w:sz w:val="14"/>
              </w:rPr>
              <w:t xml:space="preserve"> </w:t>
            </w:r>
          </w:p>
          <w:p>
            <w:pPr>
              <w:pStyle w:val="TATTVACode"/>
              <w:keepLines/>
            </w:pPr>
            <w:r>
              <w:rPr>
                <w:rFonts w:ascii="Consolas" w:hAnsi="Consolas"/>
                <w:color w:val="203448"/>
                <w:sz w:val="14"/>
              </w:rPr>
              <w:t># Orchestration bounds</w:t>
            </w:r>
          </w:p>
          <w:p>
            <w:pPr>
              <w:pStyle w:val="TATTVACode"/>
              <w:keepLines/>
            </w:pPr>
            <w:r>
              <w:rPr>
                <w:rFonts w:ascii="Consolas" w:hAnsi="Consolas"/>
                <w:color w:val="203448"/>
                <w:sz w:val="14"/>
              </w:rPr>
              <w:t>MAX_TASKS_PER_RUN=20</w:t>
            </w:r>
          </w:p>
          <w:p>
            <w:pPr>
              <w:pStyle w:val="TATTVACode"/>
              <w:keepLines/>
            </w:pPr>
            <w:r>
              <w:rPr>
                <w:rFonts w:ascii="Consolas" w:hAnsi="Consolas"/>
                <w:color w:val="203448"/>
                <w:sz w:val="14"/>
              </w:rPr>
              <w:t>MAX_REPLAN_ROUNDS=2</w:t>
            </w:r>
          </w:p>
          <w:p>
            <w:pPr>
              <w:pStyle w:val="TATTVACode"/>
              <w:keepLines/>
            </w:pPr>
            <w:r>
              <w:rPr>
                <w:rFonts w:ascii="Consolas" w:hAnsi="Consolas"/>
                <w:color w:val="203448"/>
                <w:sz w:val="14"/>
              </w:rPr>
              <w:t>MAX_RETRIES_PER_TASK=1</w:t>
            </w:r>
          </w:p>
          <w:p>
            <w:pPr>
              <w:pStyle w:val="TATTVACode"/>
              <w:keepLines/>
            </w:pPr>
            <w:r>
              <w:rPr>
                <w:rFonts w:ascii="Consolas" w:hAnsi="Consolas"/>
                <w:color w:val="203448"/>
                <w:sz w:val="14"/>
              </w:rPr>
              <w:t>MAX_CONCURRENT_TASKS=3</w:t>
            </w:r>
          </w:p>
          <w:p>
            <w:pPr>
              <w:pStyle w:val="TATTVACode"/>
              <w:keepLines/>
            </w:pPr>
            <w:r>
              <w:rPr>
                <w:rFonts w:ascii="Consolas" w:hAnsi="Consolas"/>
                <w:color w:val="203448"/>
                <w:sz w:val="14"/>
              </w:rPr>
              <w:t>MAX_RUN_COST=&lt;budget&gt;</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0E8"/>
            <w:tcMar>
              <w:top w:w="140" w:type="dxa"/>
              <w:start w:w="180" w:type="dxa"/>
              <w:bottom w:w="140" w:type="dxa"/>
              <w:end w:w="180" w:type="dxa"/>
            </w:tcMar>
          </w:tcPr>
          <w:p>
            <w:pPr>
              <w:spacing w:after="60"/>
            </w:pPr>
            <w:r/>
            <w:r>
              <w:rPr>
                <w:b/>
                <w:color w:val="E07A45"/>
                <w:sz w:val="20"/>
              </w:rPr>
              <w:t>Configuration hygiene</w:t>
            </w:r>
          </w:p>
          <w:p>
            <w:pPr>
              <w:spacing w:after="0" w:line="252" w:lineRule="auto"/>
            </w:pPr>
            <w:r>
              <w:rPr>
                <w:color w:val="18242F"/>
                <w:sz w:val="18"/>
              </w:rPr>
              <w:t>Use a secret manager in hosted environments. Keep provider credentials out of frontend variables and logs. The placeholders above are not valid values. Exact model IDs, endpoints, quotas and pricing must be checked at implementation time.</w:t>
            </w:r>
          </w:p>
        </w:tc>
      </w:tr>
    </w:tbl>
    <w:p>
      <w:pPr>
        <w:spacing w:after="20"/>
      </w:pPr>
    </w:p>
    <w:p>
      <w:pPr>
        <w:pStyle w:val="Heading1"/>
      </w:pPr>
      <w:r>
        <w:t>Appendix C. Official technical references</w:t>
      </w:r>
    </w:p>
    <w:p>
      <w:r>
        <w:rPr>
          <w:i/>
        </w:rPr>
        <w:t>The following official references support integration details. Model names, SDKs, endpoints, quotas and pricing change; verify the current pages before implementation. The architecture and security requirements in this document remain TATTVA design decisions unless explicitly described as provider-specific.</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vAlign w:val="center"/>
            <w:tcMar>
              <w:top w:w="90" w:type="dxa"/>
              <w:start w:w="110" w:type="dxa"/>
              <w:bottom w:w="90" w:type="dxa"/>
              <w:end w:w="110" w:type="dxa"/>
            </w:tcMar>
            <w:shd w:fill="1D3B55"/>
          </w:tcPr>
          <w:p>
            <w:pPr>
              <w:spacing w:after="0" w:line="240" w:lineRule="auto"/>
            </w:pPr>
            <w:r/>
            <w:r>
              <w:rPr>
                <w:rFonts w:ascii="Arial" w:hAnsi="Arial"/>
                <w:b/>
                <w:color w:val="FFFFFF"/>
                <w:sz w:val="16"/>
              </w:rPr>
              <w:t>Reference</w:t>
            </w:r>
          </w:p>
        </w:tc>
        <w:tc>
          <w:tcPr>
            <w:tcW w:type="dxa" w:w="3960"/>
            <w:vAlign w:val="center"/>
            <w:tcMar>
              <w:top w:w="90" w:type="dxa"/>
              <w:start w:w="110" w:type="dxa"/>
              <w:bottom w:w="90" w:type="dxa"/>
              <w:end w:w="110" w:type="dxa"/>
            </w:tcMar>
            <w:shd w:fill="1D3B55"/>
          </w:tcPr>
          <w:p>
            <w:pPr>
              <w:spacing w:after="0" w:line="240" w:lineRule="auto"/>
            </w:pPr>
            <w:r/>
            <w:r>
              <w:rPr>
                <w:rFonts w:ascii="Arial" w:hAnsi="Arial"/>
                <w:b/>
                <w:color w:val="FFFFFF"/>
                <w:sz w:val="16"/>
              </w:rPr>
              <w:t>URL</w:t>
            </w:r>
          </w:p>
        </w:tc>
        <w:tc>
          <w:tcPr>
            <w:tcW w:type="dxa" w:w="3312"/>
            <w:vAlign w:val="center"/>
            <w:tcMar>
              <w:top w:w="90" w:type="dxa"/>
              <w:start w:w="110" w:type="dxa"/>
              <w:bottom w:w="90" w:type="dxa"/>
              <w:end w:w="110" w:type="dxa"/>
            </w:tcMar>
            <w:shd w:fill="1D3B55"/>
          </w:tcPr>
          <w:p>
            <w:pPr>
              <w:spacing w:after="0" w:line="240" w:lineRule="auto"/>
            </w:pPr>
            <w:r/>
            <w:r>
              <w:rPr>
                <w:rFonts w:ascii="Arial" w:hAnsi="Arial"/>
                <w:b/>
                <w:color w:val="FFFFFF"/>
                <w:sz w:val="16"/>
              </w:rPr>
              <w:t>Use in TATTVA</w:t>
            </w:r>
          </w:p>
        </w:tc>
      </w:tr>
      <w:tr>
        <w:tc>
          <w:tcPr>
            <w:tcW w:type="dxa" w:w="2520"/>
            <w:vAlign w:val="center"/>
            <w:tcMar>
              <w:top w:w="90" w:type="dxa"/>
              <w:start w:w="110" w:type="dxa"/>
              <w:bottom w:w="90" w:type="dxa"/>
              <w:end w:w="110" w:type="dxa"/>
            </w:tcMar>
          </w:tcPr>
          <w:p>
            <w:pPr>
              <w:spacing w:after="0" w:line="240" w:lineRule="auto"/>
            </w:pPr>
            <w:r/>
            <w:r>
              <w:rPr>
                <w:rFonts w:ascii="Arial" w:hAnsi="Arial"/>
                <w:b w:val="0"/>
                <w:color w:val="18242F"/>
                <w:sz w:val="13"/>
              </w:rPr>
              <w:t>Gemini Live API: SDK getting started</w:t>
            </w:r>
          </w:p>
        </w:tc>
        <w:tc>
          <w:tcPr>
            <w:tcW w:type="dxa" w:w="3960"/>
            <w:vAlign w:val="center"/>
            <w:tcMar>
              <w:top w:w="90" w:type="dxa"/>
              <w:start w:w="110" w:type="dxa"/>
              <w:bottom w:w="90" w:type="dxa"/>
              <w:end w:w="110" w:type="dxa"/>
            </w:tcMar>
          </w:tcPr>
          <w:p>
            <w:pPr>
              <w:spacing w:after="0" w:line="240" w:lineRule="auto"/>
            </w:pPr>
            <w:r/>
            <w:r>
              <w:rPr>
                <w:rFonts w:ascii="Arial" w:hAnsi="Arial"/>
                <w:b w:val="0"/>
                <w:color w:val="18242F"/>
                <w:sz w:val="13"/>
              </w:rPr>
              <w:t>https://ai.google.dev/gemini-api/docs/live-api/get-started-sdk</w:t>
            </w:r>
          </w:p>
        </w:tc>
        <w:tc>
          <w:tcPr>
            <w:tcW w:type="dxa" w:w="3312"/>
            <w:vAlign w:val="center"/>
            <w:tcMar>
              <w:top w:w="90" w:type="dxa"/>
              <w:start w:w="110" w:type="dxa"/>
              <w:bottom w:w="90" w:type="dxa"/>
              <w:end w:w="110" w:type="dxa"/>
            </w:tcMar>
          </w:tcPr>
          <w:p>
            <w:pPr>
              <w:spacing w:after="0" w:line="240" w:lineRule="auto"/>
            </w:pPr>
            <w:r/>
            <w:r>
              <w:rPr>
                <w:rFonts w:ascii="Arial" w:hAnsi="Arial"/>
                <w:b w:val="0"/>
                <w:color w:val="18242F"/>
                <w:sz w:val="13"/>
              </w:rPr>
              <w:t>Realtime bidirectional audio/text, WebSockets, session setup and input transcription concepts.</w:t>
            </w:r>
          </w:p>
        </w:tc>
      </w:tr>
      <w:tr>
        <w:tc>
          <w:tcPr>
            <w:tcW w:type="dxa" w:w="2520"/>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Gemini Live API: tool use</w:t>
            </w:r>
          </w:p>
        </w:tc>
        <w:tc>
          <w:tcPr>
            <w:tcW w:type="dxa" w:w="3960"/>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https://ai.google.dev/gemini-api/docs/live-api/tools</w:t>
            </w:r>
          </w:p>
        </w:tc>
        <w:tc>
          <w:tcPr>
            <w:tcW w:type="dxa" w:w="3312"/>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Function calling and the requirement for the application to execute/validate tool calls and send responses.</w:t>
            </w:r>
          </w:p>
        </w:tc>
      </w:tr>
      <w:tr>
        <w:tc>
          <w:tcPr>
            <w:tcW w:type="dxa" w:w="2520"/>
            <w:vAlign w:val="center"/>
            <w:tcMar>
              <w:top w:w="90" w:type="dxa"/>
              <w:start w:w="110" w:type="dxa"/>
              <w:bottom w:w="90" w:type="dxa"/>
              <w:end w:w="110" w:type="dxa"/>
            </w:tcMar>
          </w:tcPr>
          <w:p>
            <w:pPr>
              <w:spacing w:after="0" w:line="240" w:lineRule="auto"/>
            </w:pPr>
            <w:r/>
            <w:r>
              <w:rPr>
                <w:rFonts w:ascii="Arial" w:hAnsi="Arial"/>
                <w:b w:val="0"/>
                <w:color w:val="18242F"/>
                <w:sz w:val="13"/>
              </w:rPr>
              <w:t>Gemini Live API capabilities</w:t>
            </w:r>
          </w:p>
        </w:tc>
        <w:tc>
          <w:tcPr>
            <w:tcW w:type="dxa" w:w="3960"/>
            <w:vAlign w:val="center"/>
            <w:tcMar>
              <w:top w:w="90" w:type="dxa"/>
              <w:start w:w="110" w:type="dxa"/>
              <w:bottom w:w="90" w:type="dxa"/>
              <w:end w:w="110" w:type="dxa"/>
            </w:tcMar>
          </w:tcPr>
          <w:p>
            <w:pPr>
              <w:spacing w:after="0" w:line="240" w:lineRule="auto"/>
            </w:pPr>
            <w:r/>
            <w:r>
              <w:rPr>
                <w:rFonts w:ascii="Arial" w:hAnsi="Arial"/>
                <w:b w:val="0"/>
                <w:color w:val="18242F"/>
                <w:sz w:val="13"/>
              </w:rPr>
              <w:t>https://ai.google.dev/gemini-api/docs/live-api/capabilities</w:t>
            </w:r>
          </w:p>
        </w:tc>
        <w:tc>
          <w:tcPr>
            <w:tcW w:type="dxa" w:w="3312"/>
            <w:vAlign w:val="center"/>
            <w:tcMar>
              <w:top w:w="90" w:type="dxa"/>
              <w:start w:w="110" w:type="dxa"/>
              <w:bottom w:w="90" w:type="dxa"/>
              <w:end w:w="110" w:type="dxa"/>
            </w:tcMar>
          </w:tcPr>
          <w:p>
            <w:pPr>
              <w:spacing w:after="0" w:line="240" w:lineRule="auto"/>
            </w:pPr>
            <w:r/>
            <w:r>
              <w:rPr>
                <w:rFonts w:ascii="Arial" w:hAnsi="Arial"/>
                <w:b w:val="0"/>
                <w:color w:val="18242F"/>
                <w:sz w:val="13"/>
              </w:rPr>
              <w:t>Audio formats, modalities and session capabilities.</w:t>
            </w:r>
          </w:p>
        </w:tc>
      </w:tr>
      <w:tr>
        <w:tc>
          <w:tcPr>
            <w:tcW w:type="dxa" w:w="2520"/>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FastAPI WebSockets</w:t>
            </w:r>
          </w:p>
        </w:tc>
        <w:tc>
          <w:tcPr>
            <w:tcW w:type="dxa" w:w="3960"/>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https://fastapi.tiangolo.com/advanced/websockets/</w:t>
            </w:r>
          </w:p>
        </w:tc>
        <w:tc>
          <w:tcPr>
            <w:tcW w:type="dxa" w:w="3312"/>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Application WebSocket support; useful for voice/event gateway implementations.</w:t>
            </w:r>
          </w:p>
        </w:tc>
      </w:tr>
      <w:tr>
        <w:tc>
          <w:tcPr>
            <w:tcW w:type="dxa" w:w="2520"/>
            <w:vAlign w:val="center"/>
            <w:tcMar>
              <w:top w:w="90" w:type="dxa"/>
              <w:start w:w="110" w:type="dxa"/>
              <w:bottom w:w="90" w:type="dxa"/>
              <w:end w:w="110" w:type="dxa"/>
            </w:tcMar>
          </w:tcPr>
          <w:p>
            <w:pPr>
              <w:spacing w:after="0" w:line="240" w:lineRule="auto"/>
            </w:pPr>
            <w:r/>
            <w:r>
              <w:rPr>
                <w:rFonts w:ascii="Arial" w:hAnsi="Arial"/>
                <w:b w:val="0"/>
                <w:color w:val="18242F"/>
                <w:sz w:val="13"/>
              </w:rPr>
              <w:t>MongoDB PyMongo Async migration</w:t>
            </w:r>
          </w:p>
        </w:tc>
        <w:tc>
          <w:tcPr>
            <w:tcW w:type="dxa" w:w="3960"/>
            <w:vAlign w:val="center"/>
            <w:tcMar>
              <w:top w:w="90" w:type="dxa"/>
              <w:start w:w="110" w:type="dxa"/>
              <w:bottom w:w="90" w:type="dxa"/>
              <w:end w:w="110" w:type="dxa"/>
            </w:tcMar>
          </w:tcPr>
          <w:p>
            <w:pPr>
              <w:spacing w:after="0" w:line="240" w:lineRule="auto"/>
            </w:pPr>
            <w:r/>
            <w:r>
              <w:rPr>
                <w:rFonts w:ascii="Arial" w:hAnsi="Arial"/>
                <w:b w:val="0"/>
                <w:color w:val="18242F"/>
                <w:sz w:val="13"/>
              </w:rPr>
              <w:t>https://www.mongodb.com/docs/languages/python/pymongo-driver/current/reference/migration/</w:t>
            </w:r>
          </w:p>
        </w:tc>
        <w:tc>
          <w:tcPr>
            <w:tcW w:type="dxa" w:w="3312"/>
            <w:vAlign w:val="center"/>
            <w:tcMar>
              <w:top w:w="90" w:type="dxa"/>
              <w:start w:w="110" w:type="dxa"/>
              <w:bottom w:w="90" w:type="dxa"/>
              <w:end w:w="110" w:type="dxa"/>
            </w:tcMar>
          </w:tcPr>
          <w:p>
            <w:pPr>
              <w:spacing w:after="0" w:line="240" w:lineRule="auto"/>
            </w:pPr>
            <w:r/>
            <w:r>
              <w:rPr>
                <w:rFonts w:ascii="Arial" w:hAnsi="Arial"/>
                <w:b w:val="0"/>
                <w:color w:val="18242F"/>
                <w:sz w:val="13"/>
              </w:rPr>
              <w:t>Current asynchronous MongoDB driver path; Motor deprecation guidance.</w:t>
            </w:r>
          </w:p>
        </w:tc>
      </w:tr>
      <w:tr>
        <w:tc>
          <w:tcPr>
            <w:tcW w:type="dxa" w:w="2520"/>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Qdrant filtering</w:t>
            </w:r>
          </w:p>
        </w:tc>
        <w:tc>
          <w:tcPr>
            <w:tcW w:type="dxa" w:w="3960"/>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https://qdrant.tech/documentation/search/filtering/</w:t>
            </w:r>
          </w:p>
        </w:tc>
        <w:tc>
          <w:tcPr>
            <w:tcW w:type="dxa" w:w="3312"/>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Query filters and conditions for scoped vector retrieval.</w:t>
            </w:r>
          </w:p>
        </w:tc>
      </w:tr>
      <w:tr>
        <w:tc>
          <w:tcPr>
            <w:tcW w:type="dxa" w:w="2520"/>
            <w:vAlign w:val="center"/>
            <w:tcMar>
              <w:top w:w="90" w:type="dxa"/>
              <w:start w:w="110" w:type="dxa"/>
              <w:bottom w:w="90" w:type="dxa"/>
              <w:end w:w="110" w:type="dxa"/>
            </w:tcMar>
          </w:tcPr>
          <w:p>
            <w:pPr>
              <w:spacing w:after="0" w:line="240" w:lineRule="auto"/>
            </w:pPr>
            <w:r/>
            <w:r>
              <w:rPr>
                <w:rFonts w:ascii="Arial" w:hAnsi="Arial"/>
                <w:b w:val="0"/>
                <w:color w:val="18242F"/>
                <w:sz w:val="13"/>
              </w:rPr>
              <w:t>Qdrant payload and payload indexes</w:t>
            </w:r>
          </w:p>
        </w:tc>
        <w:tc>
          <w:tcPr>
            <w:tcW w:type="dxa" w:w="3960"/>
            <w:vAlign w:val="center"/>
            <w:tcMar>
              <w:top w:w="90" w:type="dxa"/>
              <w:start w:w="110" w:type="dxa"/>
              <w:bottom w:w="90" w:type="dxa"/>
              <w:end w:w="110" w:type="dxa"/>
            </w:tcMar>
          </w:tcPr>
          <w:p>
            <w:pPr>
              <w:spacing w:after="0" w:line="240" w:lineRule="auto"/>
            </w:pPr>
            <w:r/>
            <w:r>
              <w:rPr>
                <w:rFonts w:ascii="Arial" w:hAnsi="Arial"/>
                <w:b w:val="0"/>
                <w:color w:val="18242F"/>
                <w:sz w:val="13"/>
              </w:rPr>
              <w:t>https://qdrant.tech/documentation/concepts/payload/</w:t>
            </w:r>
          </w:p>
        </w:tc>
        <w:tc>
          <w:tcPr>
            <w:tcW w:type="dxa" w:w="3312"/>
            <w:vAlign w:val="center"/>
            <w:tcMar>
              <w:top w:w="90" w:type="dxa"/>
              <w:start w:w="110" w:type="dxa"/>
              <w:bottom w:w="90" w:type="dxa"/>
              <w:end w:w="110" w:type="dxa"/>
            </w:tcMar>
          </w:tcPr>
          <w:p>
            <w:pPr>
              <w:spacing w:after="0" w:line="240" w:lineRule="auto"/>
            </w:pPr>
            <w:r/>
            <w:r>
              <w:rPr>
                <w:rFonts w:ascii="Arial" w:hAnsi="Arial"/>
                <w:b w:val="0"/>
                <w:color w:val="18242F"/>
                <w:sz w:val="13"/>
              </w:rPr>
              <w:t>Metadata payload storage and indexes for filterable fields.</w:t>
            </w:r>
          </w:p>
        </w:tc>
      </w:tr>
      <w:tr>
        <w:tc>
          <w:tcPr>
            <w:tcW w:type="dxa" w:w="2520"/>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OWASP Top 10 for LLM Applications 2025</w:t>
            </w:r>
          </w:p>
        </w:tc>
        <w:tc>
          <w:tcPr>
            <w:tcW w:type="dxa" w:w="3960"/>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https://owasp.org/www-project-top-10-for-large-language-model-applications/</w:t>
            </w:r>
          </w:p>
        </w:tc>
        <w:tc>
          <w:tcPr>
            <w:tcW w:type="dxa" w:w="3312"/>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Prompt injection and sensitive information risks; useful security checklist.</w:t>
            </w:r>
          </w:p>
        </w:tc>
      </w:tr>
      <w:tr>
        <w:tc>
          <w:tcPr>
            <w:tcW w:type="dxa" w:w="2520"/>
            <w:vAlign w:val="center"/>
            <w:tcMar>
              <w:top w:w="90" w:type="dxa"/>
              <w:start w:w="110" w:type="dxa"/>
              <w:bottom w:w="90" w:type="dxa"/>
              <w:end w:w="110" w:type="dxa"/>
            </w:tcMar>
          </w:tcPr>
          <w:p>
            <w:pPr>
              <w:spacing w:after="0" w:line="240" w:lineRule="auto"/>
            </w:pPr>
            <w:r/>
            <w:r>
              <w:rPr>
                <w:rFonts w:ascii="Arial" w:hAnsi="Arial"/>
                <w:b w:val="0"/>
                <w:color w:val="18242F"/>
                <w:sz w:val="13"/>
              </w:rPr>
              <w:t>Pydantic documentation</w:t>
            </w:r>
          </w:p>
        </w:tc>
        <w:tc>
          <w:tcPr>
            <w:tcW w:type="dxa" w:w="3960"/>
            <w:vAlign w:val="center"/>
            <w:tcMar>
              <w:top w:w="90" w:type="dxa"/>
              <w:start w:w="110" w:type="dxa"/>
              <w:bottom w:w="90" w:type="dxa"/>
              <w:end w:w="110" w:type="dxa"/>
            </w:tcMar>
          </w:tcPr>
          <w:p>
            <w:pPr>
              <w:spacing w:after="0" w:line="240" w:lineRule="auto"/>
            </w:pPr>
            <w:r/>
            <w:r>
              <w:rPr>
                <w:rFonts w:ascii="Arial" w:hAnsi="Arial"/>
                <w:b w:val="0"/>
                <w:color w:val="18242F"/>
                <w:sz w:val="13"/>
              </w:rPr>
              <w:t>https://docs.pydantic.dev/latest/</w:t>
            </w:r>
          </w:p>
        </w:tc>
        <w:tc>
          <w:tcPr>
            <w:tcW w:type="dxa" w:w="3312"/>
            <w:vAlign w:val="center"/>
            <w:tcMar>
              <w:top w:w="90" w:type="dxa"/>
              <w:start w:w="110" w:type="dxa"/>
              <w:bottom w:w="90" w:type="dxa"/>
              <w:end w:w="110" w:type="dxa"/>
            </w:tcMar>
          </w:tcPr>
          <w:p>
            <w:pPr>
              <w:spacing w:after="0" w:line="240" w:lineRule="auto"/>
            </w:pPr>
            <w:r/>
            <w:r>
              <w:rPr>
                <w:rFonts w:ascii="Arial" w:hAnsi="Arial"/>
                <w:b w:val="0"/>
                <w:color w:val="18242F"/>
                <w:sz w:val="13"/>
              </w:rPr>
              <w:t>Typed schemas and runtime validation patterns.</w:t>
            </w:r>
          </w:p>
        </w:tc>
      </w:tr>
      <w:tr>
        <w:tc>
          <w:tcPr>
            <w:tcW w:type="dxa" w:w="2520"/>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NetworkX documentation</w:t>
            </w:r>
          </w:p>
        </w:tc>
        <w:tc>
          <w:tcPr>
            <w:tcW w:type="dxa" w:w="3960"/>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https://networkx.org/documentation/stable/</w:t>
            </w:r>
          </w:p>
        </w:tc>
        <w:tc>
          <w:tcPr>
            <w:tcW w:type="dxa" w:w="3312"/>
            <w:vAlign w:val="center"/>
            <w:tcMar>
              <w:top w:w="90" w:type="dxa"/>
              <w:start w:w="110" w:type="dxa"/>
              <w:bottom w:w="90" w:type="dxa"/>
              <w:end w:w="110" w:type="dxa"/>
            </w:tcMar>
            <w:shd w:fill="F5F8FA"/>
          </w:tcPr>
          <w:p>
            <w:pPr>
              <w:spacing w:after="0" w:line="240" w:lineRule="auto"/>
            </w:pPr>
            <w:r/>
            <w:r>
              <w:rPr>
                <w:rFonts w:ascii="Arial" w:hAnsi="Arial"/>
                <w:b w:val="0"/>
                <w:color w:val="18242F"/>
                <w:sz w:val="13"/>
              </w:rPr>
              <w:t>Graph algorithms, graph data structures and network metrics.</w:t>
            </w:r>
          </w:p>
        </w:tc>
      </w:tr>
      <w:tr>
        <w:tc>
          <w:tcPr>
            <w:tcW w:type="dxa" w:w="2520"/>
            <w:vAlign w:val="center"/>
            <w:tcMar>
              <w:top w:w="90" w:type="dxa"/>
              <w:start w:w="110" w:type="dxa"/>
              <w:bottom w:w="90" w:type="dxa"/>
              <w:end w:w="110" w:type="dxa"/>
            </w:tcMar>
          </w:tcPr>
          <w:p>
            <w:pPr>
              <w:spacing w:after="0" w:line="240" w:lineRule="auto"/>
            </w:pPr>
            <w:r/>
            <w:r>
              <w:rPr>
                <w:rFonts w:ascii="Arial" w:hAnsi="Arial"/>
                <w:b w:val="0"/>
                <w:color w:val="18242F"/>
                <w:sz w:val="13"/>
              </w:rPr>
              <w:t>Pytest documentation</w:t>
            </w:r>
          </w:p>
        </w:tc>
        <w:tc>
          <w:tcPr>
            <w:tcW w:type="dxa" w:w="3960"/>
            <w:vAlign w:val="center"/>
            <w:tcMar>
              <w:top w:w="90" w:type="dxa"/>
              <w:start w:w="110" w:type="dxa"/>
              <w:bottom w:w="90" w:type="dxa"/>
              <w:end w:w="110" w:type="dxa"/>
            </w:tcMar>
          </w:tcPr>
          <w:p>
            <w:pPr>
              <w:spacing w:after="0" w:line="240" w:lineRule="auto"/>
            </w:pPr>
            <w:r/>
            <w:r>
              <w:rPr>
                <w:rFonts w:ascii="Arial" w:hAnsi="Arial"/>
                <w:b w:val="0"/>
                <w:color w:val="18242F"/>
                <w:sz w:val="13"/>
              </w:rPr>
              <w:t>https://docs.pytest.org/en/stable/</w:t>
            </w:r>
          </w:p>
        </w:tc>
        <w:tc>
          <w:tcPr>
            <w:tcW w:type="dxa" w:w="3312"/>
            <w:vAlign w:val="center"/>
            <w:tcMar>
              <w:top w:w="90" w:type="dxa"/>
              <w:start w:w="110" w:type="dxa"/>
              <w:bottom w:w="90" w:type="dxa"/>
              <w:end w:w="110" w:type="dxa"/>
            </w:tcMar>
          </w:tcPr>
          <w:p>
            <w:pPr>
              <w:spacing w:after="0" w:line="240" w:lineRule="auto"/>
            </w:pPr>
            <w:r/>
            <w:r>
              <w:rPr>
                <w:rFonts w:ascii="Arial" w:hAnsi="Arial"/>
                <w:b w:val="0"/>
                <w:color w:val="18242F"/>
                <w:sz w:val="13"/>
              </w:rPr>
              <w:t>Automated test patterns and fixtures.</w:t>
            </w:r>
          </w:p>
        </w:tc>
      </w:tr>
    </w:tbl>
    <w:p>
      <w:pPr>
        <w:spacing w:after="20"/>
      </w:pPr>
    </w:p>
    <w:sectPr w:rsidR="00FC693F" w:rsidRPr="0006063C" w:rsidSect="00034616">
      <w:headerReference w:type="default" r:id="rId9"/>
      <w:footerReference w:type="default" r:id="rId10"/>
      <w:pgSz w:w="12240" w:h="15840"/>
      <w:pgMar w:top="979" w:right="1037" w:bottom="922"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D6B78"/>
        <w:sz w:val="15"/>
      </w:rPr>
      <w:t xml:space="preserve">TATTVA • Internal project design • Synthetic-data MVP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right"/>
      <w:pBdr>
        <w:bottom w:val="single" w:sz="6" w:space="2" w:color="0F8B8D"/>
      </w:pBdr>
    </w:pPr>
    <w:r>
      <w:rPr>
        <w:rFonts w:ascii="Arial" w:hAnsi="Arial"/>
        <w:b/>
        <w:color w:val="0F8B8D"/>
        <w:sz w:val="15"/>
      </w:rPr>
      <w:t>TATTVA  /  BACKEND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824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263C"/>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F8B8D"/>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D3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263C"/>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b w:val="0"/>
      <w:i/>
      <w:iCs/>
      <w:color w:val="0F8B8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TTVACode">
    <w:name w:val="TATTVA Code"/>
    <w:pPr>
      <w:spacing w:after="0" w:line="240" w:lineRule="auto"/>
    </w:pPr>
    <w:rPr>
      <w:rFonts w:ascii="Consolas" w:hAnsi="Consolas"/>
      <w:color w:val="203448"/>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TATTVA Backend Engineering Specification</dc:title>
  <dc:subject>Backend architecture, two-LLM integration, orchestration, RAG, APIs, evidence model, security, testing and implementation plan</dc:subject>
  <dc:creator>OpenAI</dc:creator>
  <cp:keywords>TATTVA, backend, FastAPI, RAG, multi-agent orchestration, evidence verification, Gemini Live</cp:keywords>
  <dc:description>generated by python-docx</dc:description>
  <cp:lastModifiedBy/>
  <cp:revision>1</cp:revision>
  <dcterms:created xsi:type="dcterms:W3CDTF">2013-12-23T23:15:00Z</dcterms:created>
  <dcterms:modified xsi:type="dcterms:W3CDTF">2013-12-23T23:15:00Z</dcterms:modified>
  <cp:category/>
</cp:coreProperties>
</file>