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u w:val="single"/>
          <w:lang w:val="pt-BR"/>
        </w:rPr>
      </w:pPr>
      <w:r>
        <w:rPr>
          <w:rFonts w:cs="Arial" w:ascii="Arial" w:hAnsi="Arial"/>
          <w:b/>
          <w:sz w:val="24"/>
          <w:szCs w:val="24"/>
          <w:u w:val="single"/>
          <w:lang w:val="pt-BR"/>
        </w:rPr>
        <w:t>Projeto de Pesquisa e Planejamento de Atividades</w:t>
      </w:r>
    </w:p>
    <w:p>
      <w:pPr>
        <w:pStyle w:val="Normal"/>
        <w:rPr>
          <w:rFonts w:ascii="Arial" w:hAnsi="Arial" w:cs="Arial"/>
          <w:b/>
          <w:b/>
          <w:sz w:val="22"/>
          <w:szCs w:val="22"/>
          <w:lang w:val="pt-BR"/>
        </w:rPr>
      </w:pPr>
      <w:r>
        <w:rPr>
          <w:rFonts w:cs="Arial" w:ascii="Arial" w:hAnsi="Arial"/>
          <w:b/>
          <w:sz w:val="22"/>
          <w:szCs w:val="22"/>
          <w:lang w:val="pt-BR"/>
        </w:rPr>
      </w:r>
    </w:p>
    <w:tbl>
      <w:tblPr>
        <w:tblW w:w="9067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28" w:type="dxa"/>
          <w:bottom w:w="0" w:type="dxa"/>
          <w:right w:w="28" w:type="dxa"/>
        </w:tblCellMar>
        <w:tblLook w:noVBand="1" w:val="04a0" w:noHBand="0" w:lastColumn="0" w:firstColumn="1" w:lastRow="0" w:firstRow="1"/>
      </w:tblPr>
      <w:tblGrid>
        <w:gridCol w:w="4389"/>
        <w:gridCol w:w="2693"/>
        <w:gridCol w:w="1"/>
        <w:gridCol w:w="1984"/>
      </w:tblGrid>
      <w:tr>
        <w:trPr/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sz w:val="22"/>
                <w:szCs w:val="22"/>
                <w:lang w:val="pt-BR"/>
              </w:rPr>
              <w:t>Aluno</w:t>
            </w:r>
            <w:r>
              <w:rPr>
                <w:rFonts w:cs="Arial" w:ascii="Arial" w:hAnsi="Arial"/>
                <w:sz w:val="22"/>
                <w:szCs w:val="22"/>
                <w:lang w:val="pt-BR"/>
              </w:rPr>
              <w:t>: Patrícia Lenes do Nascimento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sz w:val="22"/>
                <w:szCs w:val="22"/>
                <w:lang w:val="pt-BR"/>
              </w:rPr>
              <w:t>Data início curso</w:t>
            </w:r>
            <w:r>
              <w:rPr>
                <w:rFonts w:cs="Arial" w:ascii="Arial" w:hAnsi="Arial"/>
                <w:sz w:val="22"/>
                <w:szCs w:val="22"/>
                <w:lang w:val="pt-BR"/>
              </w:rPr>
              <w:t>:  04 / 10 / 2022</w:t>
            </w:r>
          </w:p>
        </w:tc>
      </w:tr>
      <w:tr>
        <w:trPr/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sz w:val="22"/>
                <w:szCs w:val="22"/>
                <w:lang w:val="pt-BR"/>
              </w:rPr>
              <w:t>Orientador</w:t>
            </w:r>
            <w:r>
              <w:rPr>
                <w:rFonts w:cs="Arial" w:ascii="Arial" w:hAnsi="Arial"/>
                <w:sz w:val="22"/>
                <w:szCs w:val="22"/>
                <w:lang w:val="pt-BR"/>
              </w:rPr>
              <w:t>: João Vitor Matos Gonçalves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sz w:val="22"/>
                <w:szCs w:val="22"/>
                <w:lang w:val="pt-BR"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pt-BR"/>
              </w:rPr>
              <w:t>Defesa em: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  <w:szCs w:val="22"/>
                <w:lang w:val="pt-BR"/>
              </w:rPr>
              <w:t xml:space="preserve"> </w:t>
            </w:r>
            <w:r>
              <w:rPr>
                <w:rFonts w:cs="Arial" w:ascii="Arial" w:hAnsi="Arial"/>
                <w:sz w:val="22"/>
                <w:szCs w:val="22"/>
                <w:lang w:val="pt-BR"/>
              </w:rPr>
              <w:t>07/2024</w:t>
            </w:r>
          </w:p>
        </w:tc>
      </w:tr>
      <w:tr>
        <w:trPr/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pt-BR"/>
              </w:rPr>
              <w:t>Curso</w:t>
            </w:r>
            <w:r>
              <w:rPr>
                <w:rFonts w:cs="Arial" w:ascii="Arial" w:hAnsi="Arial"/>
                <w:sz w:val="22"/>
                <w:szCs w:val="22"/>
                <w:lang w:val="pt-BR"/>
              </w:rPr>
              <w:t xml:space="preserve">: </w:t>
            </w:r>
            <w:r>
              <w:rPr/>
            </w:r>
            <w:sdt>
              <w:sdtPr>
                <w:dropDownList>
                  <w:listItem w:displayText="Selecionar." w:value="Selecionar."/>
                  <w:listItem w:displayText="MBA Agronegócios" w:value="MBA Agronegócios"/>
                  <w:listItem w:displayText="MBA Gestão de Negócios" w:value="MBA Gestão de Negócios"/>
                  <w:listItem w:displayText="MBA Gestão de Projetos" w:value="MBA Gestão de Projetos"/>
                  <w:listItem w:displayText="MBA Marketing" w:value="MBA Marketing"/>
                  <w:listItem w:displayText="MBA Varejo Físico e Online" w:value="MBA Varejo Físico e Online"/>
                  <w:listItem w:displayText="MBA Gestão Escolar" w:value="MBA Gestão Escolar"/>
                  <w:listItem w:displayText="MBA Data Science e Analytics" w:value="MBA Data Science e Analytics"/>
                  <w:listItem w:displayText="MBA Digital Business" w:value="MBA Digital Business"/>
                  <w:listItem w:displayText="MBA Finanças e Controladoria" w:value="MBA Finanças e Controladoria"/>
                  <w:listItem w:displayText="MBA Gestão de Pessoas" w:value="MBA Gestão de Pessoas"/>
                  <w:listItem w:displayText="MBA Gestão de Vendas" w:value="MBA Gestão de Vendas"/>
                  <w:listItem w:displayText="MBA Gestão Tributária" w:value="MBA Gestão Tributária"/>
                </w:dropDownList>
              </w:sdtPr>
              <w:sdtContent>
                <w:r>
                  <w:t>MBA Data Science e Analytics</w:t>
                </w:r>
              </w:sdtContent>
            </w:sdt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pt-BR"/>
              </w:rPr>
              <w:t>Modalidade</w:t>
            </w:r>
            <w:r>
              <w:rPr>
                <w:rFonts w:cs="Arial" w:ascii="Arial" w:hAnsi="Arial"/>
                <w:sz w:val="22"/>
                <w:szCs w:val="22"/>
                <w:lang w:val="pt-BR"/>
              </w:rPr>
              <w:t xml:space="preserve">: </w:t>
            </w:r>
            <w:r>
              <w:rPr/>
            </w:r>
            <w:sdt>
              <w:sdtPr>
                <w:dropDownList>
                  <w:listItem w:displayText="Selecionar" w:value="Selecionar"/>
                  <w:listItem w:displayText="Presencial" w:value="Presencial"/>
                  <w:listItem w:displayText="Distância" w:value="Distância"/>
                </w:dropDownList>
              </w:sdtPr>
              <w:sdtContent>
                <w:r>
                  <w:t>Distância</w:t>
                </w:r>
              </w:sdtContent>
            </w:sdt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cs="Arial" w:ascii="Arial" w:hAnsi="Arial"/>
                <w:sz w:val="22"/>
                <w:szCs w:val="22"/>
                <w:lang w:val="pt-BR"/>
              </w:rPr>
              <w:t xml:space="preserve">Turma: </w:t>
            </w:r>
            <w:r>
              <w:rPr/>
            </w:r>
            <w:sdt>
              <w:sdtPr>
                <w:dropDownList>
                  <w:listItem w:displayText="Selecionar." w:value="Selecionar."/>
                  <w:listItem w:displayText="201" w:value="201"/>
                  <w:listItem w:displayText="202" w:value="202"/>
                  <w:listItem w:displayText="211" w:value="211"/>
                  <w:listItem w:displayText="212" w:value="212"/>
                  <w:listItem w:displayText="221" w:value="221"/>
                  <w:listItem w:displayText="222" w:value="222"/>
                  <w:listItem w:displayText="231" w:value="231"/>
                  <w:listItem w:displayText="232" w:value="232"/>
                  <w:listItem w:displayText="241" w:value="241"/>
                  <w:listItem w:displayText="242" w:value="242"/>
                  <w:listItem w:displayText="251" w:value="251"/>
                  <w:listItem w:displayText="252" w:value="252"/>
                </w:dropDownList>
              </w:sdtPr>
              <w:sdtContent>
                <w:r>
                  <w:t>222</w:t>
                </w:r>
              </w:sdtContent>
            </w:sdt>
          </w:p>
        </w:tc>
      </w:tr>
    </w:tbl>
    <w:p>
      <w:pPr>
        <w:pStyle w:val="Normal"/>
        <w:spacing w:before="0" w:after="80"/>
        <w:rPr>
          <w:rFonts w:ascii="Arial" w:hAnsi="Arial" w:cs="Arial"/>
          <w:sz w:val="22"/>
          <w:szCs w:val="22"/>
          <w:lang w:val="pt-BR"/>
        </w:rPr>
      </w:pPr>
      <w:r>
        <w:rPr>
          <w:rFonts w:cs="Arial" w:ascii="Arial" w:hAnsi="Arial"/>
          <w:sz w:val="22"/>
          <w:szCs w:val="22"/>
          <w:lang w:val="pt-BR"/>
        </w:rPr>
      </w:r>
    </w:p>
    <w:p>
      <w:pPr>
        <w:pStyle w:val="Normal"/>
        <w:numPr>
          <w:ilvl w:val="0"/>
          <w:numId w:val="1"/>
        </w:numPr>
        <w:spacing w:before="0" w:after="40"/>
        <w:ind w:left="357" w:hanging="357"/>
        <w:rPr>
          <w:rFonts w:ascii="Arial" w:hAnsi="Arial" w:cs="Arial"/>
          <w:sz w:val="22"/>
          <w:szCs w:val="22"/>
          <w:u w:val="single"/>
          <w:lang w:val="pt-BR"/>
        </w:rPr>
      </w:pPr>
      <w:r>
        <w:rPr>
          <w:rFonts w:cs="Arial" w:ascii="Arial" w:hAnsi="Arial"/>
          <w:b/>
          <w:sz w:val="22"/>
          <w:szCs w:val="22"/>
          <w:lang w:val="pt-BR"/>
        </w:rPr>
        <w:t xml:space="preserve">Título do projeto </w:t>
      </w:r>
      <w:r>
        <w:rPr>
          <w:rFonts w:cs="Arial" w:ascii="Arial" w:hAnsi="Arial"/>
          <w:i/>
          <w:sz w:val="22"/>
          <w:szCs w:val="22"/>
          <w:lang w:val="pt-BR"/>
        </w:rPr>
        <w:t>(Inicial)</w:t>
      </w:r>
    </w:p>
    <w:p>
      <w:pPr>
        <w:pStyle w:val="Normal"/>
        <w:spacing w:before="0" w:after="40"/>
        <w:ind w:left="357" w:hanging="0"/>
        <w:rPr>
          <w:rFonts w:ascii="Arial" w:hAnsi="Arial" w:cs="Arial"/>
          <w:b/>
          <w:b/>
          <w:sz w:val="22"/>
          <w:szCs w:val="22"/>
          <w:lang w:val="pt-BR"/>
        </w:rPr>
      </w:pPr>
      <w:r>
        <w:rPr>
          <w:rFonts w:cs="Arial" w:ascii="Arial" w:hAnsi="Arial"/>
          <w:b/>
          <w:sz w:val="22"/>
          <w:szCs w:val="22"/>
          <w:lang w:val="pt-BR"/>
        </w:rPr>
      </w:r>
    </w:p>
    <w:p>
      <w:pPr>
        <w:pStyle w:val="Normal"/>
        <w:spacing w:before="0" w:after="40"/>
        <w:rPr>
          <w:rFonts w:ascii="Arial" w:hAnsi="Arial" w:cs="Arial"/>
          <w:b w:val="false"/>
          <w:b w:val="false"/>
          <w:bCs w:val="false"/>
          <w:sz w:val="22"/>
          <w:szCs w:val="22"/>
          <w:lang w:val="pt-BR"/>
        </w:rPr>
      </w:pPr>
      <w:r>
        <w:rPr>
          <w:rFonts w:cs="Arial" w:ascii="Arial" w:hAnsi="Arial"/>
          <w:b w:val="false"/>
          <w:bCs w:val="false"/>
          <w:sz w:val="22"/>
          <w:szCs w:val="22"/>
          <w:lang w:val="pt-BR"/>
        </w:rPr>
        <w:t>“</w:t>
      </w:r>
      <w:r>
        <w:rPr>
          <w:rFonts w:cs="Arial" w:ascii="Arial" w:hAnsi="Arial"/>
          <w:b w:val="false"/>
          <w:bCs w:val="false"/>
          <w:sz w:val="22"/>
          <w:szCs w:val="22"/>
          <w:lang w:val="pt-BR"/>
        </w:rPr>
        <w:t>Explorando a Inclusão Financeira: Uma Análise de Clusterização para Identificar Perfis das Mulheres e Variáveis Correlatas”</w:t>
      </w:r>
    </w:p>
    <w:p>
      <w:pPr>
        <w:pStyle w:val="Normal"/>
        <w:spacing w:before="0" w:after="40"/>
        <w:ind w:left="357" w:hanging="0"/>
        <w:rPr>
          <w:rFonts w:ascii="Arial" w:hAnsi="Arial" w:cs="Arial"/>
          <w:b w:val="false"/>
          <w:b w:val="false"/>
          <w:bCs w:val="false"/>
          <w:sz w:val="22"/>
          <w:szCs w:val="22"/>
          <w:u w:val="single"/>
          <w:lang w:val="pt-BR"/>
        </w:rPr>
      </w:pPr>
      <w:r>
        <w:rPr>
          <w:rFonts w:cs="Arial" w:ascii="Arial" w:hAnsi="Arial"/>
          <w:b w:val="false"/>
          <w:bCs w:val="false"/>
          <w:sz w:val="22"/>
          <w:szCs w:val="22"/>
          <w:u w:val="single"/>
          <w:lang w:val="pt-BR"/>
        </w:rPr>
      </w:r>
    </w:p>
    <w:p>
      <w:pPr>
        <w:pStyle w:val="Normal"/>
        <w:numPr>
          <w:ilvl w:val="0"/>
          <w:numId w:val="1"/>
        </w:numPr>
        <w:rPr>
          <w:rFonts w:ascii="Arial" w:hAnsi="Arial" w:cs="Arial"/>
          <w:b/>
          <w:b/>
          <w:sz w:val="22"/>
          <w:szCs w:val="22"/>
          <w:lang w:val="pt-BR"/>
        </w:rPr>
      </w:pPr>
      <w:r>
        <w:rPr>
          <w:rFonts w:cs="Arial" w:ascii="Arial" w:hAnsi="Arial"/>
          <w:b/>
          <w:sz w:val="22"/>
          <w:szCs w:val="22"/>
          <w:lang w:val="pt-BR"/>
        </w:rPr>
        <w:t>Introdução</w:t>
      </w:r>
    </w:p>
    <w:p>
      <w:pPr>
        <w:pStyle w:val="Normal"/>
        <w:spacing w:before="0" w:after="4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O interesse em compreender e promover a inclusão financeira das mulheres tem crescido significativamente. Este fenômeno é impulsionado por um reconhecimento crescente de que a inclusão financeira não é apenas uma questão de acesso aos serviços bancários, mas também um indicador crucial do empoderamento econômico das mulheres. No entanto, ainda se enfrenta o desafio de medir o empoderamento econômico das mulheres, pois envolve uma série de variáveis que vão além das tradicionais métricas financeiras. </w:t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both"/>
        <w:rPr/>
      </w:pPr>
      <w:r>
        <w:rPr>
          <w:rFonts w:cs="Arial" w:ascii="Arial" w:hAnsi="Arial"/>
          <w:sz w:val="22"/>
          <w:szCs w:val="22"/>
        </w:rPr>
        <w:t>Este trabalho busca identificar padrões e perfis dentro das mulheres incluídas financeiramente, oferecendo assim insights valiosos sobre as variáveis que verdadeiramente impulsionam o empoderamento econômico.</w:t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/>
      </w:r>
    </w:p>
    <w:p>
      <w:pPr>
        <w:pStyle w:val="Normal"/>
        <w:jc w:val="both"/>
        <w:rPr/>
      </w:pPr>
      <w:r>
        <w:rPr>
          <w:rFonts w:cs="Arial" w:ascii="Arial" w:hAnsi="Arial"/>
          <w:sz w:val="22"/>
          <w:szCs w:val="22"/>
        </w:rPr>
        <w:t>A inclusão financeira permite que o empoderamento econômico das mulheres seja uma importante ferramenta para as mesmas atingirem todo o seu potencial e avançar na conquista de direitos (FinEquity, 2021).</w:t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/>
      </w:r>
    </w:p>
    <w:p>
      <w:pPr>
        <w:pStyle w:val="Normal"/>
        <w:jc w:val="both"/>
        <w:rPr/>
      </w:pPr>
      <w:r>
        <w:rPr>
          <w:rFonts w:cs="Arial" w:ascii="Arial" w:hAnsi="Arial"/>
          <w:sz w:val="22"/>
          <w:szCs w:val="22"/>
        </w:rPr>
        <w:t xml:space="preserve">Para o Center for Financial Inclusion – Accion International (2021) a inclusão financeira esbarra em normas sociais que impedem com que as mulheres tenham autonomia sobre o próprio dinheiro. </w:t>
      </w:r>
      <w:r>
        <w:rPr>
          <w:rFonts w:cs="Arial" w:ascii="Arial" w:hAnsi="Arial"/>
          <w:sz w:val="22"/>
          <w:szCs w:val="22"/>
        </w:rPr>
        <w:t xml:space="preserve">A situação somente será alterada quando as normas sociais vigentes mudarem. Assim, faz-se necessário descobrir o que funciona e como, o que exige saber o que medir e acompanhar o seu histórico. </w:t>
      </w:r>
    </w:p>
    <w:p>
      <w:pPr>
        <w:pStyle w:val="Normal"/>
        <w:spacing w:before="0" w:after="80"/>
        <w:jc w:val="both"/>
        <w:rPr>
          <w:rFonts w:ascii="Arial" w:hAnsi="Arial" w:cs="Arial"/>
          <w:b/>
          <w:b/>
          <w:sz w:val="22"/>
          <w:szCs w:val="22"/>
          <w:lang w:val="pt-BR"/>
        </w:rPr>
      </w:pPr>
      <w:r>
        <w:rPr>
          <w:rFonts w:cs="Arial" w:ascii="Arial" w:hAnsi="Arial"/>
          <w:b/>
          <w:sz w:val="22"/>
          <w:szCs w:val="22"/>
          <w:lang w:val="pt-BR"/>
        </w:rPr>
      </w:r>
    </w:p>
    <w:p>
      <w:pPr>
        <w:pStyle w:val="Normal"/>
        <w:numPr>
          <w:ilvl w:val="0"/>
          <w:numId w:val="1"/>
        </w:numPr>
        <w:rPr>
          <w:rFonts w:ascii="Arial" w:hAnsi="Arial" w:cs="Arial"/>
          <w:b/>
          <w:b/>
          <w:sz w:val="22"/>
          <w:szCs w:val="22"/>
          <w:lang w:val="pt-BR"/>
        </w:rPr>
      </w:pPr>
      <w:r>
        <w:rPr>
          <w:rFonts w:cs="Arial" w:ascii="Arial" w:hAnsi="Arial"/>
          <w:b/>
          <w:sz w:val="22"/>
          <w:szCs w:val="22"/>
          <w:lang w:val="pt-BR"/>
        </w:rPr>
        <w:t>Objetivo</w:t>
      </w:r>
    </w:p>
    <w:p>
      <w:pPr>
        <w:pStyle w:val="Normal"/>
        <w:spacing w:before="0" w:after="4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80"/>
        <w:jc w:val="both"/>
        <w:rPr/>
      </w:pPr>
      <w:r>
        <w:rPr>
          <w:rFonts w:cs="Arial" w:ascii="Arial" w:hAnsi="Arial"/>
          <w:b w:val="false"/>
          <w:bCs w:val="false"/>
          <w:sz w:val="22"/>
          <w:szCs w:val="22"/>
          <w:lang w:val="pt-BR"/>
        </w:rPr>
        <w:t xml:space="preserve">FinEquity et al. (2023) afirma que é difícil definir como medir o empoderamento econômico das mulheres quando ainda não há uma definição de quais indicadores refletem a inclusão financeira. Para resolver esse problema </w:t>
      </w:r>
      <w:r>
        <w:rPr>
          <w:rFonts w:cs="Arial" w:ascii="Arial" w:hAnsi="Arial"/>
          <w:b w:val="false"/>
          <w:bCs w:val="false"/>
          <w:sz w:val="22"/>
          <w:szCs w:val="22"/>
          <w:lang w:val="pt-BR"/>
        </w:rPr>
        <w:t>o</w:t>
      </w:r>
      <w:r>
        <w:rPr>
          <w:rFonts w:cs="Arial" w:ascii="Arial" w:hAnsi="Arial"/>
          <w:b w:val="false"/>
          <w:bCs w:val="false"/>
          <w:sz w:val="22"/>
          <w:szCs w:val="22"/>
          <w:lang w:val="pt-BR"/>
        </w:rPr>
        <w:t xml:space="preserve"> estudo </w:t>
      </w:r>
      <w:r>
        <w:rPr>
          <w:rFonts w:cs="Arial" w:ascii="Arial" w:hAnsi="Arial"/>
          <w:b w:val="false"/>
          <w:bCs w:val="false"/>
          <w:sz w:val="22"/>
          <w:szCs w:val="22"/>
          <w:lang w:val="pt-BR"/>
        </w:rPr>
        <w:t>focou</w:t>
      </w:r>
      <w:r>
        <w:rPr>
          <w:rFonts w:cs="Arial" w:ascii="Arial" w:hAnsi="Arial"/>
          <w:b w:val="false"/>
          <w:bCs w:val="false"/>
          <w:sz w:val="22"/>
          <w:szCs w:val="22"/>
          <w:lang w:val="pt-BR"/>
        </w:rPr>
        <w:t xml:space="preserve"> </w:t>
      </w:r>
      <w:r>
        <w:rPr>
          <w:rFonts w:cs="Arial" w:ascii="Arial" w:hAnsi="Arial"/>
          <w:b w:val="false"/>
          <w:bCs w:val="false"/>
          <w:sz w:val="22"/>
          <w:szCs w:val="22"/>
          <w:lang w:val="pt-BR"/>
        </w:rPr>
        <w:t>n</w:t>
      </w:r>
      <w:r>
        <w:rPr>
          <w:rFonts w:cs="Arial" w:ascii="Arial" w:hAnsi="Arial"/>
          <w:b w:val="false"/>
          <w:bCs w:val="false"/>
          <w:sz w:val="22"/>
          <w:szCs w:val="22"/>
          <w:lang w:val="pt-BR"/>
        </w:rPr>
        <w:t>os indicadores com maior consenso para entender os resultados da inclusão financeira e ajudar os tomadores de decisão a analisarem seus progressos.</w:t>
      </w:r>
    </w:p>
    <w:p>
      <w:pPr>
        <w:pStyle w:val="Normal"/>
        <w:spacing w:before="0" w:after="80"/>
        <w:jc w:val="both"/>
        <w:rPr>
          <w:rFonts w:ascii="Arial" w:hAnsi="Arial" w:cs="Arial"/>
          <w:b w:val="false"/>
          <w:b w:val="false"/>
          <w:bCs w:val="false"/>
          <w:sz w:val="22"/>
          <w:szCs w:val="22"/>
          <w:lang w:val="pt-BR"/>
        </w:rPr>
      </w:pPr>
      <w:r>
        <w:rPr/>
      </w:r>
    </w:p>
    <w:p>
      <w:pPr>
        <w:pStyle w:val="Normal"/>
        <w:spacing w:before="0" w:after="80"/>
        <w:jc w:val="both"/>
        <w:rPr/>
      </w:pPr>
      <w:r>
        <w:rPr>
          <w:rFonts w:cs="Arial" w:ascii="Arial" w:hAnsi="Arial"/>
          <w:b w:val="false"/>
          <w:bCs w:val="false"/>
          <w:sz w:val="22"/>
          <w:szCs w:val="22"/>
          <w:lang w:val="pt-BR"/>
        </w:rPr>
        <w:t xml:space="preserve">A presente pesquisa </w:t>
      </w:r>
      <w:r>
        <w:rPr>
          <w:rFonts w:cs="Arial" w:ascii="Arial" w:hAnsi="Arial"/>
          <w:b w:val="false"/>
          <w:bCs w:val="false"/>
          <w:sz w:val="22"/>
          <w:szCs w:val="22"/>
          <w:lang w:val="pt-BR"/>
        </w:rPr>
        <w:t xml:space="preserve">visa suprir essa lacuna e </w:t>
      </w:r>
      <w:r>
        <w:rPr>
          <w:rFonts w:cs="Arial" w:ascii="Arial" w:hAnsi="Arial"/>
          <w:b w:val="false"/>
          <w:bCs w:val="false"/>
          <w:sz w:val="22"/>
          <w:szCs w:val="22"/>
          <w:lang w:val="pt-BR"/>
        </w:rPr>
        <w:t>tem por objetivo responder à seguinte pergunta: “</w:t>
      </w:r>
      <w:r>
        <w:rPr>
          <w:rFonts w:cs="Arial" w:ascii="Arial" w:hAnsi="Arial"/>
          <w:b w:val="false"/>
          <w:bCs w:val="false"/>
          <w:sz w:val="22"/>
          <w:szCs w:val="22"/>
          <w:lang w:val="pt-BR"/>
        </w:rPr>
        <w:t>Quais são os padrões e perfis identificáveis das mulheres incluídas financeiramente e quais as variáveis que estão relacionadas ao empoderamento econômico de acordo com a clusterização dos dados?”</w:t>
      </w:r>
    </w:p>
    <w:p>
      <w:pPr>
        <w:pStyle w:val="Normal"/>
        <w:spacing w:before="0" w:after="80"/>
        <w:rPr>
          <w:rFonts w:ascii="Arial" w:hAnsi="Arial" w:cs="Arial"/>
          <w:b/>
          <w:b/>
          <w:sz w:val="22"/>
          <w:szCs w:val="22"/>
          <w:lang w:val="pt-BR"/>
        </w:rPr>
      </w:pPr>
      <w:r>
        <w:rPr>
          <w:rFonts w:cs="Arial" w:ascii="Arial" w:hAnsi="Arial"/>
          <w:b/>
          <w:sz w:val="22"/>
          <w:szCs w:val="22"/>
          <w:lang w:val="pt-BR"/>
        </w:rPr>
      </w:r>
    </w:p>
    <w:p>
      <w:pPr>
        <w:pStyle w:val="Normal"/>
        <w:numPr>
          <w:ilvl w:val="0"/>
          <w:numId w:val="1"/>
        </w:numPr>
        <w:rPr>
          <w:rFonts w:ascii="Arial" w:hAnsi="Arial" w:cs="Arial"/>
          <w:b/>
          <w:b/>
          <w:sz w:val="22"/>
          <w:szCs w:val="22"/>
          <w:lang w:val="pt-BR"/>
        </w:rPr>
      </w:pPr>
      <w:r>
        <w:rPr>
          <w:rFonts w:cs="Arial" w:ascii="Arial" w:hAnsi="Arial"/>
          <w:b/>
          <w:sz w:val="22"/>
          <w:szCs w:val="22"/>
          <w:lang w:val="pt-BR"/>
        </w:rPr>
        <w:t xml:space="preserve">Material e Métodos </w:t>
      </w:r>
    </w:p>
    <w:p>
      <w:pPr>
        <w:pStyle w:val="Normal"/>
        <w:spacing w:before="0" w:after="4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both"/>
        <w:rPr/>
      </w:pPr>
      <w:r>
        <w:rPr>
          <w:rFonts w:cs="Arial" w:ascii="Arial" w:hAnsi="Arial"/>
          <w:sz w:val="22"/>
          <w:szCs w:val="22"/>
        </w:rPr>
        <w:t xml:space="preserve">Para </w:t>
      </w:r>
      <w:r>
        <w:rPr>
          <w:rFonts w:cs="Arial" w:ascii="Arial" w:hAnsi="Arial"/>
          <w:sz w:val="22"/>
          <w:szCs w:val="22"/>
          <w:lang w:val="pt-BR"/>
        </w:rPr>
        <w:t>este</w:t>
      </w:r>
      <w:r>
        <w:rPr>
          <w:rFonts w:cs="Arial" w:ascii="Arial" w:hAnsi="Arial"/>
          <w:sz w:val="22"/>
          <w:szCs w:val="22"/>
        </w:rPr>
        <w:t xml:space="preserve"> trabalho será utilizada a base de dados Global Findex do World Bank, uma fonte  abrangente de dados sobre inclusão financeira. Especificamente serão utilizados dados sobre o Brasil </w:t>
      </w:r>
      <w:r>
        <w:rPr>
          <w:rFonts w:cs="Arial" w:ascii="Arial" w:hAnsi="Arial"/>
          <w:sz w:val="22"/>
          <w:szCs w:val="22"/>
        </w:rPr>
        <w:t>com</w:t>
      </w:r>
      <w:r>
        <w:rPr>
          <w:rFonts w:cs="Arial" w:ascii="Arial" w:hAnsi="Arial"/>
          <w:sz w:val="22"/>
          <w:szCs w:val="22"/>
        </w:rPr>
        <w:t xml:space="preserve"> granularidade de indivíduos </w:t>
      </w:r>
      <w:r>
        <w:rPr>
          <w:rFonts w:cs="Arial" w:ascii="Arial" w:hAnsi="Arial"/>
          <w:sz w:val="22"/>
          <w:szCs w:val="22"/>
        </w:rPr>
        <w:t xml:space="preserve">que estão </w:t>
      </w:r>
      <w:r>
        <w:rPr>
          <w:rFonts w:cs="Arial" w:ascii="Arial" w:hAnsi="Arial"/>
          <w:sz w:val="22"/>
          <w:szCs w:val="22"/>
        </w:rPr>
        <w:t xml:space="preserve">anonimizados. Ambos os gêneros responderam </w:t>
      </w:r>
      <w:r>
        <w:rPr>
          <w:rFonts w:cs="Arial" w:ascii="Arial" w:hAnsi="Arial"/>
          <w:sz w:val="22"/>
          <w:szCs w:val="22"/>
        </w:rPr>
        <w:t xml:space="preserve">as </w:t>
      </w:r>
      <w:r>
        <w:rPr>
          <w:rFonts w:cs="Arial" w:ascii="Arial" w:hAnsi="Arial"/>
          <w:sz w:val="22"/>
          <w:szCs w:val="22"/>
        </w:rPr>
        <w:t xml:space="preserve">questões </w:t>
      </w:r>
      <w:r>
        <w:rPr>
          <w:rFonts w:cs="Arial" w:ascii="Arial" w:hAnsi="Arial"/>
          <w:sz w:val="22"/>
          <w:szCs w:val="22"/>
        </w:rPr>
        <w:t>que possuem</w:t>
      </w:r>
      <w:r>
        <w:rPr>
          <w:rFonts w:cs="Arial" w:ascii="Arial" w:hAnsi="Arial"/>
          <w:sz w:val="22"/>
          <w:szCs w:val="22"/>
        </w:rPr>
        <w:t xml:space="preserve"> respostas </w:t>
      </w:r>
      <w:r>
        <w:rPr>
          <w:rFonts w:cs="Arial" w:ascii="Arial" w:hAnsi="Arial"/>
          <w:sz w:val="22"/>
          <w:szCs w:val="22"/>
        </w:rPr>
        <w:t xml:space="preserve">numéricas </w:t>
      </w:r>
      <w:r>
        <w:rPr>
          <w:rFonts w:cs="Arial" w:ascii="Arial" w:hAnsi="Arial"/>
          <w:sz w:val="22"/>
          <w:szCs w:val="22"/>
        </w:rPr>
        <w:t>categorizadas</w:t>
      </w:r>
      <w:r>
        <w:rPr>
          <w:rFonts w:cs="Arial" w:ascii="Arial" w:hAnsi="Arial"/>
          <w:sz w:val="22"/>
          <w:szCs w:val="22"/>
        </w:rPr>
        <w:t xml:space="preserve">. </w:t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/>
      </w:r>
    </w:p>
    <w:p>
      <w:pPr>
        <w:pStyle w:val="Normal"/>
        <w:jc w:val="both"/>
        <w:rPr/>
      </w:pPr>
      <w:r>
        <w:rPr>
          <w:rFonts w:cs="Arial" w:ascii="Arial" w:hAnsi="Arial"/>
          <w:sz w:val="22"/>
          <w:szCs w:val="22"/>
        </w:rPr>
        <w:t>A base de dados</w:t>
      </w:r>
      <w:r>
        <w:rPr>
          <w:rFonts w:cs="Arial" w:ascii="Arial" w:hAnsi="Arial"/>
          <w:sz w:val="22"/>
          <w:szCs w:val="22"/>
        </w:rPr>
        <w:t xml:space="preserve"> abrange </w:t>
      </w:r>
      <w:r>
        <w:rPr>
          <w:rFonts w:cs="Arial" w:ascii="Arial" w:hAnsi="Arial"/>
          <w:sz w:val="22"/>
          <w:szCs w:val="22"/>
        </w:rPr>
        <w:t>temas</w:t>
      </w:r>
      <w:r>
        <w:rPr>
          <w:rFonts w:cs="Arial" w:ascii="Arial" w:hAnsi="Arial"/>
          <w:sz w:val="22"/>
          <w:szCs w:val="22"/>
        </w:rPr>
        <w:t xml:space="preserve"> como posse de contas bancárias e serviços de dinheiro </w:t>
      </w:r>
      <w:r>
        <w:rPr>
          <w:rFonts w:cs="Arial" w:ascii="Arial" w:hAnsi="Arial"/>
          <w:sz w:val="22"/>
          <w:szCs w:val="22"/>
        </w:rPr>
        <w:t>via celular</w:t>
      </w:r>
      <w:r>
        <w:rPr>
          <w:rFonts w:cs="Arial" w:ascii="Arial" w:hAnsi="Arial"/>
          <w:sz w:val="22"/>
          <w:szCs w:val="22"/>
        </w:rPr>
        <w:t xml:space="preserve">, empréstimos de diferentes fontes, adoção de pagamentos digitais, poupança e investimentos, remessas e pagamentos governamentais. Além disso, a base de dados destaca a penetração da tecnologia digital na vida financeira, incluindo a posse de celulares e cartões de débito ou crédito. </w:t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/>
      </w:r>
    </w:p>
    <w:p>
      <w:pPr>
        <w:pStyle w:val="Normal"/>
        <w:jc w:val="both"/>
        <w:rPr/>
      </w:pPr>
      <w:r>
        <w:rPr>
          <w:rFonts w:cs="Arial" w:ascii="Arial" w:hAnsi="Arial"/>
          <w:sz w:val="22"/>
          <w:szCs w:val="22"/>
        </w:rPr>
        <w:t xml:space="preserve">Como ferramenta de análise será utilizada a linguagem Python e o método K-means será aplicado para agrupar os indivíduos da pesquisa em clusters distintos </w:t>
      </w:r>
      <w:r>
        <w:rPr>
          <w:rFonts w:cs="Arial" w:ascii="Arial" w:hAnsi="Arial"/>
          <w:sz w:val="22"/>
          <w:szCs w:val="22"/>
        </w:rPr>
        <w:t>e assim identificar os perfis e suas principais variáveis.</w:t>
      </w:r>
    </w:p>
    <w:p>
      <w:pPr>
        <w:pStyle w:val="Normal"/>
        <w:spacing w:before="0" w:after="80"/>
        <w:rPr>
          <w:rFonts w:ascii="Arial" w:hAnsi="Arial" w:cs="Arial"/>
          <w:b/>
          <w:b/>
          <w:sz w:val="22"/>
          <w:szCs w:val="22"/>
          <w:lang w:val="pt-BR"/>
        </w:rPr>
      </w:pPr>
      <w:r>
        <w:rPr>
          <w:rFonts w:cs="Arial" w:ascii="Arial" w:hAnsi="Arial"/>
          <w:b/>
          <w:sz w:val="22"/>
          <w:szCs w:val="22"/>
          <w:lang w:val="pt-BR"/>
        </w:rPr>
      </w:r>
    </w:p>
    <w:p>
      <w:pPr>
        <w:pStyle w:val="Normal"/>
        <w:numPr>
          <w:ilvl w:val="0"/>
          <w:numId w:val="1"/>
        </w:numPr>
        <w:rPr>
          <w:rFonts w:ascii="Arial" w:hAnsi="Arial" w:cs="Arial"/>
          <w:b/>
          <w:b/>
          <w:sz w:val="22"/>
          <w:szCs w:val="22"/>
          <w:lang w:val="pt-BR"/>
        </w:rPr>
      </w:pPr>
      <w:r>
        <w:rPr>
          <w:rFonts w:cs="Arial" w:ascii="Arial" w:hAnsi="Arial"/>
          <w:b/>
          <w:sz w:val="22"/>
          <w:szCs w:val="22"/>
          <w:lang w:val="pt-BR"/>
        </w:rPr>
        <w:t>Resultados Esperados</w:t>
      </w:r>
    </w:p>
    <w:p>
      <w:pPr>
        <w:pStyle w:val="Normal"/>
        <w:spacing w:before="0" w:after="40"/>
        <w:jc w:val="both"/>
        <w:rPr>
          <w:rFonts w:ascii="Arial" w:hAnsi="Arial" w:cs="Arial"/>
          <w:i/>
          <w:i/>
          <w:sz w:val="18"/>
          <w:szCs w:val="18"/>
          <w:lang w:val="pt-BR"/>
        </w:rPr>
      </w:pPr>
      <w:r>
        <w:rPr>
          <w:rFonts w:cs="Arial" w:ascii="Arial" w:hAnsi="Arial"/>
          <w:i/>
          <w:sz w:val="18"/>
          <w:szCs w:val="18"/>
          <w:lang w:val="pt-BR"/>
        </w:rPr>
      </w:r>
    </w:p>
    <w:p>
      <w:pPr>
        <w:pStyle w:val="Normal"/>
        <w:jc w:val="both"/>
        <w:rPr/>
      </w:pPr>
      <w:r>
        <w:rPr>
          <w:rFonts w:cs="Arial" w:ascii="Arial" w:hAnsi="Arial"/>
          <w:sz w:val="22"/>
          <w:szCs w:val="22"/>
        </w:rPr>
        <w:t>A análise</w:t>
      </w:r>
      <w:r>
        <w:rPr>
          <w:rFonts w:cs="Arial" w:ascii="Arial" w:hAnsi="Arial"/>
          <w:sz w:val="22"/>
          <w:szCs w:val="22"/>
        </w:rPr>
        <w:t xml:space="preserve"> permitirá encontrar padrões de inclusão financeira entre diferentes grupos de homens e mulheres no Brasil, com base em suas características de acesso a serviços financeiros, poupança e participação econômica, utilizando a abordagem de análise de clusters nos dados do World Bank </w:t>
      </w:r>
      <w:r>
        <w:rPr>
          <w:rFonts w:cs="Arial" w:ascii="Arial" w:hAnsi="Arial"/>
          <w:sz w:val="22"/>
          <w:szCs w:val="22"/>
        </w:rPr>
        <w:t>Findex.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numPr>
          <w:ilvl w:val="0"/>
          <w:numId w:val="1"/>
        </w:numPr>
        <w:spacing w:before="0" w:after="40"/>
        <w:ind w:left="357" w:hanging="357"/>
        <w:rPr>
          <w:rFonts w:ascii="Arial" w:hAnsi="Arial" w:cs="Arial"/>
          <w:b/>
          <w:b/>
          <w:sz w:val="22"/>
          <w:szCs w:val="22"/>
          <w:lang w:val="pt-BR"/>
        </w:rPr>
      </w:pPr>
      <w:r>
        <w:rPr>
          <w:rFonts w:cs="Arial" w:ascii="Arial" w:hAnsi="Arial"/>
          <w:b/>
          <w:sz w:val="22"/>
          <w:szCs w:val="22"/>
          <w:lang w:val="pt-BR"/>
        </w:rPr>
        <w:t>Cronograma de Atividades</w:t>
      </w:r>
    </w:p>
    <w:p>
      <w:pPr>
        <w:pStyle w:val="Normal"/>
        <w:spacing w:before="0" w:after="40"/>
        <w:jc w:val="both"/>
        <w:rPr/>
      </w:pPr>
      <w:r>
        <w:rPr>
          <w:rFonts w:cs="Arial" w:ascii="Arial" w:hAnsi="Arial"/>
          <w:i/>
          <w:lang w:val="pt-BR"/>
        </w:rPr>
        <w:t xml:space="preserve"> </w:t>
      </w:r>
      <w:r>
        <w:rPr>
          <w:rFonts w:cs="Arial" w:ascii="Arial" w:hAnsi="Arial"/>
          <w:i/>
          <w:lang w:val="pt-BR"/>
        </w:rPr>
        <w:t>Marcar com um “x” a coluna que corresponde ao período planejado para desenvolver cada atividade planeja)</w:t>
      </w:r>
    </w:p>
    <w:tbl>
      <w:tblPr>
        <w:tblW w:w="5000" w:type="pct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28" w:type="dxa"/>
          <w:bottom w:w="0" w:type="dxa"/>
          <w:right w:w="28" w:type="dxa"/>
        </w:tblCellMar>
        <w:tblLook w:noVBand="1" w:val="04a0" w:noHBand="0" w:lastColumn="0" w:firstColumn="1" w:lastRow="0" w:firstRow="1"/>
      </w:tblPr>
      <w:tblGrid>
        <w:gridCol w:w="3205"/>
        <w:gridCol w:w="619"/>
        <w:gridCol w:w="600"/>
        <w:gridCol w:w="598"/>
        <w:gridCol w:w="600"/>
        <w:gridCol w:w="600"/>
        <w:gridCol w:w="582"/>
        <w:gridCol w:w="611"/>
        <w:gridCol w:w="520"/>
        <w:gridCol w:w="568"/>
        <w:gridCol w:w="565"/>
      </w:tblGrid>
      <w:tr>
        <w:trPr>
          <w:trHeight w:val="255" w:hRule="atLeast"/>
        </w:trPr>
        <w:tc>
          <w:tcPr>
            <w:tcW w:w="32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  <w:t>Atividades planejadas</w:t>
            </w:r>
          </w:p>
        </w:tc>
        <w:tc>
          <w:tcPr>
            <w:tcW w:w="586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  <w:t>Mês</w:t>
            </w:r>
          </w:p>
        </w:tc>
      </w:tr>
      <w:tr>
        <w:trPr>
          <w:trHeight w:val="255" w:hRule="atLeast"/>
        </w:trPr>
        <w:tc>
          <w:tcPr>
            <w:tcW w:w="320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6"/>
                <w:szCs w:val="16"/>
                <w:lang w:val="pt-BR"/>
              </w:rPr>
            </w:pPr>
            <w:r>
              <w:rPr>
                <w:rFonts w:cs="Arial" w:ascii="Arial" w:hAnsi="Arial"/>
                <w:b/>
                <w:sz w:val="16"/>
                <w:szCs w:val="16"/>
                <w:lang w:val="pt-BR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6"/>
                <w:szCs w:val="16"/>
                <w:lang w:val="pt-BR"/>
              </w:rPr>
            </w:pPr>
            <w:r>
              <w:rPr>
                <w:rFonts w:cs="Arial" w:ascii="Arial" w:hAnsi="Arial"/>
                <w:b/>
                <w:sz w:val="16"/>
                <w:szCs w:val="16"/>
                <w:lang w:val="pt-BR"/>
              </w:rPr>
              <w:t>2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6"/>
                <w:szCs w:val="16"/>
                <w:lang w:val="pt-BR"/>
              </w:rPr>
            </w:pPr>
            <w:r>
              <w:rPr>
                <w:rFonts w:cs="Arial" w:ascii="Arial" w:hAnsi="Arial"/>
                <w:b/>
                <w:sz w:val="16"/>
                <w:szCs w:val="16"/>
                <w:lang w:val="pt-BR"/>
              </w:rPr>
              <w:t>3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6"/>
                <w:szCs w:val="16"/>
                <w:lang w:val="pt-BR"/>
              </w:rPr>
            </w:pPr>
            <w:r>
              <w:rPr>
                <w:rFonts w:cs="Arial" w:ascii="Arial" w:hAnsi="Arial"/>
                <w:b/>
                <w:sz w:val="16"/>
                <w:szCs w:val="16"/>
                <w:lang w:val="pt-BR"/>
              </w:rPr>
              <w:t>4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6"/>
                <w:szCs w:val="16"/>
                <w:lang w:val="pt-BR"/>
              </w:rPr>
            </w:pPr>
            <w:r>
              <w:rPr>
                <w:rFonts w:cs="Arial" w:ascii="Arial" w:hAnsi="Arial"/>
                <w:b/>
                <w:sz w:val="16"/>
                <w:szCs w:val="16"/>
                <w:lang w:val="pt-BR"/>
              </w:rPr>
              <w:t>5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6"/>
                <w:szCs w:val="16"/>
                <w:lang w:val="pt-BR"/>
              </w:rPr>
            </w:pPr>
            <w:r>
              <w:rPr>
                <w:rFonts w:cs="Arial" w:ascii="Arial" w:hAnsi="Arial"/>
                <w:b/>
                <w:sz w:val="16"/>
                <w:szCs w:val="16"/>
                <w:lang w:val="pt-BR"/>
              </w:rPr>
              <w:t>6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6"/>
                <w:szCs w:val="16"/>
                <w:lang w:val="pt-BR"/>
              </w:rPr>
            </w:pPr>
            <w:r>
              <w:rPr>
                <w:rFonts w:cs="Arial" w:ascii="Arial" w:hAnsi="Arial"/>
                <w:b/>
                <w:sz w:val="16"/>
                <w:szCs w:val="16"/>
                <w:lang w:val="pt-BR"/>
              </w:rPr>
              <w:t>7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6"/>
                <w:szCs w:val="16"/>
                <w:lang w:val="pt-BR"/>
              </w:rPr>
            </w:pPr>
            <w:r>
              <w:rPr>
                <w:rFonts w:cs="Arial" w:ascii="Arial" w:hAnsi="Arial"/>
                <w:b/>
                <w:sz w:val="16"/>
                <w:szCs w:val="16"/>
                <w:lang w:val="pt-BR"/>
              </w:rPr>
              <w:t>8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6"/>
                <w:szCs w:val="16"/>
                <w:lang w:val="pt-BR"/>
              </w:rPr>
            </w:pPr>
            <w:r>
              <w:rPr>
                <w:rFonts w:cs="Arial" w:ascii="Arial" w:hAnsi="Arial"/>
                <w:b/>
                <w:sz w:val="16"/>
                <w:szCs w:val="16"/>
                <w:lang w:val="pt-BR"/>
              </w:rPr>
              <w:t>9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6"/>
                <w:szCs w:val="16"/>
                <w:lang w:val="pt-BR"/>
              </w:rPr>
            </w:pPr>
            <w:r>
              <w:rPr>
                <w:rFonts w:cs="Arial" w:ascii="Arial" w:hAnsi="Arial"/>
                <w:b/>
                <w:sz w:val="16"/>
                <w:szCs w:val="16"/>
                <w:lang w:val="pt-BR"/>
              </w:rPr>
              <w:t>10</w:t>
            </w:r>
          </w:p>
        </w:tc>
      </w:tr>
      <w:tr>
        <w:trPr>
          <w:trHeight w:val="255" w:hRule="atLeast"/>
        </w:trPr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  <w:t>Definição do tema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</w:r>
          </w:p>
        </w:tc>
      </w:tr>
      <w:tr>
        <w:trPr>
          <w:trHeight w:val="255" w:hRule="atLeast"/>
        </w:trPr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  <w:t>Busca base de dados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</w:tr>
      <w:tr>
        <w:trPr>
          <w:trHeight w:val="255" w:hRule="atLeast"/>
        </w:trPr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  <w:t>Levantamento de bibliografia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</w:tr>
      <w:tr>
        <w:trPr>
          <w:trHeight w:val="255" w:hRule="atLeast"/>
        </w:trPr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  <w:t>Limpeza dos dados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</w:tr>
      <w:tr>
        <w:trPr>
          <w:trHeight w:val="255" w:hRule="atLeast"/>
        </w:trPr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  <w:t>Aplicação do algoritmo de clusterização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</w:tr>
      <w:tr>
        <w:trPr>
          <w:trHeight w:val="255" w:hRule="atLeast"/>
        </w:trPr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  <w:t>Análise dos resultados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</w:tr>
      <w:tr>
        <w:trPr>
          <w:trHeight w:val="255" w:hRule="atLeast"/>
        </w:trPr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  <w:t>Análise da bibliografia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</w:tr>
      <w:tr>
        <w:trPr>
          <w:trHeight w:val="255" w:hRule="atLeast"/>
        </w:trPr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  <w:t>Relacionar dados e bibliografia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</w:tr>
      <w:tr>
        <w:trPr>
          <w:trHeight w:val="255" w:hRule="atLeast"/>
        </w:trPr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DD6EE" w:themeFill="accent1" w:themeFillTint="66" w:val="clear"/>
            <w:vAlign w:val="center"/>
          </w:tcPr>
          <w:p>
            <w:pPr>
              <w:pStyle w:val="Normal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  <w:t>Entrega do Resultados Preliminares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DD6EE" w:themeFill="accent1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DD6EE" w:themeFill="accent1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DD6EE" w:themeFill="accent1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DD6EE" w:themeFill="accent1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DD6EE" w:themeFill="accent1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DD6EE" w:themeFill="accent1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DD6EE" w:themeFill="accent1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DD6EE" w:themeFill="accent1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DD6EE" w:themeFill="accent1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DD6EE" w:themeFill="accent1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</w:tr>
      <w:tr>
        <w:trPr>
          <w:trHeight w:val="255" w:hRule="atLeast"/>
        </w:trPr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  <w:t>Escrita do TCC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</w:tr>
      <w:tr>
        <w:trPr>
          <w:trHeight w:val="255" w:hRule="atLeast"/>
        </w:trPr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  <w:t>Revisão do TCC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</w:tr>
      <w:tr>
        <w:trPr>
          <w:trHeight w:val="255" w:hRule="atLeast"/>
        </w:trPr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  <w:t>Entrega do TCC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</w:tr>
      <w:tr>
        <w:trPr>
          <w:trHeight w:val="255" w:hRule="atLeast"/>
        </w:trPr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  <w:t>Agendamento da defesa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</w:tr>
      <w:tr>
        <w:trPr>
          <w:trHeight w:val="255" w:hRule="atLeast"/>
        </w:trPr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  <w:t>Definição do que será apresentado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</w:tr>
      <w:tr>
        <w:trPr>
          <w:trHeight w:val="255" w:hRule="atLeast"/>
        </w:trPr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  <w:t>Escrita dos slides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  <w:t>x</w:t>
            </w:r>
          </w:p>
        </w:tc>
      </w:tr>
      <w:tr>
        <w:trPr>
          <w:trHeight w:val="255" w:hRule="atLeast"/>
        </w:trPr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  <w:t>Entrega da apresentação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  <w:t>x</w:t>
            </w:r>
          </w:p>
        </w:tc>
      </w:tr>
    </w:tbl>
    <w:p>
      <w:pPr>
        <w:pStyle w:val="Normal"/>
        <w:jc w:val="both"/>
        <w:rPr>
          <w:rFonts w:ascii="Arial" w:hAnsi="Arial" w:cs="Arial"/>
          <w:sz w:val="18"/>
          <w:szCs w:val="18"/>
          <w:lang w:val="pt-BR"/>
        </w:rPr>
      </w:pPr>
      <w:r>
        <w:rPr>
          <w:rFonts w:cs="Arial" w:ascii="Arial" w:hAnsi="Arial"/>
          <w:sz w:val="18"/>
          <w:szCs w:val="18"/>
          <w:shd w:fill="C5E0B3" w:val="clear"/>
          <w:lang w:val="pt-BR"/>
        </w:rPr>
        <w:t>Projeto de Pesquisa</w:t>
      </w:r>
      <w:r>
        <w:rPr>
          <w:rFonts w:cs="Arial" w:ascii="Arial" w:hAnsi="Arial"/>
          <w:sz w:val="18"/>
          <w:szCs w:val="18"/>
          <w:lang w:val="pt-BR"/>
        </w:rPr>
        <w:t xml:space="preserve">; </w:t>
      </w:r>
      <w:r>
        <w:rPr>
          <w:rFonts w:cs="Arial" w:ascii="Arial" w:hAnsi="Arial"/>
          <w:sz w:val="18"/>
          <w:szCs w:val="18"/>
          <w:shd w:fill="D9E2F3" w:val="clear"/>
          <w:lang w:val="pt-BR"/>
        </w:rPr>
        <w:t>Resultados Preliminares</w:t>
      </w:r>
      <w:r>
        <w:rPr>
          <w:rFonts w:cs="Arial" w:ascii="Arial" w:hAnsi="Arial"/>
          <w:sz w:val="18"/>
          <w:szCs w:val="18"/>
          <w:lang w:val="pt-BR"/>
        </w:rPr>
        <w:t xml:space="preserve">; </w:t>
      </w:r>
      <w:r>
        <w:rPr>
          <w:rFonts w:cs="Arial" w:ascii="Arial" w:hAnsi="Arial"/>
          <w:sz w:val="18"/>
          <w:szCs w:val="18"/>
          <w:shd w:fill="FFE599" w:val="clear"/>
          <w:lang w:val="pt-BR"/>
        </w:rPr>
        <w:t>Entrega do Trabalho de Conclusão de Curso</w:t>
      </w:r>
      <w:r>
        <w:rPr>
          <w:rFonts w:cs="Arial" w:ascii="Arial" w:hAnsi="Arial"/>
          <w:sz w:val="18"/>
          <w:szCs w:val="18"/>
          <w:lang w:val="pt-BR"/>
        </w:rPr>
        <w:t xml:space="preserve">; </w:t>
      </w:r>
      <w:r>
        <w:rPr>
          <w:rFonts w:cs="Arial" w:ascii="Arial" w:hAnsi="Arial"/>
          <w:sz w:val="18"/>
          <w:szCs w:val="18"/>
          <w:shd w:fill="F7CAAC" w:val="clear"/>
          <w:lang w:val="pt-BR"/>
        </w:rPr>
        <w:t>Entrega da Apresentação da Defesa</w:t>
      </w:r>
      <w:r>
        <w:rPr>
          <w:rFonts w:cs="Arial" w:ascii="Arial" w:hAnsi="Arial"/>
          <w:sz w:val="18"/>
          <w:szCs w:val="18"/>
          <w:lang w:val="pt-BR"/>
        </w:rPr>
        <w:t xml:space="preserve">    </w:t>
      </w:r>
    </w:p>
    <w:p>
      <w:pPr>
        <w:pStyle w:val="Normal"/>
        <w:ind w:left="360" w:hanging="0"/>
        <w:rPr>
          <w:rFonts w:ascii="Arial" w:hAnsi="Arial" w:cs="Arial"/>
          <w:b/>
          <w:b/>
          <w:sz w:val="22"/>
          <w:szCs w:val="22"/>
          <w:lang w:val="pt-BR"/>
        </w:rPr>
      </w:pPr>
      <w:r>
        <w:rPr>
          <w:rFonts w:cs="Arial" w:ascii="Arial" w:hAnsi="Arial"/>
          <w:b/>
          <w:sz w:val="22"/>
          <w:szCs w:val="22"/>
          <w:lang w:val="pt-BR"/>
        </w:rPr>
      </w:r>
    </w:p>
    <w:p>
      <w:pPr>
        <w:pStyle w:val="Normal"/>
        <w:numPr>
          <w:ilvl w:val="0"/>
          <w:numId w:val="1"/>
        </w:numPr>
        <w:rPr>
          <w:lang w:val="pt-BR"/>
        </w:rPr>
      </w:pPr>
      <w:r>
        <w:rPr>
          <w:rFonts w:cs="Arial" w:ascii="Arial" w:hAnsi="Arial"/>
          <w:b/>
          <w:sz w:val="22"/>
          <w:szCs w:val="22"/>
          <w:lang w:val="pt-BR"/>
        </w:rPr>
        <w:t>Referências Bibliográficas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/>
      </w:pPr>
      <w:r>
        <w:rPr>
          <w:sz w:val="22"/>
          <w:szCs w:val="22"/>
        </w:rPr>
        <w:t>Center for Financial Inclusion – Accion International. 2021. Normative Constraints to Women’s Financial Inclusion: What We Know and What We Need to Know. Disponível em: &lt;</w:t>
      </w:r>
      <w:hyperlink r:id="rId2">
        <w:r>
          <w:rPr>
            <w:rStyle w:val="LinkdaInternet"/>
            <w:sz w:val="22"/>
            <w:szCs w:val="22"/>
          </w:rPr>
          <w:t>https://www.centerforfinancialinclusion.org/normative-constraints-to-womens-financial-inclusion-what-we-know-and-what-we-need-to-know</w:t>
        </w:r>
      </w:hyperlink>
      <w:r>
        <w:rPr>
          <w:sz w:val="22"/>
          <w:szCs w:val="22"/>
        </w:rPr>
        <w:t>&gt;. Acesso em: 17 de outubro de 2023.</w:t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/>
      </w:pPr>
      <w:r>
        <w:rPr>
          <w:sz w:val="22"/>
          <w:szCs w:val="22"/>
        </w:rPr>
        <w:t>FinEquity. 2021. Measuring Women’s Economic Empowerment in Financial Inclusion: A Mapping of relevant measurement tools. Disponível em: &lt;</w:t>
      </w:r>
      <w:hyperlink r:id="rId3">
        <w:r>
          <w:rPr>
            <w:rStyle w:val="LinkdaInternet"/>
            <w:sz w:val="22"/>
            <w:szCs w:val="22"/>
          </w:rPr>
          <w:t>https://www.findevgateway.org/publicacion/2021/01/measuring-womens-economic-empowerment-financial-inclusion</w:t>
        </w:r>
      </w:hyperlink>
      <w:r>
        <w:rPr>
          <w:sz w:val="22"/>
          <w:szCs w:val="22"/>
        </w:rPr>
        <w:t>&gt;. Acesso em: 17 de outubro de 2023.</w:t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FinEquity, Center for Global Development, Data2X. 2023. Women’s Economic Empowerment (WEE) Measurement In Financial Inclusion. Disponível em: &lt;</w:t>
      </w:r>
      <w:hyperlink r:id="rId4">
        <w:r>
          <w:rPr>
            <w:rStyle w:val="LinkdaInternet"/>
            <w:sz w:val="22"/>
            <w:szCs w:val="22"/>
          </w:rPr>
          <w:t>https://www.findevgateway.org/paper/2023/03/womens-economic-empowerment-wee-measurement-financial-inclusion</w:t>
        </w:r>
      </w:hyperlink>
      <w:r>
        <w:rPr>
          <w:sz w:val="22"/>
          <w:szCs w:val="22"/>
        </w:rPr>
        <w:t>&gt;. Acesso em: 17 de outubro de 2023.</w:t>
      </w:r>
    </w:p>
    <w:sectPr>
      <w:headerReference w:type="default" r:id="rId5"/>
      <w:type w:val="nextPage"/>
      <w:pgSz w:w="11906" w:h="16838"/>
      <w:pgMar w:left="1418" w:right="1418" w:header="708" w:top="1418" w:footer="0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Spacing"/>
      <w:ind w:right="3968" w:hanging="0"/>
      <w:rPr>
        <w:sz w:val="16"/>
        <w:szCs w:val="17"/>
      </w:rPr>
    </w:pPr>
    <w:r>
      <w:drawing>
        <wp:anchor behindDoc="1" distT="0" distB="3810" distL="114300" distR="114300" simplePos="0" locked="0" layoutInCell="1" allowOverlap="1" relativeHeight="7">
          <wp:simplePos x="0" y="0"/>
          <wp:positionH relativeFrom="margin">
            <wp:posOffset>5100320</wp:posOffset>
          </wp:positionH>
          <wp:positionV relativeFrom="paragraph">
            <wp:posOffset>-38100</wp:posOffset>
          </wp:positionV>
          <wp:extent cx="673100" cy="282575"/>
          <wp:effectExtent l="0" t="0" r="0" b="0"/>
          <wp:wrapNone/>
          <wp:docPr id="1" name="Imagem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73100" cy="282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  <w:szCs w:val="17"/>
      </w:rPr>
      <w:t>P</w:t>
    </w:r>
    <w:r>
      <w:rPr>
        <w:sz w:val="16"/>
        <w:szCs w:val="17"/>
      </w:rPr>
      <w:t xml:space="preserve">rojeto de Pesquisa – Trabalho de Conclusão de Curso </w:t>
    </w:r>
  </w:p>
  <w:p>
    <w:pPr>
      <w:pStyle w:val="Cabealho"/>
      <w:tabs>
        <w:tab w:val="left" w:pos="1785" w:leader="none"/>
        <w:tab w:val="center" w:pos="4252" w:leader="none"/>
        <w:tab w:val="right" w:pos="8504" w:leader="none"/>
      </w:tabs>
      <w:rPr>
        <w:lang w:val="pt-BR"/>
      </w:rPr>
    </w:pPr>
    <w:r>
      <mc:AlternateContent>
        <mc:Choice Requires="wps">
          <w:drawing>
            <wp:anchor behindDoc="1" distT="0" distB="0" distL="114300" distR="114300" simplePos="0" locked="0" layoutInCell="1" allowOverlap="1" relativeHeight="4" wp14:anchorId="2D7C9B35">
              <wp:simplePos x="0" y="0"/>
              <wp:positionH relativeFrom="margin">
                <wp:align>right</wp:align>
              </wp:positionH>
              <wp:positionV relativeFrom="paragraph">
                <wp:posOffset>109855</wp:posOffset>
              </wp:positionV>
              <wp:extent cx="5756275" cy="3810"/>
              <wp:effectExtent l="0" t="0" r="0" b="0"/>
              <wp:wrapNone/>
              <wp:docPr id="2" name="Conector reto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5568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595959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8.75pt,8.65pt" to="444.4pt,8.65pt" ID="Conector reto 1" stroked="t" style="position:absolute;mso-position-horizontal:right;mso-position-horizontal-relative:margin" wp14:anchorId="2D7C9B35">
              <v:stroke color="#595959" weight="3240" joinstyle="round" endcap="flat"/>
              <v:fill o:detectmouseclick="t" on="false"/>
            </v:line>
          </w:pict>
        </mc:Fallback>
      </mc:AlternateContent>
    </w:r>
    <w:r>
      <w:rPr>
        <w:lang w:val="pt-BR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22"/>
        <w:b/>
        <w:szCs w:val="22"/>
        <w:rFonts w:ascii="Arial" w:hAnsi="Arial" w:cs="Aria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15544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e53cc8"/>
    <w:rPr>
      <w:color w:val="808080"/>
    </w:rPr>
  </w:style>
  <w:style w:type="character" w:styleId="Estilo1" w:customStyle="1">
    <w:name w:val="Estilo1"/>
    <w:basedOn w:val="DefaultParagraphFont"/>
    <w:uiPriority w:val="1"/>
    <w:qFormat/>
    <w:rsid w:val="008b7819"/>
    <w:rPr>
      <w:rFonts w:ascii="Arial" w:hAnsi="Arial"/>
      <w:b/>
      <w:sz w:val="24"/>
      <w:u w:val="single"/>
    </w:rPr>
  </w:style>
  <w:style w:type="character" w:styleId="Preenchimentoformulrio" w:customStyle="1">
    <w:name w:val="Preenchimento formulário"/>
    <w:basedOn w:val="DefaultParagraphFont"/>
    <w:uiPriority w:val="1"/>
    <w:qFormat/>
    <w:rsid w:val="008b7819"/>
    <w:rPr>
      <w:rFonts w:ascii="Arial" w:hAnsi="Arial"/>
      <w:b w:val="false"/>
      <w:sz w:val="24"/>
      <w:u w:val="single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e42439"/>
    <w:rPr/>
  </w:style>
  <w:style w:type="character" w:styleId="RodapChar" w:customStyle="1">
    <w:name w:val="Rodapé Char"/>
    <w:basedOn w:val="DefaultParagraphFont"/>
    <w:link w:val="Rodap"/>
    <w:uiPriority w:val="99"/>
    <w:qFormat/>
    <w:rsid w:val="00e42439"/>
    <w:rPr/>
  </w:style>
  <w:style w:type="character" w:styleId="Estilo2" w:customStyle="1">
    <w:name w:val="Estilo 2"/>
    <w:basedOn w:val="DefaultParagraphFont"/>
    <w:uiPriority w:val="1"/>
    <w:qFormat/>
    <w:rsid w:val="00a478d3"/>
    <w:rPr>
      <w:rFonts w:ascii="Arial" w:hAnsi="Arial"/>
      <w:color w:val="FF0000"/>
      <w:sz w:val="20"/>
    </w:rPr>
  </w:style>
  <w:style w:type="character" w:styleId="Estilobotao" w:customStyle="1">
    <w:name w:val="Estilo botao"/>
    <w:basedOn w:val="DefaultParagraphFont"/>
    <w:uiPriority w:val="1"/>
    <w:qFormat/>
    <w:rsid w:val="00a478d3"/>
    <w:rPr>
      <w:rFonts w:ascii="Arial" w:hAnsi="Arial"/>
      <w:sz w:val="24"/>
    </w:rPr>
  </w:style>
  <w:style w:type="character" w:styleId="ListLabel1">
    <w:name w:val="ListLabel 1"/>
    <w:qFormat/>
    <w:rPr>
      <w:rFonts w:ascii="Arial" w:hAnsi="Arial" w:cs="Arial"/>
      <w:b/>
      <w:sz w:val="22"/>
      <w:szCs w:val="2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ascii="Arial" w:hAnsi="Arial" w:cs="Arial"/>
      <w:b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nkdainternetvisitado">
    <w:name w:val="Link da internet visitado"/>
    <w:rPr>
      <w:color w:val="800000"/>
      <w:u w:val="single"/>
      <w:lang w:val="zxx" w:eastAsia="zxx" w:bidi="zxx"/>
    </w:rPr>
  </w:style>
  <w:style w:type="character" w:styleId="ListLabel6">
    <w:name w:val="ListLabel 6"/>
    <w:qFormat/>
    <w:rPr>
      <w:rFonts w:ascii="Arial" w:hAnsi="Arial" w:cs="Arial"/>
      <w:b/>
      <w:sz w:val="22"/>
      <w:szCs w:val="22"/>
    </w:rPr>
  </w:style>
  <w:style w:type="character" w:styleId="ListLabel7">
    <w:name w:val="ListLabel 7"/>
    <w:qFormat/>
    <w:rPr>
      <w:sz w:val="22"/>
      <w:szCs w:val="22"/>
    </w:rPr>
  </w:style>
  <w:style w:type="character" w:styleId="ListLabel8">
    <w:name w:val="ListLabel 8"/>
    <w:qFormat/>
    <w:rPr>
      <w:sz w:val="22"/>
      <w:szCs w:val="22"/>
    </w:rPr>
  </w:style>
  <w:style w:type="character" w:styleId="ListLabel9">
    <w:name w:val="ListLabel 9"/>
    <w:qFormat/>
    <w:rPr>
      <w:rFonts w:ascii="Arial" w:hAnsi="Arial" w:cs="Arial"/>
      <w:b/>
      <w:sz w:val="22"/>
      <w:szCs w:val="22"/>
    </w:rPr>
  </w:style>
  <w:style w:type="character" w:styleId="ListLabel10">
    <w:name w:val="ListLabel 10"/>
    <w:qFormat/>
    <w:rPr>
      <w:sz w:val="22"/>
      <w:szCs w:val="22"/>
    </w:rPr>
  </w:style>
  <w:style w:type="character" w:styleId="ListLabel11">
    <w:name w:val="ListLabel 11"/>
    <w:qFormat/>
    <w:rPr>
      <w:rFonts w:ascii="Arial" w:hAnsi="Arial" w:cs="Arial"/>
      <w:b/>
      <w:sz w:val="22"/>
      <w:szCs w:val="22"/>
    </w:rPr>
  </w:style>
  <w:style w:type="character" w:styleId="ListLabel12">
    <w:name w:val="ListLabel 12"/>
    <w:qFormat/>
    <w:rPr>
      <w:sz w:val="22"/>
      <w:szCs w:val="22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84339"/>
    <w:pPr>
      <w:spacing w:before="0" w:after="0"/>
      <w:ind w:left="720" w:hanging="0"/>
      <w:contextualSpacing/>
    </w:pPr>
    <w:rPr/>
  </w:style>
  <w:style w:type="paragraph" w:styleId="Cabealho">
    <w:name w:val="Header"/>
    <w:basedOn w:val="Normal"/>
    <w:link w:val="CabealhoChar"/>
    <w:uiPriority w:val="99"/>
    <w:unhideWhenUsed/>
    <w:rsid w:val="00e42439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nhideWhenUsed/>
    <w:rsid w:val="00e42439"/>
    <w:pPr>
      <w:tabs>
        <w:tab w:val="center" w:pos="4252" w:leader="none"/>
        <w:tab w:val="right" w:pos="8504" w:leader="none"/>
      </w:tabs>
    </w:pPr>
    <w:rPr/>
  </w:style>
  <w:style w:type="paragraph" w:styleId="NoSpacing">
    <w:name w:val="No Spacing"/>
    <w:uiPriority w:val="1"/>
    <w:qFormat/>
    <w:rsid w:val="00e42439"/>
    <w:pPr>
      <w:widowControl/>
      <w:bidi w:val="0"/>
      <w:spacing w:lineRule="auto" w:line="240" w:before="0" w:after="0"/>
      <w:jc w:val="both"/>
    </w:pPr>
    <w:rPr>
      <w:rFonts w:ascii="Arial" w:hAnsi="Arial" w:eastAsia="Calibri" w:cs="Arial" w:eastAsiaTheme="minorHAnsi"/>
      <w:color w:val="auto"/>
      <w:kern w:val="0"/>
      <w:sz w:val="20"/>
      <w:szCs w:val="22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f740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enterforfinancialinclusion.org/normative-constraints-to-womens-financial-inclusion-what-we-know-and-what-we-need-to-know" TargetMode="External"/><Relationship Id="rId3" Type="http://schemas.openxmlformats.org/officeDocument/2006/relationships/hyperlink" Target="https://www.findevgateway.org/publicacion/2021/01/measuring-womens-economic-empowerment-financial-inclusion" TargetMode="External"/><Relationship Id="rId4" Type="http://schemas.openxmlformats.org/officeDocument/2006/relationships/hyperlink" Target="https://www.findevgateway.org/paper/2023/03/womens-economic-empowerment-wee-measurement-financial-inclusion" TargetMode="External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glossaryDocument" Target="glossary/document.xml"/><Relationship Id="rId11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BE50B278F4647908940611D69C1AA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EBEEA55-7E6E-4128-BF84-EB9063F700D6}"/>
      </w:docPartPr>
      <w:docPartBody>
        <w:p w:rsidR="00D76FD6" w:rsidRDefault="005E77F2" w:rsidP="005E77F2">
          <w:pPr>
            <w:pStyle w:val="BBE50B278F4647908940611D69C1AA919"/>
          </w:pPr>
          <w:r w:rsidRPr="00150BE6">
            <w:rPr>
              <w:rStyle w:val="TextodoEspaoReservado"/>
              <w:rFonts w:ascii="Arial" w:eastAsiaTheme="minorHAnsi" w:hAnsi="Arial" w:cs="Arial"/>
              <w:color w:val="FF0000"/>
            </w:rPr>
            <w:t>Selecionar</w:t>
          </w:r>
          <w:r w:rsidRPr="0026241C">
            <w:rPr>
              <w:rStyle w:val="TextodoEspaoReservado"/>
              <w:rFonts w:eastAsiaTheme="minorHAnsi"/>
            </w:rPr>
            <w:t>.</w:t>
          </w:r>
        </w:p>
      </w:docPartBody>
    </w:docPart>
    <w:docPart>
      <w:docPartPr>
        <w:name w:val="AE0623B0D4F44246B6F7BB5B1ADACC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4AB0332-92C5-448A-8CC6-F49973D29335}"/>
      </w:docPartPr>
      <w:docPartBody>
        <w:p w:rsidR="00D76FD6" w:rsidRDefault="005E77F2" w:rsidP="005E77F2">
          <w:pPr>
            <w:pStyle w:val="AE0623B0D4F44246B6F7BB5B1ADACC1C9"/>
          </w:pPr>
          <w:r w:rsidRPr="00150BE6">
            <w:rPr>
              <w:rFonts w:ascii="Arial" w:hAnsi="Arial" w:cs="Arial"/>
              <w:color w:val="FF0000"/>
            </w:rPr>
            <w:t>Selecionar</w:t>
          </w:r>
          <w:r w:rsidRPr="0026241C">
            <w:rPr>
              <w:rStyle w:val="TextodoEspaoReservado"/>
              <w:rFonts w:eastAsiaTheme="minorHAnsi"/>
            </w:rPr>
            <w:t>.</w:t>
          </w:r>
        </w:p>
      </w:docPartBody>
    </w:docPart>
    <w:docPart>
      <w:docPartPr>
        <w:name w:val="466C69587C5E47C586DB5330D6CA48B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A6C25B-87D6-4240-BCBE-BC94ECC3A640}"/>
      </w:docPartPr>
      <w:docPartBody>
        <w:p w:rsidR="00D76FD6" w:rsidRDefault="005E77F2" w:rsidP="005E77F2">
          <w:pPr>
            <w:pStyle w:val="466C69587C5E47C586DB5330D6CA48BF9"/>
          </w:pPr>
          <w:r w:rsidRPr="00150BE6">
            <w:rPr>
              <w:rFonts w:ascii="Arial" w:hAnsi="Arial" w:cs="Arial"/>
              <w:color w:val="FF0000"/>
            </w:rPr>
            <w:t>Selecionar</w:t>
          </w:r>
          <w:r w:rsidRPr="0026241C">
            <w:rPr>
              <w:rStyle w:val="TextodoEspaoReservado"/>
              <w:rFonts w:eastAsiaTheme="minorHAnsi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B30"/>
    <w:rsid w:val="00050D96"/>
    <w:rsid w:val="000C0C6B"/>
    <w:rsid w:val="00267B30"/>
    <w:rsid w:val="00311668"/>
    <w:rsid w:val="004533A2"/>
    <w:rsid w:val="004B192D"/>
    <w:rsid w:val="005E77F2"/>
    <w:rsid w:val="008F21D5"/>
    <w:rsid w:val="00935232"/>
    <w:rsid w:val="00A22C79"/>
    <w:rsid w:val="00A626BE"/>
    <w:rsid w:val="00D7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E77F2"/>
    <w:rPr>
      <w:color w:val="808080"/>
    </w:rPr>
  </w:style>
  <w:style w:type="paragraph" w:customStyle="1" w:styleId="BBE50B278F4647908940611D69C1AA919">
    <w:name w:val="BBE50B278F4647908940611D69C1AA919"/>
    <w:rsid w:val="005E77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E0623B0D4F44246B6F7BB5B1ADACC1C9">
    <w:name w:val="AE0623B0D4F44246B6F7BB5B1ADACC1C9"/>
    <w:rsid w:val="005E77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466C69587C5E47C586DB5330D6CA48BF9">
    <w:name w:val="466C69587C5E47C586DB5330D6CA48BF9"/>
    <w:rsid w:val="005E77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A1B98-820B-42B6-A0DE-A8BC9221C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Application>LibreOffice/6.0.7.3$Linux_X86_64 LibreOffice_project/00m0$Build-3</Application>
  <Pages>3</Pages>
  <Words>757</Words>
  <Characters>4598</Characters>
  <CharactersWithSpaces>5284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2021-03-11T12:39:00Z</dcterms:created>
  <dc:creator>-</dc:creator>
  <dc:description/>
  <dc:language>pt-BR</dc:language>
  <cp:lastModifiedBy/>
  <dcterms:modified xsi:type="dcterms:W3CDTF">2023-10-23T22:50:41Z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