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  <w:lang w:val="pt-BR"/>
        </w:rPr>
      </w:pPr>
      <w:r>
        <w:rPr>
          <w:rFonts w:cs="Arial" w:ascii="Arial" w:hAnsi="Arial"/>
          <w:b/>
          <w:sz w:val="24"/>
          <w:szCs w:val="24"/>
          <w:u w:val="single"/>
          <w:lang w:val="pt-BR"/>
        </w:rPr>
        <w:t>Projeto de Pesquisa e Planejamento de Atividades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tbl>
      <w:tblPr>
        <w:tblW w:w="90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4389"/>
        <w:gridCol w:w="2693"/>
        <w:gridCol w:w="1"/>
        <w:gridCol w:w="1984"/>
      </w:tblGrid>
      <w:tr>
        <w:trPr/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Aluno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Patrícia Lenes do Nascimento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Data início curso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 04 / 10 / 2022</w:t>
            </w:r>
          </w:p>
        </w:tc>
      </w:tr>
      <w:tr>
        <w:trPr/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Orientador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João Vitor Matos Gonçalves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Defesa em: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07/2024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Curso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: </w:t>
            </w:r>
            <w:r>
              <w:rPr/>
            </w:r>
            <w:sdt>
              <w:sdtPr>
                <w:dropDownList>
                  <w:listItem w:displayText="Selecionar."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dropDownList>
              </w:sdtPr>
              <w:sdtContent>
                <w:r>
                  <w:t>MBA Data Science e Analytics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Modalidade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: </w:t>
            </w:r>
            <w:r>
              <w:rPr/>
            </w:r>
            <w:sdt>
              <w:sdtPr>
                <w:dropDownList>
                  <w:listItem w:displayText="Selecionar" w:value="Selecionar"/>
                  <w:listItem w:displayText="Presencial" w:value="Presencial"/>
                  <w:listItem w:displayText="Distância" w:value="Distância"/>
                </w:dropDownList>
              </w:sdtPr>
              <w:sdtContent>
                <w:r>
                  <w:t>Distância</w:t>
                </w:r>
              </w:sdtContent>
            </w:sdt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Turma: </w:t>
            </w:r>
            <w:r>
              <w:rPr/>
            </w:r>
            <w:sdt>
              <w:sdtPr>
                <w:dropDownList>
                  <w:listItem w:displayText="Selecionar."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dropDownList>
              </w:sdtPr>
              <w:sdtContent>
                <w:r>
                  <w:t>222</w:t>
                </w:r>
              </w:sdtContent>
            </w:sdt>
          </w:p>
        </w:tc>
      </w:tr>
    </w:tbl>
    <w:p>
      <w:pPr>
        <w:pStyle w:val="Normal"/>
        <w:spacing w:before="0" w:after="80"/>
        <w:rPr>
          <w:rFonts w:ascii="Arial" w:hAnsi="Arial" w:cs="Arial"/>
          <w:sz w:val="22"/>
          <w:szCs w:val="22"/>
          <w:lang w:val="pt-BR"/>
        </w:rPr>
      </w:pPr>
      <w:r>
        <w:rPr>
          <w:rFonts w:cs="Arial" w:ascii="Arial" w:hAnsi="Arial"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 xml:space="preserve">Título do projeto </w:t>
      </w:r>
      <w:r>
        <w:rPr>
          <w:rFonts w:cs="Arial" w:ascii="Arial" w:hAnsi="Arial"/>
          <w:i/>
          <w:sz w:val="22"/>
          <w:szCs w:val="22"/>
          <w:lang w:val="pt-BR"/>
        </w:rPr>
        <w:t>(Inicial)</w:t>
      </w:r>
    </w:p>
    <w:p>
      <w:pPr>
        <w:pStyle w:val="Normal"/>
        <w:spacing w:before="0" w:after="40"/>
        <w:ind w:left="357" w:hanging="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before="0" w:after="40"/>
        <w:rPr>
          <w:rFonts w:ascii="Arial" w:hAnsi="Arial" w:cs="Arial"/>
          <w:b w:val="false"/>
          <w:b w:val="false"/>
          <w:bCs w:val="false"/>
          <w:sz w:val="22"/>
          <w:szCs w:val="22"/>
          <w:lang w:val="pt-BR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“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Explorando a Inclusão Financeira: Uma Análise de Clusterização para Identificar Perfis das Mulheres e Variáveis Correlatas”</w:t>
      </w:r>
    </w:p>
    <w:p>
      <w:pPr>
        <w:pStyle w:val="Normal"/>
        <w:spacing w:before="0" w:after="40"/>
        <w:ind w:left="357" w:hanging="0"/>
        <w:rPr>
          <w:rFonts w:ascii="Arial" w:hAnsi="Arial" w:cs="Arial"/>
          <w:b w:val="false"/>
          <w:b w:val="false"/>
          <w:bCs w:val="false"/>
          <w:sz w:val="22"/>
          <w:szCs w:val="22"/>
          <w:u w:val="single"/>
          <w:lang w:val="pt-BR"/>
        </w:rPr>
      </w:pPr>
      <w:r>
        <w:rPr>
          <w:rFonts w:cs="Arial" w:ascii="Arial" w:hAnsi="Arial"/>
          <w:b w:val="false"/>
          <w:bCs w:val="false"/>
          <w:sz w:val="22"/>
          <w:szCs w:val="22"/>
          <w:u w:val="single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Introdução</w:t>
      </w:r>
    </w:p>
    <w:p>
      <w:pPr>
        <w:pStyle w:val="Normal"/>
        <w:spacing w:before="0" w:after="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interesse em compreender e promover a inclusão financeira das mulheres tem crescido significativamente. Este fenômeno é impulsionado por um reconhecimento crescente de que a inclusão financeira não é apenas uma questão de acesso aos serviços bancários, mas também um indicador crucial do empoderamento econômico das mulheres. No entanto, ainda se enfrenta o desafio de medir o empoderamento econômico das mulheres, pois envolve uma série de variáveis que vão além das tradicionais métricas financeiras.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Este trabalho busca identificar padrões e perfis dentro das mulheres incluídas financeiramente, oferecendo assim insights valiosos sobre as variáveis que verdadeiramente impulsionam o empoderamento econômico.</w:t>
      </w:r>
    </w:p>
    <w:p>
      <w:pPr>
        <w:pStyle w:val="Normal"/>
        <w:spacing w:before="0" w:after="80"/>
        <w:jc w:val="both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Objetivo</w:t>
      </w:r>
    </w:p>
    <w:p>
      <w:pPr>
        <w:pStyle w:val="Normal"/>
        <w:spacing w:before="0" w:after="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8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  <w:lang w:val="pt-BR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“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Quais são os padrões e perfis identificáveis das mulheres incluídas financeiramente e quais as variáveis que estão relacionadas ao empoderamento econômico de acordo com a clusterização dos dados?”</w:t>
      </w:r>
    </w:p>
    <w:p>
      <w:pPr>
        <w:pStyle w:val="Normal"/>
        <w:spacing w:before="0" w:after="8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 xml:space="preserve">Material e Métodos </w:t>
      </w:r>
    </w:p>
    <w:p>
      <w:pPr>
        <w:pStyle w:val="Normal"/>
        <w:spacing w:before="0" w:after="4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Para este trabalho será utilizada a base de dados Global Findex do World Bank, uma fonte  abrangente de dados sobre inclusão financeira. Especificamente serão utilizados dados sobre o Brasil. A coleta de dados será realizada por meio de consulta direta ao banco de dados do Global Findex.</w:t>
      </w:r>
    </w:p>
    <w:p>
      <w:pPr>
        <w:pStyle w:val="Normal"/>
        <w:spacing w:before="0" w:after="8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Resultados Esperados</w:t>
      </w:r>
    </w:p>
    <w:p>
      <w:pPr>
        <w:pStyle w:val="Normal"/>
        <w:spacing w:before="0" w:after="40"/>
        <w:jc w:val="both"/>
        <w:rPr>
          <w:rFonts w:ascii="Arial" w:hAnsi="Arial" w:cs="Arial"/>
          <w:i/>
          <w:i/>
          <w:sz w:val="18"/>
          <w:szCs w:val="18"/>
          <w:lang w:val="pt-BR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Identificar clusters distintos de mulheres incluídas financeiramente no Brasil e revelar perfis específicos de grupos.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Encontrar variáveis socioeconômicas, comportamentais e demográgicas que tenham forte correlação com o empoderamento econômico dentro de cada cluster.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Cronograma de Atividades</w:t>
      </w:r>
    </w:p>
    <w:p>
      <w:pPr>
        <w:pStyle w:val="Normal"/>
        <w:spacing w:before="0" w:after="40"/>
        <w:jc w:val="both"/>
        <w:rPr/>
      </w:pPr>
      <w:r>
        <w:rPr>
          <w:rFonts w:cs="Arial" w:ascii="Arial" w:hAnsi="Arial"/>
          <w:i/>
          <w:lang w:val="pt-BR"/>
        </w:rPr>
        <w:t xml:space="preserve"> </w:t>
      </w:r>
      <w:r>
        <w:rPr>
          <w:rFonts w:cs="Arial" w:ascii="Arial" w:hAnsi="Arial"/>
          <w:i/>
          <w:lang w:val="pt-BR"/>
        </w:rPr>
        <w:t>Marcar com um “x” a coluna que corresponde ao período planejado para desenvolver cada atividade planeja)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3205"/>
        <w:gridCol w:w="619"/>
        <w:gridCol w:w="600"/>
        <w:gridCol w:w="598"/>
        <w:gridCol w:w="600"/>
        <w:gridCol w:w="600"/>
        <w:gridCol w:w="582"/>
        <w:gridCol w:w="611"/>
        <w:gridCol w:w="520"/>
        <w:gridCol w:w="568"/>
        <w:gridCol w:w="565"/>
      </w:tblGrid>
      <w:tr>
        <w:trPr>
          <w:trHeight w:val="255" w:hRule="atLeast"/>
        </w:trPr>
        <w:tc>
          <w:tcPr>
            <w:tcW w:w="3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Atividades planejadas</w:t>
            </w:r>
          </w:p>
        </w:tc>
        <w:tc>
          <w:tcPr>
            <w:tcW w:w="58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Mês</w:t>
            </w:r>
          </w:p>
        </w:tc>
      </w:tr>
      <w:tr>
        <w:trPr>
          <w:trHeight w:val="255" w:hRule="atLeast"/>
        </w:trPr>
        <w:tc>
          <w:tcPr>
            <w:tcW w:w="32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Definição do tema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Busca base de dados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Levantamento de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Limpeza dos dados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Aplicação do algoritmo de clusterização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Análise dos resultados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Análise da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Relacionar dados e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do Resultados Preliminares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Escrita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Revisão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Agendamento da defesa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Definição do que será apresentado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Escrita dos slides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da apresentação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shd w:fill="C5E0B3" w:val="clear"/>
          <w:lang w:val="pt-BR"/>
        </w:rPr>
        <w:t>Projeto de Pesquisa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D9E2F3" w:val="clear"/>
          <w:lang w:val="pt-BR"/>
        </w:rPr>
        <w:t>Resultados Preliminares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FFE599" w:val="clear"/>
          <w:lang w:val="pt-BR"/>
        </w:rPr>
        <w:t>Entrega do Trabalho de Conclusão de Curso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F7CAAC" w:val="clear"/>
          <w:lang w:val="pt-BR"/>
        </w:rPr>
        <w:t>Entrega da Apresentação da Defesa</w:t>
      </w:r>
      <w:r>
        <w:rPr>
          <w:rFonts w:cs="Arial" w:ascii="Arial" w:hAnsi="Arial"/>
          <w:sz w:val="18"/>
          <w:szCs w:val="18"/>
          <w:lang w:val="pt-BR"/>
        </w:rPr>
        <w:t xml:space="preserve">    </w:t>
      </w:r>
    </w:p>
    <w:p>
      <w:pPr>
        <w:pStyle w:val="Normal"/>
        <w:ind w:left="360" w:hanging="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Referências Bibliográficas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Center for Financial Inclusion – Accion International. 2021. Normative Constraints to Women’s Financial Inclusion: What We Know and What We Need to Know. Disponível em: &lt;</w:t>
      </w:r>
      <w:hyperlink r:id="rId2">
        <w:r>
          <w:rPr>
            <w:rStyle w:val="LinkdaInternet"/>
            <w:sz w:val="22"/>
            <w:szCs w:val="22"/>
          </w:rPr>
          <w:t>https://www.centerforfinancialinclusion.org/normative-constraints-to-womens-financial-inclusion-what-we-know-and-what-we-need-to-know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Data2X, Financial Alliance for Women. 2020. A Data-Driven Path to Women’s Financial Inclusion: Insights from Financial Service Providers. Disponível em: &lt;</w:t>
      </w:r>
      <w:hyperlink r:id="rId3">
        <w:r>
          <w:rPr>
            <w:rStyle w:val="LinkdaInternet"/>
            <w:sz w:val="22"/>
            <w:szCs w:val="22"/>
          </w:rPr>
          <w:t>https://data2x.org/resource-center/a-data-driven-path-to-womens-financial-inclusion-insights-from-financial-service-providers/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FinEquity. 2021. Measuring Women’s Economic Empowerment in Financial Inclusion: A Mapping of relevant measurement tools. Disponível em: &lt;</w:t>
      </w:r>
      <w:hyperlink r:id="rId4">
        <w:r>
          <w:rPr>
            <w:rStyle w:val="LinkdaInternet"/>
            <w:sz w:val="22"/>
            <w:szCs w:val="22"/>
          </w:rPr>
          <w:t>https://www.findevgateway.org/publicacion/2021/01/measuring-womens-economic-empowerment-financial-inclusion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FinEquity, Center for Global Development, Data2X. 2023. Women’s Economic Empowerment (WEE) Measurement In Financial Inclusion. Disponível em: &lt;</w:t>
      </w:r>
      <w:hyperlink r:id="rId5">
        <w:r>
          <w:rPr>
            <w:rStyle w:val="LinkdaInternet"/>
            <w:sz w:val="22"/>
            <w:szCs w:val="22"/>
          </w:rPr>
          <w:t>https://www.findevgateway.org/paper/2023/03/womens-economic-empowerment-wee-measurement-financial-inclusion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Hendriks, S. 2019. The role of financial inclusion in driving women’s economic empowerment. Development in Practice 29 (8): 1029-1038.</w:t>
      </w:r>
    </w:p>
    <w:sectPr>
      <w:headerReference w:type="default" r:id="rId6"/>
      <w:type w:val="nextPage"/>
      <w:pgSz w:w="11906" w:h="16838"/>
      <w:pgMar w:left="1418" w:right="1418" w:header="708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ind w:right="3968" w:hanging="0"/>
      <w:rPr>
        <w:sz w:val="16"/>
        <w:szCs w:val="17"/>
      </w:rPr>
    </w:pPr>
    <w:r>
      <w:drawing>
        <wp:anchor behindDoc="1" distT="0" distB="3810" distL="114300" distR="114300" simplePos="0" locked="0" layoutInCell="1" allowOverlap="1" relativeHeight="5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100" cy="282575"/>
          <wp:effectExtent l="0" t="0" r="0" b="0"/>
          <wp:wrapNone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8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7"/>
      </w:rPr>
      <w:t>P</w:t>
    </w:r>
    <w:r>
      <w:rPr>
        <w:sz w:val="16"/>
        <w:szCs w:val="17"/>
      </w:rPr>
      <w:t xml:space="preserve">rojeto de Pesquisa – Trabalho de Conclusão de Curso </w:t>
    </w:r>
  </w:p>
  <w:p>
    <w:pPr>
      <w:pStyle w:val="Cabealho"/>
      <w:tabs>
        <w:tab w:val="left" w:pos="1785" w:leader="none"/>
        <w:tab w:val="center" w:pos="4252" w:leader="none"/>
        <w:tab w:val="right" w:pos="8504" w:leader="none"/>
      </w:tabs>
      <w:rPr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2D7C9B35">
              <wp:simplePos x="0" y="0"/>
              <wp:positionH relativeFrom="margin">
                <wp:align>right</wp:align>
              </wp:positionH>
              <wp:positionV relativeFrom="paragraph">
                <wp:posOffset>107315</wp:posOffset>
              </wp:positionV>
              <wp:extent cx="5755005" cy="2540"/>
              <wp:effectExtent l="0" t="0" r="0" b="0"/>
              <wp:wrapNone/>
              <wp:docPr id="2" name="Conector re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4240" cy="1800"/>
                      </a:xfrm>
                      <a:prstGeom prst="line">
                        <a:avLst/>
                      </a:prstGeom>
                      <a:ln w="3240">
                        <a:solidFill>
                          <a:srgbClr val="595959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65pt,8.45pt" to="444.4pt,8.55pt" ID="Conector reto 1" stroked="t" style="position:absolute;mso-position-horizontal:right;mso-position-horizontal-relative:margin" wp14:anchorId="2D7C9B35">
              <v:stroke color="#595959" weight="3240" joinstyle="round" endcap="flat"/>
              <v:fill o:detectmouseclick="t" on="false"/>
            </v:line>
          </w:pict>
        </mc:Fallback>
      </mc:AlternateContent>
    </w:r>
    <w:r>
      <w:rPr>
        <w:lang w:val="pt-BR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szCs w:val="2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55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53cc8"/>
    <w:rPr>
      <w:color w:val="808080"/>
    </w:rPr>
  </w:style>
  <w:style w:type="character" w:styleId="Estilo1" w:customStyle="1">
    <w:name w:val="Estilo1"/>
    <w:basedOn w:val="DefaultParagraphFont"/>
    <w:uiPriority w:val="1"/>
    <w:qFormat/>
    <w:rsid w:val="008b7819"/>
    <w:rPr>
      <w:rFonts w:ascii="Arial" w:hAnsi="Arial"/>
      <w:b/>
      <w:sz w:val="24"/>
      <w:u w:val="single"/>
    </w:rPr>
  </w:style>
  <w:style w:type="character" w:styleId="Preenchimentoformulrio" w:customStyle="1">
    <w:name w:val="Preenchimento formulário"/>
    <w:basedOn w:val="DefaultParagraphFont"/>
    <w:uiPriority w:val="1"/>
    <w:qFormat/>
    <w:rsid w:val="008b7819"/>
    <w:rPr>
      <w:rFonts w:ascii="Arial" w:hAnsi="Arial"/>
      <w:b w:val="false"/>
      <w:sz w:val="24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4243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42439"/>
    <w:rPr/>
  </w:style>
  <w:style w:type="character" w:styleId="Estilo2" w:customStyle="1">
    <w:name w:val="Estilo 2"/>
    <w:basedOn w:val="DefaultParagraphFont"/>
    <w:uiPriority w:val="1"/>
    <w:qFormat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DefaultParagraphFont"/>
    <w:uiPriority w:val="1"/>
    <w:qFormat/>
    <w:rsid w:val="00a478d3"/>
    <w:rPr>
      <w:rFonts w:ascii="Arial" w:hAnsi="Arial"/>
      <w:sz w:val="24"/>
    </w:rPr>
  </w:style>
  <w:style w:type="character" w:styleId="ListLabel1">
    <w:name w:val="ListLabel 1"/>
    <w:qFormat/>
    <w:rPr>
      <w:rFonts w:ascii="Arial" w:hAnsi="Arial" w:cs="Arial"/>
      <w:b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b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Arial" w:hAnsi="Arial" w:cs="Arial"/>
      <w:b/>
      <w:sz w:val="22"/>
      <w:szCs w:val="22"/>
    </w:rPr>
  </w:style>
  <w:style w:type="character" w:styleId="ListLabel7">
    <w:name w:val="ListLabel 7"/>
    <w:qFormat/>
    <w:rPr>
      <w:sz w:val="22"/>
      <w:szCs w:val="22"/>
    </w:rPr>
  </w:style>
  <w:style w:type="character" w:styleId="ListLabel8">
    <w:name w:val="ListLabel 8"/>
    <w:qFormat/>
    <w:rPr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4339"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e42439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terforfinancialinclusion.org/normative-constraints-to-womens-financial-inclusion-what-we-know-and-what-we-need-to-know" TargetMode="External"/><Relationship Id="rId3" Type="http://schemas.openxmlformats.org/officeDocument/2006/relationships/hyperlink" Target="https://data2x.org/resource-center/a-data-driven-path-to-womens-financial-inclusion-insights-from-financial-service-providers/" TargetMode="External"/><Relationship Id="rId4" Type="http://schemas.openxmlformats.org/officeDocument/2006/relationships/hyperlink" Target="https://www.findevgateway.org/publicacion/2021/01/measuring-womens-economic-empowerment-financial-inclusion" TargetMode="External"/><Relationship Id="rId5" Type="http://schemas.openxmlformats.org/officeDocument/2006/relationships/hyperlink" Target="https://www.findevgateway.org/paper/2023/03/womens-economic-empowerment-wee-measurement-financial-inclusion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11668"/>
    <w:rsid w:val="004533A2"/>
    <w:rsid w:val="004B192D"/>
    <w:rsid w:val="005E77F2"/>
    <w:rsid w:val="008F21D5"/>
    <w:rsid w:val="00935232"/>
    <w:rsid w:val="00A22C79"/>
    <w:rsid w:val="00A626BE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Application>LibreOffice/6.0.7.3$Linux_X86_64 LibreOffice_project/00m0$Build-3</Application>
  <Pages>2</Pages>
  <Words>539</Words>
  <Characters>3536</Characters>
  <CharactersWithSpaces>4002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2021-03-11T12:39:00Z</dcterms:created>
  <dc:creator>-</dc:creator>
  <dc:description/>
  <dc:language>pt-BR</dc:language>
  <cp:lastModifiedBy/>
  <dcterms:modified xsi:type="dcterms:W3CDTF">2023-10-19T22:03:41Z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