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7D116" w14:textId="4923EC22" w:rsidR="00B651A8" w:rsidRPr="00883823" w:rsidRDefault="00B651A8" w:rsidP="00B651A8">
      <w:pPr>
        <w:jc w:val="center"/>
        <w:rPr>
          <w:rFonts w:asciiTheme="majorHAnsi" w:hAnsiTheme="majorHAnsi"/>
          <w:b/>
          <w:bCs/>
          <w:noProof/>
          <w:color w:val="002060"/>
          <w:sz w:val="36"/>
          <w:szCs w:val="36"/>
        </w:rPr>
      </w:pPr>
      <w:r w:rsidRPr="00883823">
        <w:rPr>
          <w:rFonts w:asciiTheme="majorHAnsi" w:hAnsiTheme="majorHAnsi"/>
          <w:b/>
          <w:bCs/>
          <w:noProof/>
          <w:color w:val="002060"/>
          <w:sz w:val="36"/>
          <w:szCs w:val="36"/>
        </w:rPr>
        <w:t>1U72-ACY</w:t>
      </w:r>
    </w:p>
    <w:p w14:paraId="6FA16E7E" w14:textId="0888EA59" w:rsidR="001F1825" w:rsidRPr="003E7AD1" w:rsidRDefault="001F1825" w:rsidP="00FF3EB0">
      <w:pPr>
        <w:spacing w:before="100" w:beforeAutospacing="1" w:after="100" w:afterAutospacing="1" w:line="240" w:lineRule="auto"/>
        <w:jc w:val="center"/>
        <w:outlineLvl w:val="1"/>
        <w:rPr>
          <w:rFonts w:asciiTheme="majorHAnsi" w:eastAsia="Times New Roman" w:hAnsiTheme="majorHAnsi" w:cs="Times New Roman"/>
          <w:b/>
          <w:bCs/>
          <w:color w:val="002060"/>
          <w:kern w:val="0"/>
          <w:lang w:eastAsia="en-IN"/>
          <w14:ligatures w14:val="none"/>
        </w:rPr>
      </w:pPr>
      <w:r w:rsidRPr="00FF3EB0">
        <w:rPr>
          <w:rFonts w:asciiTheme="majorHAnsi" w:eastAsia="Times New Roman" w:hAnsiTheme="majorHAnsi" w:cs="Times New Roman"/>
          <w:b/>
          <w:bCs/>
          <w:color w:val="124F1A" w:themeColor="accent3" w:themeShade="BF"/>
          <w:kern w:val="0"/>
          <w:lang w:eastAsia="en-IN"/>
          <w14:ligatures w14:val="none"/>
        </w:rPr>
        <w:t>S</w:t>
      </w:r>
      <w:r w:rsidRPr="003E7AD1">
        <w:rPr>
          <w:rFonts w:asciiTheme="majorHAnsi" w:eastAsia="Times New Roman" w:hAnsiTheme="majorHAnsi" w:cs="Times New Roman"/>
          <w:b/>
          <w:bCs/>
          <w:color w:val="002060"/>
          <w:kern w:val="0"/>
          <w:lang w:eastAsia="en-IN"/>
          <w14:ligatures w14:val="none"/>
        </w:rPr>
        <w:t xml:space="preserve">tructural based cavity detection for C1 1U72 PROTEIN And ligand </w:t>
      </w:r>
      <w:r w:rsidRPr="003E7AD1">
        <w:rPr>
          <w:rFonts w:asciiTheme="majorHAnsi" w:eastAsia="Times New Roman" w:hAnsiTheme="majorHAnsi" w:cs="Times New Roman"/>
          <w:b/>
          <w:bCs/>
          <w:color w:val="002060"/>
          <w:kern w:val="0"/>
          <w:lang w:eastAsia="en-IN"/>
          <w14:ligatures w14:val="none"/>
        </w:rPr>
        <w:t>ACY</w:t>
      </w: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3"/>
        <w:gridCol w:w="2674"/>
        <w:gridCol w:w="1973"/>
        <w:gridCol w:w="2460"/>
      </w:tblGrid>
      <w:tr w:rsidR="0002521C" w:rsidRPr="0002521C" w14:paraId="0BB2F3C0" w14:textId="77777777" w:rsidTr="003E7AD1">
        <w:trPr>
          <w:tblHeader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1FCA647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t>CurPocket</w:t>
            </w: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br/>
              <w:t>ID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483D8F9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t>Cavity</w:t>
            </w: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br/>
              <w:t>volume (Å</w:t>
            </w: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17"/>
                <w:szCs w:val="17"/>
                <w:vertAlign w:val="superscript"/>
                <w:lang w:eastAsia="en-IN"/>
                <w14:ligatures w14:val="none"/>
              </w:rPr>
              <w:t>3</w:t>
            </w: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1278094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t>Center</w:t>
            </w: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br/>
              <w:t>(x, y, z)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37C897A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t>Cavity size</w:t>
            </w:r>
            <w:r w:rsidRPr="0002521C">
              <w:rPr>
                <w:rFonts w:ascii="Poppins" w:eastAsia="Times New Roman" w:hAnsi="Poppins" w:cs="Poppins"/>
                <w:b/>
                <w:bCs/>
                <w:color w:val="002060"/>
                <w:kern w:val="0"/>
                <w:sz w:val="23"/>
                <w:szCs w:val="23"/>
                <w:lang w:eastAsia="en-IN"/>
                <w14:ligatures w14:val="none"/>
              </w:rPr>
              <w:br/>
              <w:t>(x, y, z)</w:t>
            </w:r>
          </w:p>
        </w:tc>
      </w:tr>
      <w:tr w:rsidR="0002521C" w:rsidRPr="0002521C" w14:paraId="00E5A566" w14:textId="77777777" w:rsidTr="003E7AD1"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6B3DCBEA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  <w:t>C1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CC4AE91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  <w:t>2008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6069D381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  <w:t>32, 16, 2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56E3EC1B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275317" w:themeColor="accent6" w:themeShade="80"/>
                <w:kern w:val="0"/>
                <w:sz w:val="23"/>
                <w:szCs w:val="23"/>
                <w:lang w:eastAsia="en-IN"/>
                <w14:ligatures w14:val="none"/>
              </w:rPr>
              <w:t>15, 22, 17</w:t>
            </w:r>
          </w:p>
        </w:tc>
      </w:tr>
      <w:tr w:rsidR="0002521C" w:rsidRPr="0002521C" w14:paraId="15CA9291" w14:textId="77777777" w:rsidTr="003E7AD1"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0506E884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  <w:t>C2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512B4BE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  <w:t>224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69ACC97A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  <w:t>17, 8, 11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24BA2FDA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7030A0"/>
                <w:kern w:val="0"/>
                <w:sz w:val="23"/>
                <w:szCs w:val="23"/>
                <w:lang w:eastAsia="en-IN"/>
                <w14:ligatures w14:val="none"/>
              </w:rPr>
              <w:t>15, 6, 9</w:t>
            </w:r>
          </w:p>
        </w:tc>
      </w:tr>
      <w:tr w:rsidR="0002521C" w:rsidRPr="0002521C" w14:paraId="4B863D2B" w14:textId="77777777" w:rsidTr="003E7AD1"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17658C63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  <w:t>C3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DC75EEC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  <w:t>207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54915CF9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  <w:t>17, 21, -10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67A8A31B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00B0F0"/>
                <w:kern w:val="0"/>
                <w:sz w:val="23"/>
                <w:szCs w:val="23"/>
                <w:lang w:eastAsia="en-IN"/>
                <w14:ligatures w14:val="none"/>
              </w:rPr>
              <w:t>10, 8, 7</w:t>
            </w:r>
          </w:p>
        </w:tc>
      </w:tr>
      <w:tr w:rsidR="0002521C" w:rsidRPr="0002521C" w14:paraId="100639F9" w14:textId="77777777" w:rsidTr="003E7AD1"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77E565D9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  <w:t>C4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6811DC2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  <w:t>195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125F72EC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  <w:t>13, 1, 0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72C87A3C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E97132" w:themeColor="accent2"/>
                <w:kern w:val="0"/>
                <w:sz w:val="23"/>
                <w:szCs w:val="23"/>
                <w:lang w:eastAsia="en-IN"/>
                <w14:ligatures w14:val="none"/>
              </w:rPr>
              <w:t>12, 6, 6</w:t>
            </w:r>
          </w:p>
        </w:tc>
      </w:tr>
      <w:tr w:rsidR="0002521C" w:rsidRPr="0002521C" w14:paraId="172405E2" w14:textId="77777777" w:rsidTr="003E7AD1"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59EAC7C4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b/>
                <w:bCs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b/>
                <w:bCs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  <w:t>C5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EFEA0E4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  <w:t>164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296F19E1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  <w:t>22, 10, -17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2640986B" w14:textId="77777777" w:rsidR="0002521C" w:rsidRPr="0002521C" w:rsidRDefault="0002521C" w:rsidP="0002521C">
            <w:pPr>
              <w:spacing w:after="0" w:line="240" w:lineRule="auto"/>
              <w:jc w:val="center"/>
              <w:rPr>
                <w:rFonts w:ascii="Poppins" w:eastAsia="Times New Roman" w:hAnsi="Poppins" w:cs="Poppins"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</w:pPr>
            <w:r w:rsidRPr="0002521C">
              <w:rPr>
                <w:rFonts w:ascii="Poppins" w:eastAsia="Times New Roman" w:hAnsi="Poppins" w:cs="Poppins"/>
                <w:color w:val="C00000"/>
                <w:kern w:val="0"/>
                <w:sz w:val="23"/>
                <w:szCs w:val="23"/>
                <w:lang w:eastAsia="en-IN"/>
                <w14:ligatures w14:val="none"/>
              </w:rPr>
              <w:t>9, 7, 5</w:t>
            </w:r>
          </w:p>
        </w:tc>
      </w:tr>
    </w:tbl>
    <w:p w14:paraId="7D13B4A3" w14:textId="77777777" w:rsidR="001B0568" w:rsidRDefault="001B0568" w:rsidP="00FF3EB0">
      <w:pPr>
        <w:spacing w:before="100" w:beforeAutospacing="1" w:after="100" w:afterAutospacing="1" w:line="240" w:lineRule="auto"/>
        <w:jc w:val="center"/>
        <w:outlineLvl w:val="1"/>
        <w:rPr>
          <w:rFonts w:asciiTheme="majorHAnsi" w:eastAsia="Times New Roman" w:hAnsiTheme="majorHAnsi" w:cs="Times New Roman"/>
          <w:b/>
          <w:bCs/>
          <w:color w:val="124F1A" w:themeColor="accent3" w:themeShade="BF"/>
          <w:kern w:val="0"/>
          <w:lang w:eastAsia="en-IN"/>
          <w14:ligatures w14:val="none"/>
        </w:rPr>
      </w:pPr>
    </w:p>
    <w:p w14:paraId="70B1552A" w14:textId="666F1313" w:rsidR="00F524FF" w:rsidRDefault="00F524FF">
      <w:pPr>
        <w:rPr>
          <w:noProof/>
        </w:rPr>
      </w:pPr>
      <w:r>
        <w:rPr>
          <w:noProof/>
        </w:rPr>
        <w:drawing>
          <wp:inline distT="0" distB="0" distL="0" distR="0" wp14:anchorId="52DA514F" wp14:editId="5C8B0F94">
            <wp:extent cx="2654300" cy="1568450"/>
            <wp:effectExtent l="0" t="0" r="0" b="0"/>
            <wp:docPr id="9870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32" cy="158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24FF">
        <w:t xml:space="preserve"> </w:t>
      </w:r>
      <w:r>
        <w:rPr>
          <w:noProof/>
        </w:rPr>
        <w:drawing>
          <wp:inline distT="0" distB="0" distL="0" distR="0" wp14:anchorId="74E96919" wp14:editId="1C9244F8">
            <wp:extent cx="1873250" cy="2276499"/>
            <wp:effectExtent l="0" t="0" r="0" b="9525"/>
            <wp:docPr id="369760225" name="Picture 2" descr="A close-up of a molec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60225" name="Picture 2" descr="A close-up of a molecu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295" cy="228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32EF" w14:textId="78915D1D" w:rsidR="00F524FF" w:rsidRDefault="00F524FF" w:rsidP="0085016D">
      <w:pPr>
        <w:ind w:left="720" w:firstLine="720"/>
        <w:rPr>
          <w:noProof/>
        </w:rPr>
      </w:pPr>
      <w:r>
        <w:rPr>
          <w:noProof/>
        </w:rPr>
        <w:t>C1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C2</w:t>
      </w:r>
    </w:p>
    <w:p w14:paraId="29D01EA3" w14:textId="77777777" w:rsidR="00F524FF" w:rsidRDefault="00F524FF">
      <w:pPr>
        <w:rPr>
          <w:noProof/>
        </w:rPr>
      </w:pPr>
    </w:p>
    <w:p w14:paraId="71B0DA11" w14:textId="0711FBB1" w:rsidR="00F524FF" w:rsidRDefault="00F524FF">
      <w:r>
        <w:t>C3</w:t>
      </w:r>
      <w:r>
        <w:rPr>
          <w:noProof/>
        </w:rPr>
        <w:drawing>
          <wp:inline distT="0" distB="0" distL="0" distR="0" wp14:anchorId="63C96B5F" wp14:editId="4DC11616">
            <wp:extent cx="2311400" cy="2005782"/>
            <wp:effectExtent l="0" t="0" r="0" b="0"/>
            <wp:docPr id="129949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33" cy="201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C4</w:t>
      </w:r>
      <w:r w:rsidR="0085016D" w:rsidRPr="0085016D">
        <w:rPr>
          <w:noProof/>
        </w:rPr>
        <w:t xml:space="preserve"> </w:t>
      </w:r>
      <w:r w:rsidR="0085016D">
        <w:rPr>
          <w:noProof/>
        </w:rPr>
        <w:drawing>
          <wp:inline distT="0" distB="0" distL="0" distR="0" wp14:anchorId="01E02376" wp14:editId="0EBD166D">
            <wp:extent cx="2348291" cy="2134870"/>
            <wp:effectExtent l="0" t="0" r="0" b="0"/>
            <wp:docPr id="1555516777" name="Picture 5" descr="A close-up of a ce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6777" name="Picture 5" descr="A close-up of a ce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441" cy="214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3FC4" w14:textId="77777777" w:rsidR="00F524FF" w:rsidRDefault="00F524FF"/>
    <w:p w14:paraId="755A8C82" w14:textId="3E530219" w:rsidR="00F2147F" w:rsidRDefault="00F524FF">
      <w:r>
        <w:lastRenderedPageBreak/>
        <w:t xml:space="preserve">C5 </w:t>
      </w:r>
      <w:r w:rsidR="00F2147F">
        <w:rPr>
          <w:noProof/>
        </w:rPr>
        <w:drawing>
          <wp:inline distT="0" distB="0" distL="0" distR="0" wp14:anchorId="395AEBD0" wp14:editId="28623E9F">
            <wp:extent cx="2088925" cy="1968500"/>
            <wp:effectExtent l="0" t="0" r="6985" b="0"/>
            <wp:docPr id="688104980" name="Picture 3" descr="A close-up of a molec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04980" name="Picture 3" descr="A close-up of a molecu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72" cy="19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0D30" w14:textId="77777777" w:rsidR="003C5E45" w:rsidRDefault="003C5E45" w:rsidP="003C5E45">
      <w:pPr>
        <w:spacing w:before="100" w:beforeAutospacing="1" w:after="100" w:afterAutospacing="1" w:line="24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color w:val="002060"/>
          <w:kern w:val="0"/>
          <w:sz w:val="27"/>
          <w:szCs w:val="27"/>
          <w:lang w:eastAsia="en-IN"/>
          <w14:ligatures w14:val="none"/>
        </w:rPr>
      </w:pPr>
      <w:r w:rsidRPr="00916EA2">
        <w:rPr>
          <w:rFonts w:ascii="Times New Roman" w:eastAsia="Times New Roman" w:hAnsi="Times New Roman" w:cs="Times New Roman"/>
          <w:b/>
          <w:bCs/>
          <w:color w:val="002060"/>
          <w:kern w:val="0"/>
          <w:sz w:val="27"/>
          <w:szCs w:val="27"/>
          <w:lang w:eastAsia="en-IN"/>
          <w14:ligatures w14:val="none"/>
        </w:rPr>
        <w:t>CY Docking to DHFR (1U72): Updated Pocket Ranking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30B2D" w:rsidRPr="00630B2D" w14:paraId="06C7AB3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30"/>
              <w:gridCol w:w="1097"/>
              <w:gridCol w:w="1420"/>
              <w:gridCol w:w="1540"/>
              <w:gridCol w:w="1295"/>
              <w:gridCol w:w="2744"/>
            </w:tblGrid>
            <w:tr w:rsidR="00985A46" w:rsidRPr="00630B2D" w14:paraId="27B6C14D" w14:textId="77777777" w:rsidTr="00985A46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0279662" w14:textId="435F2573" w:rsidR="00630B2D" w:rsidRPr="00630B2D" w:rsidRDefault="00B651A8" w:rsidP="00985A46">
                  <w:pPr>
                    <w:spacing w:after="0" w:line="240" w:lineRule="auto"/>
                    <w:jc w:val="center"/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t xml:space="preserve"> </w:t>
                  </w:r>
                  <w:r w:rsidR="00630B2D" w:rsidRPr="00630B2D"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  <w:t>Cavity ID</w:t>
                  </w:r>
                </w:p>
              </w:tc>
              <w:tc>
                <w:tcPr>
                  <w:tcW w:w="1067" w:type="dxa"/>
                  <w:vAlign w:val="center"/>
                  <w:hideMark/>
                </w:tcPr>
                <w:p w14:paraId="59C0EE30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  <w:t>Vina Score (kcal/mol)</w:t>
                  </w:r>
                </w:p>
              </w:tc>
              <w:tc>
                <w:tcPr>
                  <w:tcW w:w="1390" w:type="dxa"/>
                  <w:vAlign w:val="center"/>
                  <w:hideMark/>
                </w:tcPr>
                <w:p w14:paraId="597E974E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  <w:t>Volume (Å³)</w:t>
                  </w:r>
                </w:p>
              </w:tc>
              <w:tc>
                <w:tcPr>
                  <w:tcW w:w="1510" w:type="dxa"/>
                  <w:vAlign w:val="center"/>
                  <w:hideMark/>
                </w:tcPr>
                <w:p w14:paraId="687F6C71" w14:textId="77777777" w:rsidR="00630B2D" w:rsidRPr="00630B2D" w:rsidRDefault="00630B2D" w:rsidP="00985A46">
                  <w:pPr>
                    <w:spacing w:after="0" w:line="240" w:lineRule="auto"/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  <w:t>Center (x, y, z)</w:t>
                  </w:r>
                </w:p>
              </w:tc>
              <w:tc>
                <w:tcPr>
                  <w:tcW w:w="1265" w:type="dxa"/>
                  <w:vAlign w:val="center"/>
                  <w:hideMark/>
                </w:tcPr>
                <w:p w14:paraId="7B701479" w14:textId="77777777" w:rsidR="00630B2D" w:rsidRPr="00630B2D" w:rsidRDefault="00630B2D" w:rsidP="00985A46">
                  <w:pPr>
                    <w:spacing w:after="0" w:line="240" w:lineRule="auto"/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  <w:t>Size (x, y, z)</w:t>
                  </w:r>
                </w:p>
              </w:tc>
              <w:tc>
                <w:tcPr>
                  <w:tcW w:w="2699" w:type="dxa"/>
                  <w:vAlign w:val="center"/>
                  <w:hideMark/>
                </w:tcPr>
                <w:p w14:paraId="15CE559A" w14:textId="77777777" w:rsidR="00630B2D" w:rsidRPr="00630B2D" w:rsidRDefault="00630B2D" w:rsidP="00985A46">
                  <w:pPr>
                    <w:spacing w:after="0" w:line="240" w:lineRule="auto"/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002060"/>
                      <w:sz w:val="22"/>
                      <w:szCs w:val="22"/>
                    </w:rPr>
                    <w:t>Interpretation</w:t>
                  </w:r>
                </w:p>
              </w:tc>
            </w:tr>
            <w:tr w:rsidR="00985A46" w:rsidRPr="00630B2D" w14:paraId="427FFEA0" w14:textId="77777777" w:rsidTr="00985A46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9225DF9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4EA72E" w:themeColor="accent6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4EA72E" w:themeColor="accent6"/>
                      <w:sz w:val="22"/>
                      <w:szCs w:val="22"/>
                    </w:rPr>
                    <w:t>C1</w:t>
                  </w:r>
                </w:p>
              </w:tc>
              <w:tc>
                <w:tcPr>
                  <w:tcW w:w="1067" w:type="dxa"/>
                  <w:vAlign w:val="center"/>
                  <w:hideMark/>
                </w:tcPr>
                <w:p w14:paraId="267BD95F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4EA72E" w:themeColor="accent6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4EA72E" w:themeColor="accent6"/>
                      <w:sz w:val="22"/>
                      <w:szCs w:val="22"/>
                    </w:rPr>
                    <w:t>–3.1</w:t>
                  </w:r>
                </w:p>
              </w:tc>
              <w:tc>
                <w:tcPr>
                  <w:tcW w:w="1390" w:type="dxa"/>
                  <w:vAlign w:val="center"/>
                  <w:hideMark/>
                </w:tcPr>
                <w:p w14:paraId="784EE906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4EA72E" w:themeColor="accent6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4EA72E" w:themeColor="accent6"/>
                      <w:sz w:val="22"/>
                      <w:szCs w:val="22"/>
                    </w:rPr>
                    <w:t>2008</w:t>
                  </w:r>
                </w:p>
              </w:tc>
              <w:tc>
                <w:tcPr>
                  <w:tcW w:w="1510" w:type="dxa"/>
                  <w:vAlign w:val="center"/>
                  <w:hideMark/>
                </w:tcPr>
                <w:p w14:paraId="064E9161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4EA72E" w:themeColor="accent6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4EA72E" w:themeColor="accent6"/>
                      <w:sz w:val="22"/>
                      <w:szCs w:val="22"/>
                    </w:rPr>
                    <w:t>(32, 16, 2)</w:t>
                  </w:r>
                </w:p>
              </w:tc>
              <w:tc>
                <w:tcPr>
                  <w:tcW w:w="1265" w:type="dxa"/>
                  <w:vAlign w:val="center"/>
                  <w:hideMark/>
                </w:tcPr>
                <w:p w14:paraId="0F2BF601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4EA72E" w:themeColor="accent6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4EA72E" w:themeColor="accent6"/>
                      <w:sz w:val="22"/>
                      <w:szCs w:val="22"/>
                    </w:rPr>
                    <w:t>(20, 27, 22)</w:t>
                  </w:r>
                </w:p>
              </w:tc>
              <w:tc>
                <w:tcPr>
                  <w:tcW w:w="2699" w:type="dxa"/>
                  <w:vAlign w:val="center"/>
                  <w:hideMark/>
                </w:tcPr>
                <w:p w14:paraId="24894DF2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4EA72E" w:themeColor="accent6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4EA72E" w:themeColor="accent6"/>
                      <w:sz w:val="22"/>
                      <w:szCs w:val="22"/>
                    </w:rPr>
                    <w:t>Best overall</w:t>
                  </w:r>
                  <w:r w:rsidRPr="00630B2D">
                    <w:rPr>
                      <w:noProof/>
                      <w:color w:val="4EA72E" w:themeColor="accent6"/>
                      <w:sz w:val="22"/>
                      <w:szCs w:val="22"/>
                    </w:rPr>
                    <w:t>: largest volume, strong binding score</w:t>
                  </w:r>
                </w:p>
              </w:tc>
            </w:tr>
            <w:tr w:rsidR="00985A46" w:rsidRPr="00630B2D" w14:paraId="35401900" w14:textId="77777777" w:rsidTr="00985A46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358256E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C0000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C00000"/>
                      <w:sz w:val="22"/>
                      <w:szCs w:val="22"/>
                    </w:rPr>
                    <w:t>C5</w:t>
                  </w:r>
                </w:p>
              </w:tc>
              <w:tc>
                <w:tcPr>
                  <w:tcW w:w="1067" w:type="dxa"/>
                  <w:vAlign w:val="center"/>
                  <w:hideMark/>
                </w:tcPr>
                <w:p w14:paraId="27A0B69E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C0000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C00000"/>
                      <w:sz w:val="22"/>
                      <w:szCs w:val="22"/>
                    </w:rPr>
                    <w:t>–3.1</w:t>
                  </w:r>
                </w:p>
              </w:tc>
              <w:tc>
                <w:tcPr>
                  <w:tcW w:w="1390" w:type="dxa"/>
                  <w:vAlign w:val="center"/>
                  <w:hideMark/>
                </w:tcPr>
                <w:p w14:paraId="5B8A9414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C0000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C00000"/>
                      <w:sz w:val="22"/>
                      <w:szCs w:val="22"/>
                    </w:rPr>
                    <w:t>164</w:t>
                  </w:r>
                </w:p>
              </w:tc>
              <w:tc>
                <w:tcPr>
                  <w:tcW w:w="1510" w:type="dxa"/>
                  <w:vAlign w:val="center"/>
                  <w:hideMark/>
                </w:tcPr>
                <w:p w14:paraId="6E5FA472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C0000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C00000"/>
                      <w:sz w:val="22"/>
                      <w:szCs w:val="22"/>
                    </w:rPr>
                    <w:t>(22, 10, –17)</w:t>
                  </w:r>
                </w:p>
              </w:tc>
              <w:tc>
                <w:tcPr>
                  <w:tcW w:w="1265" w:type="dxa"/>
                  <w:vAlign w:val="center"/>
                  <w:hideMark/>
                </w:tcPr>
                <w:p w14:paraId="663499CE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C0000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C00000"/>
                      <w:sz w:val="22"/>
                      <w:szCs w:val="22"/>
                    </w:rPr>
                    <w:t>(14, 14, 14)</w:t>
                  </w:r>
                </w:p>
              </w:tc>
              <w:tc>
                <w:tcPr>
                  <w:tcW w:w="2699" w:type="dxa"/>
                  <w:vAlign w:val="center"/>
                  <w:hideMark/>
                </w:tcPr>
                <w:p w14:paraId="0AFD5F5D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C0000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C00000"/>
                      <w:sz w:val="22"/>
                      <w:szCs w:val="22"/>
                    </w:rPr>
                    <w:t>Small pocket, same score; likely hydrophobic</w:t>
                  </w:r>
                </w:p>
              </w:tc>
            </w:tr>
            <w:tr w:rsidR="00985A46" w:rsidRPr="00630B2D" w14:paraId="7AAB6E82" w14:textId="77777777" w:rsidTr="00985A46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70BE0E6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7030A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7030A0"/>
                      <w:sz w:val="22"/>
                      <w:szCs w:val="22"/>
                    </w:rPr>
                    <w:t>C2</w:t>
                  </w:r>
                </w:p>
              </w:tc>
              <w:tc>
                <w:tcPr>
                  <w:tcW w:w="1067" w:type="dxa"/>
                  <w:vAlign w:val="center"/>
                  <w:hideMark/>
                </w:tcPr>
                <w:p w14:paraId="1DBFD7D6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7030A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7030A0"/>
                      <w:sz w:val="22"/>
                      <w:szCs w:val="22"/>
                    </w:rPr>
                    <w:t>–2.7</w:t>
                  </w:r>
                </w:p>
              </w:tc>
              <w:tc>
                <w:tcPr>
                  <w:tcW w:w="1390" w:type="dxa"/>
                  <w:vAlign w:val="center"/>
                  <w:hideMark/>
                </w:tcPr>
                <w:p w14:paraId="63C7DF04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7030A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7030A0"/>
                      <w:sz w:val="22"/>
                      <w:szCs w:val="22"/>
                    </w:rPr>
                    <w:t>224</w:t>
                  </w:r>
                </w:p>
              </w:tc>
              <w:tc>
                <w:tcPr>
                  <w:tcW w:w="1510" w:type="dxa"/>
                  <w:vAlign w:val="center"/>
                  <w:hideMark/>
                </w:tcPr>
                <w:p w14:paraId="05C39817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7030A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7030A0"/>
                      <w:sz w:val="22"/>
                      <w:szCs w:val="22"/>
                    </w:rPr>
                    <w:t>(17, 8, 11)</w:t>
                  </w:r>
                </w:p>
              </w:tc>
              <w:tc>
                <w:tcPr>
                  <w:tcW w:w="1265" w:type="dxa"/>
                  <w:vAlign w:val="center"/>
                  <w:hideMark/>
                </w:tcPr>
                <w:p w14:paraId="3BAE5298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7030A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7030A0"/>
                      <w:sz w:val="22"/>
                      <w:szCs w:val="22"/>
                    </w:rPr>
                    <w:t>(20, 14, 14)</w:t>
                  </w:r>
                </w:p>
              </w:tc>
              <w:tc>
                <w:tcPr>
                  <w:tcW w:w="2699" w:type="dxa"/>
                  <w:vAlign w:val="center"/>
                  <w:hideMark/>
                </w:tcPr>
                <w:p w14:paraId="29A35974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7030A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7030A0"/>
                      <w:sz w:val="22"/>
                      <w:szCs w:val="22"/>
                    </w:rPr>
                    <w:t>Narrow cavity; moderate fit</w:t>
                  </w:r>
                </w:p>
              </w:tc>
            </w:tr>
            <w:tr w:rsidR="00985A46" w:rsidRPr="00630B2D" w14:paraId="3CE2542E" w14:textId="77777777" w:rsidTr="00985A46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DBB7A59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E97132" w:themeColor="accent2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E97132" w:themeColor="accent2"/>
                      <w:sz w:val="22"/>
                      <w:szCs w:val="22"/>
                    </w:rPr>
                    <w:t>C4</w:t>
                  </w:r>
                </w:p>
              </w:tc>
              <w:tc>
                <w:tcPr>
                  <w:tcW w:w="1067" w:type="dxa"/>
                  <w:vAlign w:val="center"/>
                  <w:hideMark/>
                </w:tcPr>
                <w:p w14:paraId="3C516B65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E97132" w:themeColor="accent2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E97132" w:themeColor="accent2"/>
                      <w:sz w:val="22"/>
                      <w:szCs w:val="22"/>
                    </w:rPr>
                    <w:t>–2.5</w:t>
                  </w:r>
                </w:p>
              </w:tc>
              <w:tc>
                <w:tcPr>
                  <w:tcW w:w="1390" w:type="dxa"/>
                  <w:vAlign w:val="center"/>
                  <w:hideMark/>
                </w:tcPr>
                <w:p w14:paraId="1A91CAF9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E97132" w:themeColor="accent2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E97132" w:themeColor="accent2"/>
                      <w:sz w:val="22"/>
                      <w:szCs w:val="22"/>
                    </w:rPr>
                    <w:t>195</w:t>
                  </w:r>
                </w:p>
              </w:tc>
              <w:tc>
                <w:tcPr>
                  <w:tcW w:w="1510" w:type="dxa"/>
                  <w:vAlign w:val="center"/>
                  <w:hideMark/>
                </w:tcPr>
                <w:p w14:paraId="66247EA8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E97132" w:themeColor="accent2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E97132" w:themeColor="accent2"/>
                      <w:sz w:val="22"/>
                      <w:szCs w:val="22"/>
                    </w:rPr>
                    <w:t>(13, 1, 0)</w:t>
                  </w:r>
                </w:p>
              </w:tc>
              <w:tc>
                <w:tcPr>
                  <w:tcW w:w="1265" w:type="dxa"/>
                  <w:vAlign w:val="center"/>
                  <w:hideMark/>
                </w:tcPr>
                <w:p w14:paraId="211BE8D2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E97132" w:themeColor="accent2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E97132" w:themeColor="accent2"/>
                      <w:sz w:val="22"/>
                      <w:szCs w:val="22"/>
                    </w:rPr>
                    <w:t>(14, 14, 14)</w:t>
                  </w:r>
                </w:p>
              </w:tc>
              <w:tc>
                <w:tcPr>
                  <w:tcW w:w="2699" w:type="dxa"/>
                  <w:vAlign w:val="center"/>
                  <w:hideMark/>
                </w:tcPr>
                <w:p w14:paraId="46BF8872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E97132" w:themeColor="accent2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E97132" w:themeColor="accent2"/>
                      <w:sz w:val="22"/>
                      <w:szCs w:val="22"/>
                    </w:rPr>
                    <w:t>Compact; weaker binding</w:t>
                  </w:r>
                </w:p>
              </w:tc>
            </w:tr>
            <w:tr w:rsidR="00985A46" w:rsidRPr="00630B2D" w14:paraId="38BDC2D6" w14:textId="77777777" w:rsidTr="00985A46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51C44F96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00B0F0"/>
                      <w:sz w:val="22"/>
                      <w:szCs w:val="22"/>
                    </w:rPr>
                  </w:pPr>
                  <w:r w:rsidRPr="00630B2D">
                    <w:rPr>
                      <w:b/>
                      <w:bCs/>
                      <w:noProof/>
                      <w:color w:val="00B0F0"/>
                      <w:sz w:val="22"/>
                      <w:szCs w:val="22"/>
                    </w:rPr>
                    <w:t>C3</w:t>
                  </w:r>
                </w:p>
              </w:tc>
              <w:tc>
                <w:tcPr>
                  <w:tcW w:w="1067" w:type="dxa"/>
                  <w:vAlign w:val="center"/>
                  <w:hideMark/>
                </w:tcPr>
                <w:p w14:paraId="732E1664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00B0F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00B0F0"/>
                      <w:sz w:val="22"/>
                      <w:szCs w:val="22"/>
                    </w:rPr>
                    <w:t>–2.3</w:t>
                  </w:r>
                </w:p>
              </w:tc>
              <w:tc>
                <w:tcPr>
                  <w:tcW w:w="1390" w:type="dxa"/>
                  <w:vAlign w:val="center"/>
                  <w:hideMark/>
                </w:tcPr>
                <w:p w14:paraId="4A1DDF8E" w14:textId="77777777" w:rsidR="00630B2D" w:rsidRPr="00630B2D" w:rsidRDefault="00630B2D" w:rsidP="00985A46">
                  <w:pPr>
                    <w:spacing w:after="0" w:line="240" w:lineRule="auto"/>
                    <w:jc w:val="center"/>
                    <w:rPr>
                      <w:noProof/>
                      <w:color w:val="00B0F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00B0F0"/>
                      <w:sz w:val="22"/>
                      <w:szCs w:val="22"/>
                    </w:rPr>
                    <w:t>207</w:t>
                  </w:r>
                </w:p>
              </w:tc>
              <w:tc>
                <w:tcPr>
                  <w:tcW w:w="1510" w:type="dxa"/>
                  <w:vAlign w:val="center"/>
                  <w:hideMark/>
                </w:tcPr>
                <w:p w14:paraId="771633B5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00B0F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00B0F0"/>
                      <w:sz w:val="22"/>
                      <w:szCs w:val="22"/>
                    </w:rPr>
                    <w:t>(17, 21, –10)</w:t>
                  </w:r>
                </w:p>
              </w:tc>
              <w:tc>
                <w:tcPr>
                  <w:tcW w:w="1265" w:type="dxa"/>
                  <w:vAlign w:val="center"/>
                  <w:hideMark/>
                </w:tcPr>
                <w:p w14:paraId="29CAA0E4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00B0F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00B0F0"/>
                      <w:sz w:val="22"/>
                      <w:szCs w:val="22"/>
                    </w:rPr>
                    <w:t>(14, 14, 14)</w:t>
                  </w:r>
                </w:p>
              </w:tc>
              <w:tc>
                <w:tcPr>
                  <w:tcW w:w="2699" w:type="dxa"/>
                  <w:vAlign w:val="center"/>
                  <w:hideMark/>
                </w:tcPr>
                <w:p w14:paraId="5D8B014D" w14:textId="77777777" w:rsidR="00630B2D" w:rsidRPr="00630B2D" w:rsidRDefault="00630B2D" w:rsidP="00985A46">
                  <w:pPr>
                    <w:spacing w:after="0" w:line="240" w:lineRule="auto"/>
                    <w:rPr>
                      <w:noProof/>
                      <w:color w:val="00B0F0"/>
                      <w:sz w:val="22"/>
                      <w:szCs w:val="22"/>
                    </w:rPr>
                  </w:pPr>
                  <w:r w:rsidRPr="00630B2D">
                    <w:rPr>
                      <w:noProof/>
                      <w:color w:val="00B0F0"/>
                      <w:sz w:val="22"/>
                      <w:szCs w:val="22"/>
                    </w:rPr>
                    <w:t>Least favorable score</w:t>
                  </w:r>
                </w:p>
              </w:tc>
            </w:tr>
          </w:tbl>
          <w:p w14:paraId="62E859BE" w14:textId="77777777" w:rsidR="00630B2D" w:rsidRPr="00630B2D" w:rsidRDefault="00630B2D" w:rsidP="00630B2D">
            <w:pPr>
              <w:rPr>
                <w:noProof/>
              </w:rPr>
            </w:pPr>
          </w:p>
        </w:tc>
      </w:tr>
    </w:tbl>
    <w:p w14:paraId="2323A3F6" w14:textId="77777777" w:rsidR="003443E5" w:rsidRDefault="003443E5" w:rsidP="00D17294">
      <w:pPr>
        <w:spacing w:after="0" w:line="240" w:lineRule="auto"/>
        <w:rPr>
          <w:b/>
          <w:bCs/>
          <w:color w:val="002060"/>
        </w:rPr>
      </w:pPr>
    </w:p>
    <w:p w14:paraId="478ABC72" w14:textId="77777777" w:rsidR="00EF5437" w:rsidRDefault="00EF5437" w:rsidP="00EF5437">
      <w:pPr>
        <w:spacing w:before="100" w:beforeAutospacing="1" w:after="100" w:afterAutospacing="1" w:line="240" w:lineRule="auto"/>
        <w:ind w:firstLine="720"/>
        <w:outlineLvl w:val="2"/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2060"/>
          <w:kern w:val="0"/>
          <w:sz w:val="27"/>
          <w:szCs w:val="27"/>
          <w:lang w:eastAsia="en-IN"/>
          <w14:ligatures w14:val="none"/>
        </w:rPr>
        <w:t>Pocket:C1 and Score -3.1</w:t>
      </w:r>
      <w:r w:rsidRPr="00187D42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</w:p>
    <w:p w14:paraId="15E9DB32" w14:textId="306C2C7E" w:rsidR="00EF5437" w:rsidRDefault="00EF5437" w:rsidP="00EF5437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2060"/>
          <w:kern w:val="0"/>
          <w:sz w:val="27"/>
          <w:szCs w:val="27"/>
          <w:lang w:eastAsia="en-IN"/>
          <w14:ligatures w14:val="none"/>
        </w:rPr>
      </w:pPr>
      <w:r w:rsidRPr="00187D42">
        <w:rPr>
          <w:rFonts w:ascii="Times New Roman" w:eastAsia="Times New Roman" w:hAnsi="Times New Roman" w:cs="Times New Roman"/>
          <w:b/>
          <w:bCs/>
          <w:color w:val="002060"/>
          <w:kern w:val="0"/>
          <w:sz w:val="27"/>
          <w:szCs w:val="27"/>
          <w:lang w:eastAsia="en-IN"/>
          <w14:ligatures w14:val="none"/>
        </w:rPr>
        <w:t>Chain A: ALA9 LEU22 TRP24 PRO25 PRO26 LEU27 GLU30 PHE31</w:t>
      </w:r>
    </w:p>
    <w:p w14:paraId="3B621A13" w14:textId="77777777" w:rsidR="00EF5437" w:rsidRDefault="00EF5437" w:rsidP="00EF543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2060"/>
          <w:kern w:val="0"/>
          <w:sz w:val="27"/>
          <w:szCs w:val="27"/>
          <w:lang w:eastAsia="en-IN"/>
          <w14:ligatures w14:val="none"/>
        </w:rPr>
      </w:pPr>
    </w:p>
    <w:p w14:paraId="3456C32B" w14:textId="77777777" w:rsidR="00EF5437" w:rsidRDefault="00EF5437" w:rsidP="00EF5437">
      <w:pPr>
        <w:spacing w:after="0" w:line="240" w:lineRule="auto"/>
        <w:rPr>
          <w:b/>
          <w:bCs/>
          <w:color w:val="002060"/>
        </w:rPr>
      </w:pPr>
    </w:p>
    <w:p w14:paraId="432C0129" w14:textId="77777777" w:rsidR="00B0407C" w:rsidRPr="005A7DCA" w:rsidRDefault="00B0407C" w:rsidP="00B0407C">
      <w:pPr>
        <w:spacing w:after="0" w:line="240" w:lineRule="auto"/>
        <w:rPr>
          <w:b/>
          <w:bCs/>
          <w:color w:val="002060"/>
        </w:rPr>
      </w:pPr>
      <w:r w:rsidRPr="005A7DCA">
        <w:rPr>
          <w:b/>
          <w:bCs/>
          <w:color w:val="002060"/>
        </w:rPr>
        <w:t>Verdict: C1 is the best docking pocket</w:t>
      </w:r>
    </w:p>
    <w:p w14:paraId="0A3550A6" w14:textId="77777777" w:rsidR="00B0407C" w:rsidRPr="005A7DCA" w:rsidRDefault="00B0407C" w:rsidP="00B0407C">
      <w:pPr>
        <w:numPr>
          <w:ilvl w:val="0"/>
          <w:numId w:val="1"/>
        </w:numPr>
        <w:spacing w:after="0" w:line="240" w:lineRule="auto"/>
      </w:pPr>
      <w:r w:rsidRPr="005A7DCA">
        <w:t xml:space="preserve">It has the </w:t>
      </w:r>
      <w:r w:rsidRPr="005A7DCA">
        <w:rPr>
          <w:b/>
          <w:bCs/>
        </w:rPr>
        <w:t>lowest Vina score</w:t>
      </w:r>
      <w:r w:rsidRPr="005A7DCA">
        <w:t xml:space="preserve"> (–3.1) and the </w:t>
      </w:r>
      <w:r w:rsidRPr="005A7DCA">
        <w:rPr>
          <w:b/>
          <w:bCs/>
        </w:rPr>
        <w:t>largest volume</w:t>
      </w:r>
      <w:r w:rsidRPr="005A7DCA">
        <w:t>, making it ideal for flexible or polar ligands like ACY.</w:t>
      </w:r>
    </w:p>
    <w:p w14:paraId="3A63A01C" w14:textId="77777777" w:rsidR="00B0407C" w:rsidRPr="005A7DCA" w:rsidRDefault="00B0407C" w:rsidP="00B0407C">
      <w:pPr>
        <w:numPr>
          <w:ilvl w:val="0"/>
          <w:numId w:val="1"/>
        </w:numPr>
        <w:spacing w:after="0" w:line="240" w:lineRule="auto"/>
      </w:pPr>
      <w:r w:rsidRPr="005A7DCA">
        <w:rPr>
          <w:b/>
          <w:bCs/>
        </w:rPr>
        <w:t>C5</w:t>
      </w:r>
      <w:r w:rsidRPr="005A7DCA">
        <w:t xml:space="preserve"> has the same score but a much smaller volume, so it may suit small hydrophobic ligands like butane.</w:t>
      </w:r>
    </w:p>
    <w:p w14:paraId="1B0227AB" w14:textId="77777777" w:rsidR="00B0407C" w:rsidRPr="005A7DCA" w:rsidRDefault="00B0407C" w:rsidP="00B0407C">
      <w:pPr>
        <w:numPr>
          <w:ilvl w:val="0"/>
          <w:numId w:val="1"/>
        </w:numPr>
        <w:spacing w:after="0" w:line="240" w:lineRule="auto"/>
      </w:pPr>
      <w:r w:rsidRPr="005A7DCA">
        <w:rPr>
          <w:b/>
          <w:bCs/>
        </w:rPr>
        <w:t>C2–C4</w:t>
      </w:r>
      <w:r w:rsidRPr="005A7DCA">
        <w:t xml:space="preserve"> show weaker scores and smaller volumes, suggesting less favourable binding.</w:t>
      </w:r>
    </w:p>
    <w:p w14:paraId="3CB88843" w14:textId="77777777" w:rsidR="00B0407C" w:rsidRDefault="00B0407C" w:rsidP="00B0407C">
      <w:pPr>
        <w:spacing w:after="0" w:line="240" w:lineRule="auto"/>
      </w:pPr>
    </w:p>
    <w:p w14:paraId="604FBC8C" w14:textId="77777777" w:rsidR="003443E5" w:rsidRDefault="003443E5" w:rsidP="00D17294">
      <w:pPr>
        <w:spacing w:after="0" w:line="240" w:lineRule="auto"/>
        <w:rPr>
          <w:b/>
          <w:bCs/>
          <w:color w:val="002060"/>
        </w:rPr>
      </w:pPr>
    </w:p>
    <w:p w14:paraId="7AB66406" w14:textId="4B60FFFF" w:rsidR="003443E5" w:rsidRDefault="003443E5" w:rsidP="00D17294">
      <w:pPr>
        <w:spacing w:after="0" w:line="240" w:lineRule="auto"/>
        <w:rPr>
          <w:b/>
          <w:bCs/>
          <w:color w:val="002060"/>
        </w:rPr>
      </w:pPr>
      <w:r w:rsidRPr="003443E5">
        <w:rPr>
          <w:noProof/>
        </w:rPr>
        <w:lastRenderedPageBreak/>
        <w:drawing>
          <wp:inline distT="0" distB="0" distL="0" distR="0" wp14:anchorId="1DB063A1" wp14:editId="58D98633">
            <wp:extent cx="2387600" cy="2340007"/>
            <wp:effectExtent l="0" t="0" r="0" b="3175"/>
            <wp:docPr id="139250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3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766" cy="23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67F">
        <w:rPr>
          <w:b/>
          <w:bCs/>
          <w:noProof/>
          <w:color w:val="002060"/>
        </w:rPr>
        <w:drawing>
          <wp:inline distT="0" distB="0" distL="0" distR="0" wp14:anchorId="0AB9B947" wp14:editId="29F8DDC8">
            <wp:extent cx="3035300" cy="2254250"/>
            <wp:effectExtent l="0" t="0" r="0" b="0"/>
            <wp:docPr id="648670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7D9E" w14:textId="710C7F95" w:rsidR="00A0345E" w:rsidRDefault="00BD1BBB" w:rsidP="00A0345E">
      <w:pPr>
        <w:spacing w:after="0" w:line="240" w:lineRule="auto"/>
        <w:ind w:firstLine="720"/>
        <w:rPr>
          <w:b/>
          <w:bCs/>
          <w:color w:val="002060"/>
        </w:rPr>
      </w:pPr>
      <w:r>
        <w:rPr>
          <w:b/>
          <w:bCs/>
          <w:color w:val="002060"/>
        </w:rPr>
        <w:tab/>
      </w:r>
      <w:r>
        <w:rPr>
          <w:b/>
          <w:bCs/>
          <w:color w:val="002060"/>
        </w:rPr>
        <w:tab/>
      </w:r>
      <w:r>
        <w:rPr>
          <w:b/>
          <w:bCs/>
          <w:color w:val="002060"/>
        </w:rPr>
        <w:tab/>
      </w:r>
      <w:r>
        <w:rPr>
          <w:b/>
          <w:bCs/>
          <w:color w:val="002060"/>
        </w:rPr>
        <w:tab/>
      </w:r>
      <w:r>
        <w:rPr>
          <w:b/>
          <w:bCs/>
          <w:color w:val="002060"/>
        </w:rPr>
        <w:tab/>
      </w:r>
      <w:r>
        <w:rPr>
          <w:b/>
          <w:bCs/>
          <w:color w:val="002060"/>
        </w:rPr>
        <w:tab/>
      </w:r>
      <w:r w:rsidR="00812C10">
        <w:rPr>
          <w:b/>
          <w:bCs/>
          <w:color w:val="002060"/>
        </w:rPr>
        <w:t>Fig.2.</w:t>
      </w:r>
      <w:r>
        <w:rPr>
          <w:b/>
          <w:bCs/>
          <w:color w:val="002060"/>
        </w:rPr>
        <w:t>Ribbon View Docking</w:t>
      </w:r>
      <w:r w:rsidR="002A79E1">
        <w:rPr>
          <w:b/>
          <w:bCs/>
          <w:color w:val="002060"/>
        </w:rPr>
        <w:t xml:space="preserve"> </w:t>
      </w:r>
      <w:r>
        <w:rPr>
          <w:b/>
          <w:bCs/>
          <w:color w:val="002060"/>
        </w:rPr>
        <w:t xml:space="preserve"> Pymol</w:t>
      </w:r>
    </w:p>
    <w:p w14:paraId="3A6B19E9" w14:textId="49D7A040" w:rsidR="00BD1BBB" w:rsidRDefault="00812C10" w:rsidP="00A0345E">
      <w:pPr>
        <w:spacing w:after="0" w:line="240" w:lineRule="auto"/>
        <w:ind w:firstLine="720"/>
        <w:rPr>
          <w:b/>
          <w:bCs/>
          <w:color w:val="002060"/>
        </w:rPr>
      </w:pPr>
      <w:r>
        <w:rPr>
          <w:b/>
          <w:bCs/>
          <w:color w:val="002060"/>
        </w:rPr>
        <w:t>Fig1.</w:t>
      </w:r>
      <w:r w:rsidR="00C26115">
        <w:rPr>
          <w:b/>
          <w:bCs/>
          <w:color w:val="002060"/>
        </w:rPr>
        <w:t>S</w:t>
      </w:r>
      <w:r w:rsidR="00C26115" w:rsidRPr="00140891">
        <w:rPr>
          <w:b/>
          <w:bCs/>
          <w:color w:val="002060"/>
        </w:rPr>
        <w:t xml:space="preserve">pace-filling molecular model </w:t>
      </w:r>
      <w:r w:rsidR="00BD1BBB">
        <w:rPr>
          <w:b/>
          <w:bCs/>
          <w:color w:val="002060"/>
        </w:rPr>
        <w:tab/>
      </w:r>
    </w:p>
    <w:p w14:paraId="5D69E0E6" w14:textId="41E99E4F" w:rsidR="00140891" w:rsidRDefault="00C26115" w:rsidP="00A0345E">
      <w:pPr>
        <w:spacing w:after="0" w:line="240" w:lineRule="auto"/>
        <w:ind w:firstLine="720"/>
        <w:rPr>
          <w:b/>
          <w:bCs/>
          <w:color w:val="002060"/>
        </w:rPr>
      </w:pPr>
      <w:r w:rsidRPr="00140891">
        <w:rPr>
          <w:b/>
          <w:bCs/>
          <w:color w:val="002060"/>
        </w:rPr>
        <w:t>of the protein-ligand complex—</w:t>
      </w:r>
      <w:r w:rsidR="00C72738">
        <w:rPr>
          <w:b/>
          <w:bCs/>
          <w:color w:val="002060"/>
        </w:rPr>
        <w:t>CB-Dock2</w:t>
      </w:r>
      <w:r w:rsidR="00694849">
        <w:rPr>
          <w:b/>
          <w:bCs/>
          <w:color w:val="002060"/>
        </w:rPr>
        <w:tab/>
      </w:r>
      <w:r w:rsidR="00694849">
        <w:rPr>
          <w:b/>
          <w:bCs/>
          <w:color w:val="002060"/>
        </w:rPr>
        <w:tab/>
      </w:r>
      <w:r w:rsidR="00694849">
        <w:rPr>
          <w:b/>
          <w:bCs/>
          <w:color w:val="002060"/>
        </w:rPr>
        <w:tab/>
      </w:r>
      <w:r w:rsidR="00694849">
        <w:rPr>
          <w:b/>
          <w:bCs/>
          <w:color w:val="002060"/>
        </w:rPr>
        <w:tab/>
      </w:r>
    </w:p>
    <w:p w14:paraId="48D866CD" w14:textId="77777777" w:rsidR="00A0345E" w:rsidRDefault="00A0345E" w:rsidP="00A0345E">
      <w:pPr>
        <w:spacing w:after="0" w:line="240" w:lineRule="auto"/>
        <w:ind w:firstLine="720"/>
        <w:rPr>
          <w:b/>
          <w:bCs/>
          <w:color w:val="002060"/>
        </w:rPr>
      </w:pPr>
    </w:p>
    <w:p w14:paraId="0AAB1EC7" w14:textId="235A86CC" w:rsidR="00140891" w:rsidRDefault="00140891" w:rsidP="00140891">
      <w:pPr>
        <w:spacing w:after="0" w:line="240" w:lineRule="auto"/>
        <w:rPr>
          <w:b/>
          <w:bCs/>
          <w:color w:val="002060"/>
        </w:rPr>
      </w:pPr>
      <w:r>
        <w:rPr>
          <w:b/>
          <w:bCs/>
          <w:color w:val="002060"/>
        </w:rPr>
        <w:t>S</w:t>
      </w:r>
      <w:r w:rsidRPr="00140891">
        <w:rPr>
          <w:b/>
          <w:bCs/>
          <w:color w:val="002060"/>
        </w:rPr>
        <w:t>pace-filling molecular model of the protein-ligand complex—specifically, the result of your CB-Dock2 docking run with ACY (or butane) docked into 1U72, the human DHFR protein.</w:t>
      </w:r>
    </w:p>
    <w:p w14:paraId="79FA720E" w14:textId="77777777" w:rsidR="00140891" w:rsidRPr="00140891" w:rsidRDefault="00140891" w:rsidP="00140891">
      <w:pPr>
        <w:spacing w:after="0" w:line="240" w:lineRule="auto"/>
        <w:rPr>
          <w:b/>
          <w:bCs/>
          <w:color w:val="002060"/>
        </w:rPr>
      </w:pPr>
    </w:p>
    <w:p w14:paraId="61C87416" w14:textId="77777777" w:rsidR="00140891" w:rsidRPr="00140891" w:rsidRDefault="00140891" w:rsidP="00140891">
      <w:p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Here’s what it shows:</w:t>
      </w:r>
    </w:p>
    <w:p w14:paraId="621A47E2" w14:textId="77777777" w:rsidR="00140891" w:rsidRPr="00140891" w:rsidRDefault="00140891" w:rsidP="00140891">
      <w:p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pict w14:anchorId="4D41E7BD">
          <v:rect id="_x0000_i1053" style="width:0;height:1.5pt" o:hralign="center" o:hrstd="t" o:hr="t" fillcolor="#a0a0a0" stroked="f"/>
        </w:pict>
      </w:r>
    </w:p>
    <w:p w14:paraId="50BF04F4" w14:textId="77777777" w:rsidR="00140891" w:rsidRPr="00140891" w:rsidRDefault="00140891" w:rsidP="00140891">
      <w:pPr>
        <w:numPr>
          <w:ilvl w:val="0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Protein atoms are rendered as spheres, each colored by element:</w:t>
      </w:r>
    </w:p>
    <w:p w14:paraId="4B2DEF7D" w14:textId="77777777" w:rsidR="00140891" w:rsidRPr="00140891" w:rsidRDefault="00140891" w:rsidP="00140891">
      <w:pPr>
        <w:numPr>
          <w:ilvl w:val="1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Gray = Carbon</w:t>
      </w:r>
    </w:p>
    <w:p w14:paraId="3C496900" w14:textId="77777777" w:rsidR="00140891" w:rsidRPr="00140891" w:rsidRDefault="00140891" w:rsidP="00140891">
      <w:pPr>
        <w:numPr>
          <w:ilvl w:val="1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Red = Oxygen</w:t>
      </w:r>
    </w:p>
    <w:p w14:paraId="674DEFA0" w14:textId="77777777" w:rsidR="00140891" w:rsidRPr="00140891" w:rsidRDefault="00140891" w:rsidP="00140891">
      <w:pPr>
        <w:numPr>
          <w:ilvl w:val="1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Blue = Nitrogen</w:t>
      </w:r>
    </w:p>
    <w:p w14:paraId="33EECA08" w14:textId="77777777" w:rsidR="00140891" w:rsidRPr="00140891" w:rsidRDefault="00140891" w:rsidP="00140891">
      <w:pPr>
        <w:numPr>
          <w:ilvl w:val="1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White = Hydrogen</w:t>
      </w:r>
    </w:p>
    <w:p w14:paraId="6AC966E0" w14:textId="33BE95B9" w:rsidR="00140891" w:rsidRDefault="00140891" w:rsidP="00140891">
      <w:pPr>
        <w:numPr>
          <w:ilvl w:val="1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 xml:space="preserve">Yellow = </w:t>
      </w:r>
      <w:r w:rsidR="00AF3E11" w:rsidRPr="00140891">
        <w:rPr>
          <w:b/>
          <w:bCs/>
          <w:color w:val="002060"/>
        </w:rPr>
        <w:t>Sulphur</w:t>
      </w:r>
    </w:p>
    <w:p w14:paraId="7BB57F63" w14:textId="77777777" w:rsidR="00AF3E11" w:rsidRPr="00140891" w:rsidRDefault="00AF3E11" w:rsidP="00140891">
      <w:pPr>
        <w:numPr>
          <w:ilvl w:val="1"/>
          <w:numId w:val="2"/>
        </w:numPr>
        <w:spacing w:after="0" w:line="240" w:lineRule="auto"/>
        <w:rPr>
          <w:b/>
          <w:bCs/>
          <w:color w:val="002060"/>
        </w:rPr>
      </w:pPr>
    </w:p>
    <w:p w14:paraId="4B7C94A3" w14:textId="77777777" w:rsidR="00140891" w:rsidRDefault="00140891" w:rsidP="00140891">
      <w:pPr>
        <w:numPr>
          <w:ilvl w:val="0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The ligand (ACY or butane) is nestled inside one of the detected cavities (likely C1, based on your docking scores), showing how it fits spatially into the binding pocket.</w:t>
      </w:r>
    </w:p>
    <w:p w14:paraId="739D01F4" w14:textId="77777777" w:rsidR="00AF3E11" w:rsidRPr="00140891" w:rsidRDefault="00AF3E11" w:rsidP="00AF3E11">
      <w:pPr>
        <w:spacing w:after="0" w:line="240" w:lineRule="auto"/>
        <w:ind w:left="720"/>
        <w:rPr>
          <w:b/>
          <w:bCs/>
          <w:color w:val="002060"/>
        </w:rPr>
      </w:pPr>
    </w:p>
    <w:p w14:paraId="055F1566" w14:textId="77777777" w:rsidR="00140891" w:rsidRPr="00140891" w:rsidRDefault="00140891" w:rsidP="00140891">
      <w:pPr>
        <w:numPr>
          <w:ilvl w:val="0"/>
          <w:numId w:val="2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This space-filling model emphasizes steric complementarity—how well the ligand’s shape matches the cavity’s contours.</w:t>
      </w:r>
    </w:p>
    <w:p w14:paraId="2BC497EA" w14:textId="77777777" w:rsidR="00140891" w:rsidRPr="00140891" w:rsidRDefault="00140891" w:rsidP="00140891">
      <w:p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pict w14:anchorId="746418B2">
          <v:rect id="_x0000_i1054" style="width:0;height:1.5pt" o:hralign="center" o:hrstd="t" o:hr="t" fillcolor="#a0a0a0" stroked="f"/>
        </w:pict>
      </w:r>
    </w:p>
    <w:p w14:paraId="3004A5C7" w14:textId="77777777" w:rsidR="00140891" w:rsidRPr="00140891" w:rsidRDefault="00140891" w:rsidP="00140891">
      <w:pPr>
        <w:spacing w:after="0" w:line="240" w:lineRule="auto"/>
        <w:rPr>
          <w:b/>
          <w:bCs/>
          <w:color w:val="002060"/>
        </w:rPr>
      </w:pPr>
      <w:r w:rsidRPr="00140891">
        <w:rPr>
          <w:rFonts w:ascii="Segoe UI Emoji" w:hAnsi="Segoe UI Emoji" w:cs="Segoe UI Emoji"/>
          <w:b/>
          <w:bCs/>
          <w:color w:val="002060"/>
        </w:rPr>
        <w:t>🧠</w:t>
      </w:r>
      <w:r w:rsidRPr="00140891">
        <w:rPr>
          <w:b/>
          <w:bCs/>
          <w:color w:val="002060"/>
        </w:rPr>
        <w:t xml:space="preserve"> Why This Is Useful</w:t>
      </w:r>
    </w:p>
    <w:p w14:paraId="3D589EDB" w14:textId="77777777" w:rsidR="00140891" w:rsidRPr="00140891" w:rsidRDefault="00140891" w:rsidP="00140891">
      <w:pPr>
        <w:numPr>
          <w:ilvl w:val="0"/>
          <w:numId w:val="3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Helps visualize binding interactions (hydrophobic fit, hydrogen bonding zones, steric clashes)</w:t>
      </w:r>
    </w:p>
    <w:p w14:paraId="0BD3100D" w14:textId="77777777" w:rsidR="00140891" w:rsidRPr="00140891" w:rsidRDefault="00140891" w:rsidP="00140891">
      <w:pPr>
        <w:numPr>
          <w:ilvl w:val="0"/>
          <w:numId w:val="3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Useful for infographic export in ChemInsight Lab</w:t>
      </w:r>
    </w:p>
    <w:p w14:paraId="3B1B8A0E" w14:textId="77777777" w:rsidR="00140891" w:rsidRPr="00140891" w:rsidRDefault="00140891" w:rsidP="00140891">
      <w:pPr>
        <w:numPr>
          <w:ilvl w:val="0"/>
          <w:numId w:val="3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Can be used to compare poses across cavities (e.g., ACY in C1 vs C2)</w:t>
      </w:r>
    </w:p>
    <w:p w14:paraId="2A8C11EE" w14:textId="77777777" w:rsidR="00140891" w:rsidRPr="00140891" w:rsidRDefault="00140891" w:rsidP="00140891">
      <w:pPr>
        <w:numPr>
          <w:ilvl w:val="0"/>
          <w:numId w:val="3"/>
        </w:numPr>
        <w:spacing w:after="0" w:line="240" w:lineRule="auto"/>
        <w:rPr>
          <w:b/>
          <w:bCs/>
          <w:color w:val="002060"/>
        </w:rPr>
      </w:pPr>
      <w:r w:rsidRPr="00140891">
        <w:rPr>
          <w:b/>
          <w:bCs/>
          <w:color w:val="002060"/>
        </w:rPr>
        <w:t>Ideal for GUI integration or educational outreach</w:t>
      </w:r>
    </w:p>
    <w:p w14:paraId="3172966B" w14:textId="77777777" w:rsidR="00C56B8E" w:rsidRDefault="00C56B8E" w:rsidP="00D17294">
      <w:pPr>
        <w:spacing w:after="0" w:line="240" w:lineRule="auto"/>
        <w:rPr>
          <w:b/>
          <w:bCs/>
          <w:color w:val="002060"/>
        </w:rPr>
      </w:pPr>
    </w:p>
    <w:p w14:paraId="10A65D4C" w14:textId="77777777" w:rsidR="00C56B8E" w:rsidRDefault="00C56B8E" w:rsidP="00D17294">
      <w:pPr>
        <w:spacing w:after="0" w:line="240" w:lineRule="auto"/>
        <w:rPr>
          <w:b/>
          <w:bCs/>
          <w:color w:val="002060"/>
        </w:rPr>
      </w:pPr>
    </w:p>
    <w:sectPr w:rsidR="00C56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E363BD"/>
    <w:multiLevelType w:val="multilevel"/>
    <w:tmpl w:val="1AA2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AD3EA5"/>
    <w:multiLevelType w:val="multilevel"/>
    <w:tmpl w:val="E9807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AE55F9"/>
    <w:multiLevelType w:val="multilevel"/>
    <w:tmpl w:val="1260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2356416">
    <w:abstractNumId w:val="0"/>
  </w:num>
  <w:num w:numId="2" w16cid:durableId="1855224279">
    <w:abstractNumId w:val="2"/>
  </w:num>
  <w:num w:numId="3" w16cid:durableId="381639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FF"/>
    <w:rsid w:val="0002521C"/>
    <w:rsid w:val="00140891"/>
    <w:rsid w:val="00187D42"/>
    <w:rsid w:val="001B0568"/>
    <w:rsid w:val="001B4AD2"/>
    <w:rsid w:val="001E71EB"/>
    <w:rsid w:val="001F1825"/>
    <w:rsid w:val="002A79E1"/>
    <w:rsid w:val="003443E5"/>
    <w:rsid w:val="003C5E45"/>
    <w:rsid w:val="003E7AD1"/>
    <w:rsid w:val="00454E80"/>
    <w:rsid w:val="004B3C47"/>
    <w:rsid w:val="004C796C"/>
    <w:rsid w:val="004D2AE2"/>
    <w:rsid w:val="0055267F"/>
    <w:rsid w:val="005A7DCA"/>
    <w:rsid w:val="005D0873"/>
    <w:rsid w:val="005D3A36"/>
    <w:rsid w:val="00630B2D"/>
    <w:rsid w:val="006504FB"/>
    <w:rsid w:val="00685D04"/>
    <w:rsid w:val="00694849"/>
    <w:rsid w:val="006E2588"/>
    <w:rsid w:val="0077620E"/>
    <w:rsid w:val="007E3439"/>
    <w:rsid w:val="007F4A52"/>
    <w:rsid w:val="00812C10"/>
    <w:rsid w:val="0085016D"/>
    <w:rsid w:val="0087425E"/>
    <w:rsid w:val="00883823"/>
    <w:rsid w:val="008D0183"/>
    <w:rsid w:val="008F4CCC"/>
    <w:rsid w:val="00916EA2"/>
    <w:rsid w:val="0093134B"/>
    <w:rsid w:val="00933C92"/>
    <w:rsid w:val="00933CF1"/>
    <w:rsid w:val="00965EA8"/>
    <w:rsid w:val="00985A46"/>
    <w:rsid w:val="00A0345E"/>
    <w:rsid w:val="00A65F9F"/>
    <w:rsid w:val="00AE7185"/>
    <w:rsid w:val="00AF0A44"/>
    <w:rsid w:val="00AF31D8"/>
    <w:rsid w:val="00AF3E11"/>
    <w:rsid w:val="00B0407C"/>
    <w:rsid w:val="00B10084"/>
    <w:rsid w:val="00B4414A"/>
    <w:rsid w:val="00B64E0B"/>
    <w:rsid w:val="00B651A8"/>
    <w:rsid w:val="00BD1BBB"/>
    <w:rsid w:val="00C26115"/>
    <w:rsid w:val="00C333B8"/>
    <w:rsid w:val="00C56B8E"/>
    <w:rsid w:val="00C72738"/>
    <w:rsid w:val="00CF1837"/>
    <w:rsid w:val="00CF6C26"/>
    <w:rsid w:val="00D04EA5"/>
    <w:rsid w:val="00D17294"/>
    <w:rsid w:val="00D72491"/>
    <w:rsid w:val="00D85C64"/>
    <w:rsid w:val="00E8556C"/>
    <w:rsid w:val="00EF5437"/>
    <w:rsid w:val="00F13753"/>
    <w:rsid w:val="00F2147F"/>
    <w:rsid w:val="00F37283"/>
    <w:rsid w:val="00F524FF"/>
    <w:rsid w:val="00FF3EB0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3DA64"/>
  <w15:chartTrackingRefBased/>
  <w15:docId w15:val="{76E7AD1D-C882-46B5-9564-FD0E1130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4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4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4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4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4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4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4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4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4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4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4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4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4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4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4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4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4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4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4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4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4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4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4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4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4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4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4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padmavathi r</dc:creator>
  <cp:keywords/>
  <dc:description/>
  <cp:lastModifiedBy>padmavathi r</cp:lastModifiedBy>
  <cp:revision>39</cp:revision>
  <dcterms:created xsi:type="dcterms:W3CDTF">2025-09-06T16:01:00Z</dcterms:created>
  <dcterms:modified xsi:type="dcterms:W3CDTF">2025-09-06T16:57:00Z</dcterms:modified>
</cp:coreProperties>
</file>