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4A30B" w14:textId="131B72BC" w:rsidR="002C289A" w:rsidRPr="002956C4" w:rsidRDefault="0008429A" w:rsidP="009A648E">
      <w:pPr>
        <w:jc w:val="center"/>
        <w:rPr>
          <w:rFonts w:ascii="Sans Serif Collection" w:hAnsi="Sans Serif Collection" w:cs="Sans Serif Collection"/>
          <w:noProof/>
        </w:rPr>
      </w:pPr>
      <w:r w:rsidRPr="002956C4">
        <w:rPr>
          <w:rFonts w:ascii="Sans Serif Collection" w:hAnsi="Sans Serif Collection" w:cs="Sans Serif Collection"/>
          <w:noProof/>
        </w:rPr>
        <w:t>BUTANE</w:t>
      </w:r>
      <w:r w:rsidR="002956C4">
        <w:rPr>
          <w:rFonts w:ascii="Sans Serif Collection" w:hAnsi="Sans Serif Collection" w:cs="Sans Serif Collection"/>
          <w:noProof/>
        </w:rPr>
        <w:t xml:space="preserve">  </w:t>
      </w:r>
      <w:r w:rsidRPr="002956C4">
        <w:rPr>
          <w:rFonts w:ascii="Sans Serif Collection" w:hAnsi="Sans Serif Collection" w:cs="Sans Serif Collection"/>
          <w:noProof/>
        </w:rPr>
        <w:t xml:space="preserve"> </w:t>
      </w:r>
    </w:p>
    <w:p w14:paraId="5E791D59" w14:textId="3ED88FDF" w:rsidR="002C289A" w:rsidRDefault="00DA44AD">
      <w:pPr>
        <w:rPr>
          <w:noProof/>
        </w:rPr>
      </w:pPr>
      <w:r>
        <w:rPr>
          <w:noProof/>
        </w:rPr>
        <w:t xml:space="preserve">                                                                </w:t>
      </w:r>
      <w:r w:rsidR="0068479A">
        <w:rPr>
          <w:noProof/>
        </w:rPr>
        <w:drawing>
          <wp:inline distT="0" distB="0" distL="0" distR="0" wp14:anchorId="3DFC1142" wp14:editId="14BE2141">
            <wp:extent cx="1892836" cy="3086761"/>
            <wp:effectExtent l="0" t="0" r="0" b="0"/>
            <wp:docPr id="15201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9111" cy="3113301"/>
                    </a:xfrm>
                    <a:prstGeom prst="rect">
                      <a:avLst/>
                    </a:prstGeom>
                    <a:noFill/>
                    <a:ln>
                      <a:noFill/>
                    </a:ln>
                  </pic:spPr>
                </pic:pic>
              </a:graphicData>
            </a:graphic>
          </wp:inline>
        </w:drawing>
      </w:r>
    </w:p>
    <w:p w14:paraId="125151FC" w14:textId="77777777" w:rsidR="002C289A" w:rsidRDefault="002C289A">
      <w:pPr>
        <w:rPr>
          <w:noProof/>
        </w:rPr>
      </w:pPr>
    </w:p>
    <w:p w14:paraId="1DC3E57F" w14:textId="5C5D44AD" w:rsidR="002C289A" w:rsidRDefault="002C289A">
      <w:pPr>
        <w:rPr>
          <w:noProof/>
        </w:rPr>
      </w:pPr>
      <w:r>
        <w:rPr>
          <w:noProof/>
        </w:rPr>
        <w:tab/>
      </w:r>
      <w:r>
        <w:rPr>
          <w:noProof/>
        </w:rPr>
        <w:tab/>
      </w:r>
      <w:r>
        <w:rPr>
          <w:noProof/>
        </w:rPr>
        <w:tab/>
      </w:r>
      <w:r>
        <w:rPr>
          <w:noProof/>
        </w:rPr>
        <w:tab/>
      </w:r>
      <w:r w:rsidR="0008087F">
        <w:rPr>
          <w:noProof/>
        </w:rPr>
        <w:tab/>
      </w:r>
      <w:r w:rsidR="0008087F">
        <w:rPr>
          <w:noProof/>
        </w:rPr>
        <w:tab/>
      </w:r>
      <w:r>
        <w:rPr>
          <w:noProof/>
        </w:rPr>
        <w:t xml:space="preserve">LUMO= </w:t>
      </w:r>
      <w:r w:rsidR="004207C9">
        <w:rPr>
          <w:noProof/>
        </w:rPr>
        <w:t>0.09672</w:t>
      </w:r>
    </w:p>
    <w:p w14:paraId="7844919D" w14:textId="6071C431" w:rsidR="002C289A" w:rsidRDefault="0008087F">
      <w:pPr>
        <w:rPr>
          <w:noProof/>
        </w:rPr>
      </w:pPr>
      <w:r>
        <w:rPr>
          <w:noProof/>
        </w:rPr>
        <mc:AlternateContent>
          <mc:Choice Requires="wps">
            <w:drawing>
              <wp:anchor distT="0" distB="0" distL="114300" distR="114300" simplePos="0" relativeHeight="251659264" behindDoc="0" locked="0" layoutInCell="1" allowOverlap="1" wp14:anchorId="0C5532C3" wp14:editId="4EED730E">
                <wp:simplePos x="0" y="0"/>
                <wp:positionH relativeFrom="column">
                  <wp:posOffset>4119644</wp:posOffset>
                </wp:positionH>
                <wp:positionV relativeFrom="paragraph">
                  <wp:posOffset>281851</wp:posOffset>
                </wp:positionV>
                <wp:extent cx="61224" cy="3820351"/>
                <wp:effectExtent l="76200" t="38100" r="34290" b="27940"/>
                <wp:wrapNone/>
                <wp:docPr id="38413663" name="Straight Arrow Connector 1"/>
                <wp:cNvGraphicFramePr/>
                <a:graphic xmlns:a="http://schemas.openxmlformats.org/drawingml/2006/main">
                  <a:graphicData uri="http://schemas.microsoft.com/office/word/2010/wordprocessingShape">
                    <wps:wsp>
                      <wps:cNvCnPr/>
                      <wps:spPr>
                        <a:xfrm flipH="1" flipV="1">
                          <a:off x="0" y="0"/>
                          <a:ext cx="61224" cy="3820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7FF978" id="_x0000_t32" coordsize="21600,21600" o:spt="32" o:oned="t" path="m,l21600,21600e" filled="f">
                <v:path arrowok="t" fillok="f" o:connecttype="none"/>
                <o:lock v:ext="edit" shapetype="t"/>
              </v:shapetype>
              <v:shape id="Straight Arrow Connector 1" o:spid="_x0000_s1026" type="#_x0000_t32" style="position:absolute;margin-left:324.4pt;margin-top:22.2pt;width:4.8pt;height:300.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" strokecolor="#156082 [3204]" strokeweight=".5pt">
                <v:stroke endarrow="block" joinstyle="miter"/>
              </v:shape>
            </w:pict>
          </mc:Fallback>
        </mc:AlternateContent>
      </w:r>
      <w:r w:rsidR="002C289A">
        <w:rPr>
          <w:noProof/>
        </w:rPr>
        <w:t xml:space="preserve">                                  </w:t>
      </w:r>
      <w:r w:rsidR="002C289A">
        <w:rPr>
          <w:noProof/>
        </w:rPr>
        <w:drawing>
          <wp:inline distT="0" distB="0" distL="0" distR="0" wp14:anchorId="1CECF5A6" wp14:editId="2BB4C1F2">
            <wp:extent cx="1855228" cy="1940437"/>
            <wp:effectExtent l="0" t="0" r="0" b="3175"/>
            <wp:docPr id="69659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5825" cy="1961980"/>
                    </a:xfrm>
                    <a:prstGeom prst="rect">
                      <a:avLst/>
                    </a:prstGeom>
                    <a:noFill/>
                    <a:ln>
                      <a:noFill/>
                    </a:ln>
                  </pic:spPr>
                </pic:pic>
              </a:graphicData>
            </a:graphic>
          </wp:inline>
        </w:drawing>
      </w:r>
      <w:r w:rsidR="005773C7">
        <w:rPr>
          <w:noProof/>
        </w:rPr>
        <w:tab/>
      </w:r>
      <w:r w:rsidR="005773C7">
        <w:rPr>
          <w:noProof/>
        </w:rPr>
        <w:tab/>
      </w:r>
      <w:r w:rsidR="005773C7">
        <w:rPr>
          <w:noProof/>
        </w:rPr>
        <w:tab/>
      </w:r>
      <w:r w:rsidR="005773C7">
        <w:rPr>
          <w:noProof/>
        </w:rPr>
        <w:tab/>
      </w:r>
    </w:p>
    <w:p w14:paraId="1FFFD1A2" w14:textId="1A4ADA3D" w:rsidR="002C289A" w:rsidRDefault="0008087F" w:rsidP="0008087F">
      <w:pPr>
        <w:ind w:left="6480" w:firstLine="720"/>
        <w:rPr>
          <w:noProof/>
        </w:rPr>
      </w:pPr>
      <w:r>
        <w:rPr>
          <w:noProof/>
        </w:rPr>
        <w:t xml:space="preserve">Eg= </w:t>
      </w:r>
      <w:r w:rsidR="00683AB3">
        <w:rPr>
          <w:noProof/>
        </w:rPr>
        <w:t>10.9574ev</w:t>
      </w:r>
    </w:p>
    <w:p w14:paraId="57FC387E" w14:textId="597D3CB3" w:rsidR="00FA54FD" w:rsidRDefault="00FA54FD">
      <w:pPr>
        <w:rPr>
          <w:noProof/>
        </w:rPr>
      </w:pPr>
      <w:r>
        <w:rPr>
          <w:noProof/>
        </w:rPr>
        <w:t xml:space="preserve">                             </w:t>
      </w:r>
      <w:r w:rsidR="002C289A">
        <w:rPr>
          <w:noProof/>
        </w:rPr>
        <w:drawing>
          <wp:inline distT="0" distB="0" distL="0" distR="0" wp14:anchorId="5B2627EB" wp14:editId="4C3516B3">
            <wp:extent cx="2087792" cy="1787614"/>
            <wp:effectExtent l="0" t="0" r="8255" b="3175"/>
            <wp:docPr id="6079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7832" cy="1813335"/>
                    </a:xfrm>
                    <a:prstGeom prst="rect">
                      <a:avLst/>
                    </a:prstGeom>
                    <a:noFill/>
                    <a:ln>
                      <a:noFill/>
                    </a:ln>
                  </pic:spPr>
                </pic:pic>
              </a:graphicData>
            </a:graphic>
          </wp:inline>
        </w:drawing>
      </w:r>
      <w:r w:rsidR="004207C9">
        <w:rPr>
          <w:noProof/>
        </w:rPr>
        <w:t>Homo= -0.30596</w:t>
      </w:r>
    </w:p>
    <w:p w14:paraId="731F7A5B" w14:textId="19A5F976" w:rsidR="006F6E04" w:rsidRDefault="006F6E04" w:rsidP="006F6E04">
      <w:pPr>
        <w:jc w:val="both"/>
        <w:rPr>
          <w:rFonts w:ascii="Times New Roman" w:hAnsi="Times New Roman" w:cs="Times New Roman"/>
          <w:noProof/>
        </w:rPr>
      </w:pPr>
      <w:r w:rsidRPr="006F6E04">
        <w:rPr>
          <w:rFonts w:ascii="Times New Roman" w:hAnsi="Times New Roman" w:cs="Times New Roman"/>
          <w:noProof/>
        </w:rPr>
        <w:lastRenderedPageBreak/>
        <w:t>The energy difference between the HOMO and LUMO is known as the HOMO-LUMO gap.</w:t>
      </w:r>
    </w:p>
    <w:p w14:paraId="22F4340D" w14:textId="0FA6B22A" w:rsidR="006F6E04" w:rsidRPr="006F6E04" w:rsidRDefault="006F6E04" w:rsidP="006F6E04">
      <w:pPr>
        <w:jc w:val="both"/>
        <w:rPr>
          <w:rFonts w:ascii="Times New Roman" w:hAnsi="Times New Roman" w:cs="Times New Roman"/>
          <w:noProof/>
        </w:rPr>
      </w:pPr>
      <w:r w:rsidRPr="006F6E04">
        <w:rPr>
          <w:rFonts w:ascii="Times New Roman" w:hAnsi="Times New Roman" w:cs="Times New Roman"/>
          <w:noProof/>
        </w:rPr>
        <w:t xml:space="preserve">The HOMO-LUMO energy gap of butane is approximately 9.5 eV. </w:t>
      </w:r>
      <w:r>
        <w:rPr>
          <w:rFonts w:ascii="Times New Roman" w:hAnsi="Times New Roman" w:cs="Times New Roman"/>
          <w:noProof/>
        </w:rPr>
        <w:t xml:space="preserve">By b3lyp/6-31G energy gap is about </w:t>
      </w:r>
      <w:r>
        <w:rPr>
          <w:noProof/>
        </w:rPr>
        <w:t>10.9574ev</w:t>
      </w:r>
      <w:r w:rsidRPr="006F6E04">
        <w:rPr>
          <w:rFonts w:ascii="Times New Roman" w:hAnsi="Times New Roman" w:cs="Times New Roman"/>
          <w:noProof/>
        </w:rPr>
        <w:t xml:space="preserve"> </w:t>
      </w:r>
      <w:r>
        <w:rPr>
          <w:rFonts w:ascii="Times New Roman" w:hAnsi="Times New Roman" w:cs="Times New Roman"/>
          <w:noProof/>
        </w:rPr>
        <w:t>.</w:t>
      </w:r>
      <w:r w:rsidRPr="006F6E04">
        <w:rPr>
          <w:rFonts w:ascii="Times New Roman" w:hAnsi="Times New Roman" w:cs="Times New Roman"/>
          <w:noProof/>
        </w:rPr>
        <w:t xml:space="preserve">This gap is relatively large, indicating that butane is a stable molecule with low reactivity. HOMO and LUMO: In the context of molecular orbitals, the Highest Occupied Molecular Orbital (HOMO) represents the energy level of the outermost electrons, while the Lowest Unoccupied Molecular Orbital (LUMO) represents the energy level of the next available orbital. This gap is a crucial parameter in determining a molecule's chemical reactivity and stability. For butane, the HOMO-LUMO gap is calculated to be around 9.5 eV, according to some sources. This large gap signifies that it requires a significant amount of energy to promote an electron from the HOMO to the LUMO, making butane relatively stable and unreactive. A large HOMO-LUMO gap implies that the molecule is less likely to participate in chemical reactions, as it requires more energy to initiate electron transfer or excitation. Conversely, a small HOMO-LUMO gap suggests higher reactivity and potentially lower stability. </w:t>
      </w:r>
    </w:p>
    <w:p w14:paraId="287B668A" w14:textId="77777777" w:rsidR="006F6E04" w:rsidRDefault="006F6E04">
      <w:pPr>
        <w:rPr>
          <w:noProof/>
        </w:rPr>
      </w:pPr>
    </w:p>
    <w:p w14:paraId="396DD66A" w14:textId="45C765D1" w:rsidR="00A363FE" w:rsidRDefault="00A363FE">
      <w:pPr>
        <w:rPr>
          <w:noProof/>
        </w:rPr>
      </w:pPr>
      <w:r w:rsidRPr="00A363FE">
        <w:rPr>
          <w:b/>
          <w:bCs/>
        </w:rPr>
        <w:t>Electrostatic Potential (ESP) of butane</w:t>
      </w:r>
    </w:p>
    <w:p w14:paraId="3EE9D2E7" w14:textId="4A84FCFF" w:rsidR="00FA54FD" w:rsidRDefault="006F6E04">
      <w:r>
        <w:t xml:space="preserve">                       </w:t>
      </w:r>
      <w:r w:rsidR="00446CF5">
        <w:rPr>
          <w:noProof/>
        </w:rPr>
        <w:drawing>
          <wp:inline distT="0" distB="0" distL="0" distR="0" wp14:anchorId="6FBFFE50" wp14:editId="2BA4C3DB">
            <wp:extent cx="4670474" cy="2647315"/>
            <wp:effectExtent l="0" t="0" r="0" b="635"/>
            <wp:docPr id="24882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5920" cy="2656070"/>
                    </a:xfrm>
                    <a:prstGeom prst="rect">
                      <a:avLst/>
                    </a:prstGeom>
                    <a:noFill/>
                    <a:ln>
                      <a:noFill/>
                    </a:ln>
                  </pic:spPr>
                </pic:pic>
              </a:graphicData>
            </a:graphic>
          </wp:inline>
        </w:drawing>
      </w:r>
    </w:p>
    <w:p w14:paraId="2B7991A8" w14:textId="77777777" w:rsidR="00A363FE" w:rsidRDefault="00A363FE"/>
    <w:p w14:paraId="725CA84D" w14:textId="62D0FBB6" w:rsidR="00A363FE" w:rsidRPr="00A363FE" w:rsidRDefault="00A363FE" w:rsidP="00A363FE">
      <w:pPr>
        <w:rPr>
          <w:b/>
          <w:bCs/>
        </w:rPr>
      </w:pPr>
      <w:r w:rsidRPr="00A363FE">
        <w:rPr>
          <w:b/>
          <w:bCs/>
        </w:rPr>
        <w:t>ESP of Butane – Quick Summary</w:t>
      </w:r>
    </w:p>
    <w:p w14:paraId="67B176E6" w14:textId="77777777" w:rsidR="00A363FE" w:rsidRPr="00A363FE" w:rsidRDefault="00A363FE" w:rsidP="00A363FE">
      <w:pPr>
        <w:numPr>
          <w:ilvl w:val="0"/>
          <w:numId w:val="1"/>
        </w:numPr>
      </w:pPr>
      <w:r w:rsidRPr="00A363FE">
        <w:rPr>
          <w:b/>
          <w:bCs/>
        </w:rPr>
        <w:t>Butane (C₄H₁₀)</w:t>
      </w:r>
      <w:r w:rsidRPr="00A363FE">
        <w:t xml:space="preserve"> is a non-polar, saturated hydrocarbon with a linear alkane structure.</w:t>
      </w:r>
    </w:p>
    <w:p w14:paraId="1E2B492C" w14:textId="77777777" w:rsidR="00A363FE" w:rsidRPr="00A363FE" w:rsidRDefault="00A363FE" w:rsidP="00A363FE">
      <w:pPr>
        <w:numPr>
          <w:ilvl w:val="0"/>
          <w:numId w:val="1"/>
        </w:numPr>
      </w:pPr>
      <w:r w:rsidRPr="00A363FE">
        <w:t xml:space="preserve">Its </w:t>
      </w:r>
      <w:r w:rsidRPr="00A363FE">
        <w:rPr>
          <w:b/>
          <w:bCs/>
        </w:rPr>
        <w:t>ESP map</w:t>
      </w:r>
      <w:r w:rsidRPr="00A363FE">
        <w:t xml:space="preserve"> shows a relatively </w:t>
      </w:r>
      <w:r w:rsidRPr="00A363FE">
        <w:rPr>
          <w:b/>
          <w:bCs/>
        </w:rPr>
        <w:t>uniform electron distribution</w:t>
      </w:r>
      <w:r w:rsidRPr="00A363FE">
        <w:t xml:space="preserve">, with: </w:t>
      </w:r>
    </w:p>
    <w:p w14:paraId="7DA2DADF" w14:textId="77777777" w:rsidR="00A363FE" w:rsidRPr="00A363FE" w:rsidRDefault="00A363FE" w:rsidP="00A363FE">
      <w:pPr>
        <w:numPr>
          <w:ilvl w:val="1"/>
          <w:numId w:val="1"/>
        </w:numPr>
      </w:pPr>
      <w:r w:rsidRPr="00A363FE">
        <w:rPr>
          <w:b/>
          <w:bCs/>
        </w:rPr>
        <w:t>Low polarity</w:t>
      </w:r>
      <w:r w:rsidRPr="00A363FE">
        <w:t xml:space="preserve"> across the molecule</w:t>
      </w:r>
    </w:p>
    <w:p w14:paraId="6BB39E8F" w14:textId="77777777" w:rsidR="00A363FE" w:rsidRPr="00A363FE" w:rsidRDefault="00A363FE" w:rsidP="00A363FE">
      <w:pPr>
        <w:numPr>
          <w:ilvl w:val="1"/>
          <w:numId w:val="1"/>
        </w:numPr>
      </w:pPr>
      <w:r w:rsidRPr="00A363FE">
        <w:rPr>
          <w:b/>
          <w:bCs/>
        </w:rPr>
        <w:t>Slightly negative regions</w:t>
      </w:r>
      <w:r w:rsidRPr="00A363FE">
        <w:t xml:space="preserve"> near carbon atoms due to higher electronegativity</w:t>
      </w:r>
    </w:p>
    <w:p w14:paraId="64D6D666" w14:textId="77777777" w:rsidR="00A363FE" w:rsidRPr="00A363FE" w:rsidRDefault="00A363FE" w:rsidP="00A363FE">
      <w:pPr>
        <w:numPr>
          <w:ilvl w:val="1"/>
          <w:numId w:val="1"/>
        </w:numPr>
      </w:pPr>
      <w:r w:rsidRPr="00A363FE">
        <w:rPr>
          <w:b/>
          <w:bCs/>
        </w:rPr>
        <w:lastRenderedPageBreak/>
        <w:t>Slightly positive regions</w:t>
      </w:r>
      <w:r w:rsidRPr="00A363FE">
        <w:t xml:space="preserve"> around hydrogen atoms</w:t>
      </w:r>
    </w:p>
    <w:p w14:paraId="20EBEA0A" w14:textId="77777777" w:rsidR="00A363FE" w:rsidRPr="00A363FE" w:rsidRDefault="00A363FE" w:rsidP="00A363FE">
      <w:pPr>
        <w:numPr>
          <w:ilvl w:val="0"/>
          <w:numId w:val="1"/>
        </w:numPr>
      </w:pPr>
      <w:r w:rsidRPr="00A363FE">
        <w:t xml:space="preserve">There are </w:t>
      </w:r>
      <w:r w:rsidRPr="00A363FE">
        <w:rPr>
          <w:b/>
          <w:bCs/>
        </w:rPr>
        <w:t>no strong dipoles or reactive sites</w:t>
      </w:r>
      <w:r w:rsidRPr="00A363FE">
        <w:t>, making butane chemically inert under normal conditions.</w:t>
      </w:r>
    </w:p>
    <w:p w14:paraId="157E3317" w14:textId="77777777" w:rsidR="00A363FE" w:rsidRPr="00A363FE" w:rsidRDefault="00A363FE" w:rsidP="00A363FE">
      <w:pPr>
        <w:numPr>
          <w:ilvl w:val="0"/>
          <w:numId w:val="1"/>
        </w:numPr>
      </w:pPr>
      <w:r w:rsidRPr="00A363FE">
        <w:t xml:space="preserve">ESP values typically range in the </w:t>
      </w:r>
      <w:r w:rsidRPr="00A363FE">
        <w:rPr>
          <w:b/>
          <w:bCs/>
        </w:rPr>
        <w:t>±10</w:t>
      </w:r>
      <w:r w:rsidRPr="00A363FE">
        <w:rPr>
          <w:rFonts w:ascii="Cambria Math" w:hAnsi="Cambria Math" w:cs="Cambria Math"/>
          <w:b/>
          <w:bCs/>
        </w:rPr>
        <w:t>⁻</w:t>
      </w:r>
      <w:r w:rsidRPr="00A363FE">
        <w:rPr>
          <w:rFonts w:ascii="Aptos" w:hAnsi="Aptos" w:cs="Aptos"/>
          <w:b/>
          <w:bCs/>
        </w:rPr>
        <w:t>³</w:t>
      </w:r>
      <w:r w:rsidRPr="00A363FE">
        <w:rPr>
          <w:b/>
          <w:bCs/>
        </w:rPr>
        <w:t xml:space="preserve"> </w:t>
      </w:r>
      <w:proofErr w:type="spellStart"/>
      <w:r w:rsidRPr="00A363FE">
        <w:rPr>
          <w:b/>
          <w:bCs/>
        </w:rPr>
        <w:t>a.u</w:t>
      </w:r>
      <w:proofErr w:type="spellEnd"/>
      <w:r w:rsidRPr="00A363FE">
        <w:rPr>
          <w:b/>
          <w:bCs/>
        </w:rPr>
        <w:t>.</w:t>
      </w:r>
      <w:r w:rsidRPr="00A363FE">
        <w:t xml:space="preserve"> scale, as seen in your image — indicating subtle charge variations but no significant electrostatic hotspots.</w:t>
      </w:r>
    </w:p>
    <w:p w14:paraId="1829AFAD" w14:textId="77777777" w:rsidR="00A363FE" w:rsidRPr="00A363FE" w:rsidRDefault="00A363FE" w:rsidP="00A363FE">
      <w:pPr>
        <w:numPr>
          <w:ilvl w:val="0"/>
          <w:numId w:val="2"/>
        </w:numPr>
      </w:pPr>
      <w:r w:rsidRPr="00A363FE">
        <w:t xml:space="preserve">In </w:t>
      </w:r>
      <w:r w:rsidRPr="00A363FE">
        <w:rPr>
          <w:b/>
          <w:bCs/>
        </w:rPr>
        <w:t>docking or interaction studies</w:t>
      </w:r>
      <w:r w:rsidRPr="00A363FE">
        <w:t xml:space="preserve">, butane serves as a </w:t>
      </w:r>
      <w:r w:rsidRPr="00A363FE">
        <w:rPr>
          <w:b/>
          <w:bCs/>
        </w:rPr>
        <w:t>hydrophobic probe</w:t>
      </w:r>
      <w:r w:rsidRPr="00A363FE">
        <w:t xml:space="preserve"> or control molecule.</w:t>
      </w:r>
    </w:p>
    <w:p w14:paraId="124537AC" w14:textId="77777777" w:rsidR="00A363FE" w:rsidRPr="00A363FE" w:rsidRDefault="00A363FE" w:rsidP="00A363FE">
      <w:pPr>
        <w:numPr>
          <w:ilvl w:val="0"/>
          <w:numId w:val="2"/>
        </w:numPr>
      </w:pPr>
      <w:r w:rsidRPr="00A363FE">
        <w:t xml:space="preserve">Its ESP map helps benchmark </w:t>
      </w:r>
      <w:r w:rsidRPr="00A363FE">
        <w:rPr>
          <w:b/>
          <w:bCs/>
        </w:rPr>
        <w:t>non-polar reference surfaces</w:t>
      </w:r>
      <w:r w:rsidRPr="00A363FE">
        <w:t xml:space="preserve"> in comparative electrostatic analyses — useful when contrasting with plant-derived antioxidants or polar ligands.</w:t>
      </w:r>
    </w:p>
    <w:p w14:paraId="2B90C425" w14:textId="77777777" w:rsidR="00A363FE" w:rsidRDefault="00A363FE"/>
    <w:p w14:paraId="25713BA6" w14:textId="4C9DA329" w:rsidR="00FC463B" w:rsidRDefault="00DA44AD">
      <w:r>
        <w:t xml:space="preserve">                           </w:t>
      </w:r>
      <w:r w:rsidR="00FC463B">
        <w:rPr>
          <w:noProof/>
        </w:rPr>
        <w:drawing>
          <wp:inline distT="0" distB="0" distL="0" distR="0" wp14:anchorId="7A812489" wp14:editId="675971A9">
            <wp:extent cx="2706201" cy="2508268"/>
            <wp:effectExtent l="0" t="0" r="0" b="6350"/>
            <wp:docPr id="1498270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7287" cy="2527811"/>
                    </a:xfrm>
                    <a:prstGeom prst="rect">
                      <a:avLst/>
                    </a:prstGeom>
                    <a:noFill/>
                    <a:ln>
                      <a:noFill/>
                    </a:ln>
                  </pic:spPr>
                </pic:pic>
              </a:graphicData>
            </a:graphic>
          </wp:inline>
        </w:drawing>
      </w:r>
    </w:p>
    <w:p w14:paraId="0558B290" w14:textId="77777777" w:rsidR="00A363FE" w:rsidRPr="00A363FE" w:rsidRDefault="00A363FE" w:rsidP="00A363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363FE">
        <w:rPr>
          <w:rFonts w:ascii="Times New Roman" w:eastAsia="Times New Roman" w:hAnsi="Times New Roman" w:cs="Times New Roman"/>
          <w:b/>
          <w:bCs/>
          <w:kern w:val="0"/>
          <w:sz w:val="27"/>
          <w:szCs w:val="27"/>
          <w:lang w:eastAsia="en-IN"/>
          <w14:ligatures w14:val="none"/>
        </w:rPr>
        <w:t>What Is Electron Density?</w:t>
      </w:r>
    </w:p>
    <w:p w14:paraId="36C6FECA" w14:textId="77777777" w:rsidR="00A363FE" w:rsidRPr="00A363FE" w:rsidRDefault="00A363FE" w:rsidP="00A363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Electron density</w:t>
      </w:r>
      <w:r w:rsidRPr="00A363FE">
        <w:rPr>
          <w:rFonts w:ascii="Times New Roman" w:eastAsia="Times New Roman" w:hAnsi="Times New Roman" w:cs="Times New Roman"/>
          <w:kern w:val="0"/>
          <w:lang w:eastAsia="en-IN"/>
          <w14:ligatures w14:val="none"/>
        </w:rPr>
        <w:t xml:space="preserve">, denoted as </w:t>
      </w:r>
      <w:r w:rsidRPr="00A363FE">
        <w:rPr>
          <w:rFonts w:ascii="Times New Roman" w:eastAsia="Times New Roman" w:hAnsi="Times New Roman" w:cs="Times New Roman"/>
          <w:b/>
          <w:bCs/>
          <w:kern w:val="0"/>
          <w:lang w:eastAsia="en-IN"/>
          <w14:ligatures w14:val="none"/>
        </w:rPr>
        <w:t>ρ(r)</w:t>
      </w:r>
      <w:r w:rsidRPr="00A363FE">
        <w:rPr>
          <w:rFonts w:ascii="Times New Roman" w:eastAsia="Times New Roman" w:hAnsi="Times New Roman" w:cs="Times New Roman"/>
          <w:kern w:val="0"/>
          <w:lang w:eastAsia="en-IN"/>
          <w14:ligatures w14:val="none"/>
        </w:rPr>
        <w:t xml:space="preserve">, describes the </w:t>
      </w:r>
      <w:r w:rsidRPr="00A363FE">
        <w:rPr>
          <w:rFonts w:ascii="Times New Roman" w:eastAsia="Times New Roman" w:hAnsi="Times New Roman" w:cs="Times New Roman"/>
          <w:b/>
          <w:bCs/>
          <w:kern w:val="0"/>
          <w:lang w:eastAsia="en-IN"/>
          <w14:ligatures w14:val="none"/>
        </w:rPr>
        <w:t>probability of finding an electron</w:t>
      </w:r>
      <w:r w:rsidRPr="00A363FE">
        <w:rPr>
          <w:rFonts w:ascii="Times New Roman" w:eastAsia="Times New Roman" w:hAnsi="Times New Roman" w:cs="Times New Roman"/>
          <w:kern w:val="0"/>
          <w:lang w:eastAsia="en-IN"/>
          <w14:ligatures w14:val="none"/>
        </w:rPr>
        <w:t xml:space="preserve"> at a specific point </w:t>
      </w:r>
      <w:r w:rsidRPr="00A363FE">
        <w:rPr>
          <w:rFonts w:ascii="Times New Roman" w:eastAsia="Times New Roman" w:hAnsi="Times New Roman" w:cs="Times New Roman"/>
          <w:b/>
          <w:bCs/>
          <w:kern w:val="0"/>
          <w:lang w:eastAsia="en-IN"/>
          <w14:ligatures w14:val="none"/>
        </w:rPr>
        <w:t>r</w:t>
      </w:r>
      <w:r w:rsidRPr="00A363FE">
        <w:rPr>
          <w:rFonts w:ascii="Times New Roman" w:eastAsia="Times New Roman" w:hAnsi="Times New Roman" w:cs="Times New Roman"/>
          <w:kern w:val="0"/>
          <w:lang w:eastAsia="en-IN"/>
          <w14:ligatures w14:val="none"/>
        </w:rPr>
        <w:t xml:space="preserve"> in space around a molecule. It’s a fundamental quantum chemical property derived from the molecule’s wavefunction — and it governs nearly everything:</w:t>
      </w:r>
    </w:p>
    <w:p w14:paraId="0B295D9F" w14:textId="77777777" w:rsidR="00A363FE" w:rsidRPr="00A363FE" w:rsidRDefault="00A363FE" w:rsidP="00A363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 xml:space="preserve">Bonding </w:t>
      </w:r>
      <w:proofErr w:type="spellStart"/>
      <w:r w:rsidRPr="00A363FE">
        <w:rPr>
          <w:rFonts w:ascii="Times New Roman" w:eastAsia="Times New Roman" w:hAnsi="Times New Roman" w:cs="Times New Roman"/>
          <w:b/>
          <w:bCs/>
          <w:kern w:val="0"/>
          <w:lang w:eastAsia="en-IN"/>
          <w14:ligatures w14:val="none"/>
        </w:rPr>
        <w:t>behavior</w:t>
      </w:r>
      <w:proofErr w:type="spellEnd"/>
    </w:p>
    <w:p w14:paraId="4CF94A78" w14:textId="77777777" w:rsidR="00A363FE" w:rsidRPr="00A363FE" w:rsidRDefault="00A363FE" w:rsidP="00A363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Molecular shape</w:t>
      </w:r>
    </w:p>
    <w:p w14:paraId="12AAAFCB" w14:textId="77777777" w:rsidR="00A363FE" w:rsidRPr="00A363FE" w:rsidRDefault="00A363FE" w:rsidP="00A363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Reactivity and polarity</w:t>
      </w:r>
    </w:p>
    <w:p w14:paraId="3926BC30" w14:textId="77777777" w:rsidR="00A363FE" w:rsidRPr="00A363FE" w:rsidRDefault="00A363FE" w:rsidP="00A363FE">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Electrostatic potential (ESP)</w:t>
      </w:r>
      <w:r w:rsidRPr="00A363FE">
        <w:rPr>
          <w:rFonts w:ascii="Times New Roman" w:eastAsia="Times New Roman" w:hAnsi="Times New Roman" w:cs="Times New Roman"/>
          <w:kern w:val="0"/>
          <w:lang w:eastAsia="en-IN"/>
          <w14:ligatures w14:val="none"/>
        </w:rPr>
        <w:t xml:space="preserve"> and </w:t>
      </w:r>
      <w:r w:rsidRPr="00A363FE">
        <w:rPr>
          <w:rFonts w:ascii="Times New Roman" w:eastAsia="Times New Roman" w:hAnsi="Times New Roman" w:cs="Times New Roman"/>
          <w:b/>
          <w:bCs/>
          <w:kern w:val="0"/>
          <w:lang w:eastAsia="en-IN"/>
          <w14:ligatures w14:val="none"/>
        </w:rPr>
        <w:t>molecular orbitals</w:t>
      </w:r>
    </w:p>
    <w:p w14:paraId="1E0E552E" w14:textId="77777777" w:rsidR="00A363FE" w:rsidRPr="00A363FE" w:rsidRDefault="00A363FE" w:rsidP="00A363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kern w:val="0"/>
          <w:lang w:eastAsia="en-IN"/>
          <w14:ligatures w14:val="none"/>
        </w:rPr>
        <w:t xml:space="preserve">According to the </w:t>
      </w:r>
      <w:r w:rsidRPr="00A363FE">
        <w:rPr>
          <w:rFonts w:ascii="Times New Roman" w:eastAsia="Times New Roman" w:hAnsi="Times New Roman" w:cs="Times New Roman"/>
          <w:b/>
          <w:bCs/>
          <w:kern w:val="0"/>
          <w:lang w:eastAsia="en-IN"/>
          <w14:ligatures w14:val="none"/>
        </w:rPr>
        <w:t>Hohenberg–Kohn theorem</w:t>
      </w:r>
      <w:r w:rsidRPr="00A363FE">
        <w:rPr>
          <w:rFonts w:ascii="Times New Roman" w:eastAsia="Times New Roman" w:hAnsi="Times New Roman" w:cs="Times New Roman"/>
          <w:kern w:val="0"/>
          <w:lang w:eastAsia="en-IN"/>
          <w14:ligatures w14:val="none"/>
        </w:rPr>
        <w:t xml:space="preserve">, the ground-state properties of a molecule are uniquely determined by its electron density — not the wavefunction itself. That’s why </w:t>
      </w:r>
      <w:r w:rsidRPr="00A363FE">
        <w:rPr>
          <w:rFonts w:ascii="Times New Roman" w:eastAsia="Times New Roman" w:hAnsi="Times New Roman" w:cs="Times New Roman"/>
          <w:b/>
          <w:bCs/>
          <w:kern w:val="0"/>
          <w:lang w:eastAsia="en-IN"/>
          <w14:ligatures w14:val="none"/>
        </w:rPr>
        <w:t>Density Functional Theory (DFT)</w:t>
      </w:r>
      <w:r w:rsidRPr="00A363FE">
        <w:rPr>
          <w:rFonts w:ascii="Times New Roman" w:eastAsia="Times New Roman" w:hAnsi="Times New Roman" w:cs="Times New Roman"/>
          <w:kern w:val="0"/>
          <w:lang w:eastAsia="en-IN"/>
          <w14:ligatures w14:val="none"/>
        </w:rPr>
        <w:t xml:space="preserve"> is so widely used: it calculates energy and structure based on ρ(r).</w:t>
      </w:r>
    </w:p>
    <w:p w14:paraId="6F69826A" w14:textId="77777777" w:rsidR="00A363FE" w:rsidRPr="00A363FE" w:rsidRDefault="00A363FE" w:rsidP="00A363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363FE">
        <w:rPr>
          <w:rFonts w:ascii="Times New Roman" w:eastAsia="Times New Roman" w:hAnsi="Times New Roman" w:cs="Times New Roman"/>
          <w:b/>
          <w:bCs/>
          <w:kern w:val="0"/>
          <w:sz w:val="27"/>
          <w:szCs w:val="27"/>
          <w:lang w:eastAsia="en-IN"/>
          <w14:ligatures w14:val="none"/>
        </w:rPr>
        <w:t>Visualized</w:t>
      </w:r>
    </w:p>
    <w:p w14:paraId="3DBD1657" w14:textId="77777777" w:rsidR="00A363FE" w:rsidRPr="00A363FE" w:rsidRDefault="00A363FE" w:rsidP="00A363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kern w:val="0"/>
          <w:lang w:eastAsia="en-IN"/>
          <w14:ligatures w14:val="none"/>
        </w:rPr>
        <w:lastRenderedPageBreak/>
        <w:t xml:space="preserve">In your uploaded images, the </w:t>
      </w:r>
      <w:proofErr w:type="spellStart"/>
      <w:r w:rsidRPr="00A363FE">
        <w:rPr>
          <w:rFonts w:ascii="Times New Roman" w:eastAsia="Times New Roman" w:hAnsi="Times New Roman" w:cs="Times New Roman"/>
          <w:b/>
          <w:bCs/>
          <w:kern w:val="0"/>
          <w:lang w:eastAsia="en-IN"/>
          <w14:ligatures w14:val="none"/>
        </w:rPr>
        <w:t>colored</w:t>
      </w:r>
      <w:proofErr w:type="spellEnd"/>
      <w:r w:rsidRPr="00A363FE">
        <w:rPr>
          <w:rFonts w:ascii="Times New Roman" w:eastAsia="Times New Roman" w:hAnsi="Times New Roman" w:cs="Times New Roman"/>
          <w:b/>
          <w:bCs/>
          <w:kern w:val="0"/>
          <w:lang w:eastAsia="en-IN"/>
          <w14:ligatures w14:val="none"/>
        </w:rPr>
        <w:t xml:space="preserve"> lobes</w:t>
      </w:r>
      <w:r w:rsidRPr="00A363FE">
        <w:rPr>
          <w:rFonts w:ascii="Times New Roman" w:eastAsia="Times New Roman" w:hAnsi="Times New Roman" w:cs="Times New Roman"/>
          <w:kern w:val="0"/>
          <w:lang w:eastAsia="en-IN"/>
          <w14:ligatures w14:val="none"/>
        </w:rPr>
        <w:t xml:space="preserve"> and </w:t>
      </w:r>
      <w:r w:rsidRPr="00A363FE">
        <w:rPr>
          <w:rFonts w:ascii="Times New Roman" w:eastAsia="Times New Roman" w:hAnsi="Times New Roman" w:cs="Times New Roman"/>
          <w:b/>
          <w:bCs/>
          <w:kern w:val="0"/>
          <w:lang w:eastAsia="en-IN"/>
          <w14:ligatures w14:val="none"/>
        </w:rPr>
        <w:t>red shading</w:t>
      </w:r>
      <w:r w:rsidRPr="00A363FE">
        <w:rPr>
          <w:rFonts w:ascii="Times New Roman" w:eastAsia="Times New Roman" w:hAnsi="Times New Roman" w:cs="Times New Roman"/>
          <w:kern w:val="0"/>
          <w:lang w:eastAsia="en-IN"/>
          <w14:ligatures w14:val="none"/>
        </w:rPr>
        <w:t xml:space="preserve"> represent </w:t>
      </w:r>
      <w:proofErr w:type="spellStart"/>
      <w:r w:rsidRPr="00A363FE">
        <w:rPr>
          <w:rFonts w:ascii="Times New Roman" w:eastAsia="Times New Roman" w:hAnsi="Times New Roman" w:cs="Times New Roman"/>
          <w:b/>
          <w:bCs/>
          <w:kern w:val="0"/>
          <w:lang w:eastAsia="en-IN"/>
          <w14:ligatures w14:val="none"/>
        </w:rPr>
        <w:t>isosurfaces</w:t>
      </w:r>
      <w:proofErr w:type="spellEnd"/>
      <w:r w:rsidRPr="00A363FE">
        <w:rPr>
          <w:rFonts w:ascii="Times New Roman" w:eastAsia="Times New Roman" w:hAnsi="Times New Roman" w:cs="Times New Roman"/>
          <w:kern w:val="0"/>
          <w:lang w:eastAsia="en-IN"/>
          <w14:ligatures w14:val="none"/>
        </w:rPr>
        <w:t xml:space="preserve"> of electron density:</w:t>
      </w:r>
    </w:p>
    <w:p w14:paraId="1A0EEEEF" w14:textId="77777777" w:rsidR="00A363FE" w:rsidRPr="00A363FE" w:rsidRDefault="00A363FE" w:rsidP="00A363FE">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High density (red/blue lobes)</w:t>
      </w:r>
      <w:r w:rsidRPr="00A363FE">
        <w:rPr>
          <w:rFonts w:ascii="Times New Roman" w:eastAsia="Times New Roman" w:hAnsi="Times New Roman" w:cs="Times New Roman"/>
          <w:kern w:val="0"/>
          <w:lang w:eastAsia="en-IN"/>
          <w14:ligatures w14:val="none"/>
        </w:rPr>
        <w:t>: near nuclei or bonding regions</w:t>
      </w:r>
    </w:p>
    <w:p w14:paraId="49F10CCF" w14:textId="77777777" w:rsidR="00A363FE" w:rsidRPr="00A363FE" w:rsidRDefault="00A363FE" w:rsidP="00A363FE">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Low density (transparent or outer regions)</w:t>
      </w:r>
      <w:r w:rsidRPr="00A363FE">
        <w:rPr>
          <w:rFonts w:ascii="Times New Roman" w:eastAsia="Times New Roman" w:hAnsi="Times New Roman" w:cs="Times New Roman"/>
          <w:kern w:val="0"/>
          <w:lang w:eastAsia="en-IN"/>
          <w14:ligatures w14:val="none"/>
        </w:rPr>
        <w:t>: van der Waals surface or non-bonding zones</w:t>
      </w:r>
    </w:p>
    <w:p w14:paraId="3F852DB4" w14:textId="77777777" w:rsidR="00A363FE" w:rsidRPr="00A363FE" w:rsidRDefault="00A363FE" w:rsidP="00A363FE">
      <w:p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kern w:val="0"/>
          <w:lang w:eastAsia="en-IN"/>
          <w14:ligatures w14:val="none"/>
        </w:rPr>
        <w:t>These maps help identify:</w:t>
      </w:r>
    </w:p>
    <w:p w14:paraId="73371752" w14:textId="77777777" w:rsidR="00A363FE" w:rsidRPr="00A363FE" w:rsidRDefault="00A363FE" w:rsidP="00A363FE">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Bonding types</w:t>
      </w:r>
      <w:r w:rsidRPr="00A363FE">
        <w:rPr>
          <w:rFonts w:ascii="Times New Roman" w:eastAsia="Times New Roman" w:hAnsi="Times New Roman" w:cs="Times New Roman"/>
          <w:kern w:val="0"/>
          <w:lang w:eastAsia="en-IN"/>
          <w14:ligatures w14:val="none"/>
        </w:rPr>
        <w:t xml:space="preserve"> (σ vs. π)</w:t>
      </w:r>
    </w:p>
    <w:p w14:paraId="2386A930" w14:textId="77777777" w:rsidR="00A363FE" w:rsidRPr="00A363FE" w:rsidRDefault="00A363FE" w:rsidP="00A363FE">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Charge distribution</w:t>
      </w:r>
    </w:p>
    <w:p w14:paraId="00156EC8" w14:textId="77777777" w:rsidR="00A363FE" w:rsidRPr="00A363FE" w:rsidRDefault="00A363FE" w:rsidP="00A363FE">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363FE">
        <w:rPr>
          <w:rFonts w:ascii="Times New Roman" w:eastAsia="Times New Roman" w:hAnsi="Times New Roman" w:cs="Times New Roman"/>
          <w:b/>
          <w:bCs/>
          <w:kern w:val="0"/>
          <w:lang w:eastAsia="en-IN"/>
          <w14:ligatures w14:val="none"/>
        </w:rPr>
        <w:t>Reactive sites</w:t>
      </w:r>
      <w:r w:rsidRPr="00A363FE">
        <w:rPr>
          <w:rFonts w:ascii="Times New Roman" w:eastAsia="Times New Roman" w:hAnsi="Times New Roman" w:cs="Times New Roman"/>
          <w:kern w:val="0"/>
          <w:lang w:eastAsia="en-IN"/>
          <w14:ligatures w14:val="none"/>
        </w:rPr>
        <w:t xml:space="preserve"> (nucleophilic/electrophilic zones)</w:t>
      </w:r>
    </w:p>
    <w:p w14:paraId="14ADAB18" w14:textId="77777777" w:rsidR="00A363FE" w:rsidRDefault="00A363FE"/>
    <w:p w14:paraId="650A4183" w14:textId="4C0053BA" w:rsidR="00A363FE" w:rsidRDefault="00446CF5">
      <w:r w:rsidRPr="00446CF5">
        <w:rPr>
          <w:rFonts w:ascii="Times New Roman" w:eastAsia="Times New Roman" w:hAnsi="Times New Roman" w:cs="Times New Roman"/>
          <w:b/>
          <w:bCs/>
          <w:kern w:val="0"/>
          <w:lang w:eastAsia="en-IN"/>
          <w14:ligatures w14:val="none"/>
        </w:rPr>
        <w:t>contour plots</w:t>
      </w:r>
    </w:p>
    <w:p w14:paraId="103D810A" w14:textId="77777777" w:rsidR="008C4004" w:rsidRDefault="008C4004"/>
    <w:p w14:paraId="37992AED" w14:textId="5F7880B3" w:rsidR="00446CF5" w:rsidRPr="00446CF5" w:rsidRDefault="004207C9" w:rsidP="00446CF5">
      <w:r>
        <w:t xml:space="preserve">                    </w:t>
      </w:r>
      <w:r w:rsidR="008C4004">
        <w:rPr>
          <w:noProof/>
        </w:rPr>
        <w:drawing>
          <wp:inline distT="0" distB="0" distL="0" distR="0" wp14:anchorId="6311A14E" wp14:editId="225208F9">
            <wp:extent cx="2341209" cy="3255898"/>
            <wp:effectExtent l="0" t="0" r="2540" b="1905"/>
            <wp:docPr id="1911106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782" cy="3287290"/>
                    </a:xfrm>
                    <a:prstGeom prst="rect">
                      <a:avLst/>
                    </a:prstGeom>
                    <a:noFill/>
                    <a:ln>
                      <a:noFill/>
                    </a:ln>
                  </pic:spPr>
                </pic:pic>
              </a:graphicData>
            </a:graphic>
          </wp:inline>
        </w:drawing>
      </w:r>
      <w:r w:rsidR="00446CF5">
        <w:rPr>
          <w:noProof/>
        </w:rPr>
        <w:drawing>
          <wp:inline distT="0" distB="0" distL="0" distR="0" wp14:anchorId="03891492" wp14:editId="5A1B1D2A">
            <wp:extent cx="2254334" cy="2571115"/>
            <wp:effectExtent l="0" t="0" r="0" b="635"/>
            <wp:docPr id="1330493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3677" cy="2593176"/>
                    </a:xfrm>
                    <a:prstGeom prst="rect">
                      <a:avLst/>
                    </a:prstGeom>
                    <a:noFill/>
                    <a:ln>
                      <a:noFill/>
                    </a:ln>
                  </pic:spPr>
                </pic:pic>
              </a:graphicData>
            </a:graphic>
          </wp:inline>
        </w:drawing>
      </w:r>
    </w:p>
    <w:p w14:paraId="5360B63C" w14:textId="77777777" w:rsidR="00446CF5" w:rsidRDefault="00446CF5" w:rsidP="00446CF5">
      <w:p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t xml:space="preserve">A </w:t>
      </w:r>
      <w:r w:rsidRPr="00446CF5">
        <w:rPr>
          <w:rFonts w:ascii="Times New Roman" w:eastAsia="Times New Roman" w:hAnsi="Times New Roman" w:cs="Times New Roman"/>
          <w:b/>
          <w:bCs/>
          <w:kern w:val="0"/>
          <w:lang w:eastAsia="en-IN"/>
          <w14:ligatures w14:val="none"/>
        </w:rPr>
        <w:t>contour plot</w:t>
      </w:r>
      <w:r w:rsidRPr="00446CF5">
        <w:rPr>
          <w:rFonts w:ascii="Times New Roman" w:eastAsia="Times New Roman" w:hAnsi="Times New Roman" w:cs="Times New Roman"/>
          <w:kern w:val="0"/>
          <w:lang w:eastAsia="en-IN"/>
          <w14:ligatures w14:val="none"/>
        </w:rPr>
        <w:t xml:space="preserve"> is a 2D representation of a 3D scalar field — like </w:t>
      </w:r>
      <w:r w:rsidRPr="00446CF5">
        <w:rPr>
          <w:rFonts w:ascii="Times New Roman" w:eastAsia="Times New Roman" w:hAnsi="Times New Roman" w:cs="Times New Roman"/>
          <w:b/>
          <w:bCs/>
          <w:kern w:val="0"/>
          <w:lang w:eastAsia="en-IN"/>
          <w14:ligatures w14:val="none"/>
        </w:rPr>
        <w:t>electron density (ρ)</w:t>
      </w:r>
      <w:r w:rsidRPr="00446CF5">
        <w:rPr>
          <w:rFonts w:ascii="Times New Roman" w:eastAsia="Times New Roman" w:hAnsi="Times New Roman" w:cs="Times New Roman"/>
          <w:kern w:val="0"/>
          <w:lang w:eastAsia="en-IN"/>
          <w14:ligatures w14:val="none"/>
        </w:rPr>
        <w:t xml:space="preserve"> or </w:t>
      </w:r>
      <w:r w:rsidRPr="00446CF5">
        <w:rPr>
          <w:rFonts w:ascii="Times New Roman" w:eastAsia="Times New Roman" w:hAnsi="Times New Roman" w:cs="Times New Roman"/>
          <w:b/>
          <w:bCs/>
          <w:kern w:val="0"/>
          <w:lang w:eastAsia="en-IN"/>
          <w14:ligatures w14:val="none"/>
        </w:rPr>
        <w:t>electrostatic potential (ESP)</w:t>
      </w:r>
      <w:r w:rsidRPr="00446CF5">
        <w:rPr>
          <w:rFonts w:ascii="Times New Roman" w:eastAsia="Times New Roman" w:hAnsi="Times New Roman" w:cs="Times New Roman"/>
          <w:kern w:val="0"/>
          <w:lang w:eastAsia="en-IN"/>
          <w14:ligatures w14:val="none"/>
        </w:rPr>
        <w:t xml:space="preserve"> — where </w:t>
      </w:r>
      <w:r w:rsidRPr="00446CF5">
        <w:rPr>
          <w:rFonts w:ascii="Times New Roman" w:eastAsia="Times New Roman" w:hAnsi="Times New Roman" w:cs="Times New Roman"/>
          <w:b/>
          <w:bCs/>
          <w:kern w:val="0"/>
          <w:lang w:eastAsia="en-IN"/>
          <w14:ligatures w14:val="none"/>
        </w:rPr>
        <w:t>lines connect points of equal value</w:t>
      </w:r>
      <w:r w:rsidRPr="00446CF5">
        <w:rPr>
          <w:rFonts w:ascii="Times New Roman" w:eastAsia="Times New Roman" w:hAnsi="Times New Roman" w:cs="Times New Roman"/>
          <w:kern w:val="0"/>
          <w:lang w:eastAsia="en-IN"/>
          <w14:ligatures w14:val="none"/>
        </w:rPr>
        <w:t>. Think of it as a topographic map for molecules.</w:t>
      </w:r>
    </w:p>
    <w:p w14:paraId="36C3FAAD" w14:textId="5659F033" w:rsidR="00446CF5" w:rsidRPr="00446CF5" w:rsidRDefault="00446CF5" w:rsidP="00446CF5">
      <w:p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 xml:space="preserve"> In Molecular </w:t>
      </w:r>
      <w:proofErr w:type="spellStart"/>
      <w:r w:rsidRPr="00446CF5">
        <w:rPr>
          <w:rFonts w:ascii="Times New Roman" w:eastAsia="Times New Roman" w:hAnsi="Times New Roman" w:cs="Times New Roman"/>
          <w:b/>
          <w:bCs/>
          <w:kern w:val="0"/>
          <w:lang w:eastAsia="en-IN"/>
          <w14:ligatures w14:val="none"/>
        </w:rPr>
        <w:t>Modeling</w:t>
      </w:r>
      <w:proofErr w:type="spellEnd"/>
      <w:r w:rsidRPr="00446CF5">
        <w:rPr>
          <w:rFonts w:ascii="Times New Roman" w:eastAsia="Times New Roman" w:hAnsi="Times New Roman" w:cs="Times New Roman"/>
          <w:b/>
          <w:bCs/>
          <w:kern w:val="0"/>
          <w:lang w:eastAsia="en-IN"/>
          <w14:ligatures w14:val="none"/>
        </w:rPr>
        <w:t>:</w:t>
      </w:r>
    </w:p>
    <w:p w14:paraId="177493E5" w14:textId="77777777" w:rsidR="00446CF5" w:rsidRPr="00446CF5" w:rsidRDefault="00446CF5" w:rsidP="00446CF5">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 xml:space="preserve">Contours = </w:t>
      </w:r>
      <w:proofErr w:type="spellStart"/>
      <w:r w:rsidRPr="00446CF5">
        <w:rPr>
          <w:rFonts w:ascii="Times New Roman" w:eastAsia="Times New Roman" w:hAnsi="Times New Roman" w:cs="Times New Roman"/>
          <w:b/>
          <w:bCs/>
          <w:kern w:val="0"/>
          <w:lang w:eastAsia="en-IN"/>
          <w14:ligatures w14:val="none"/>
        </w:rPr>
        <w:t>isovalues</w:t>
      </w:r>
      <w:proofErr w:type="spellEnd"/>
      <w:r w:rsidRPr="00446CF5">
        <w:rPr>
          <w:rFonts w:ascii="Times New Roman" w:eastAsia="Times New Roman" w:hAnsi="Times New Roman" w:cs="Times New Roman"/>
          <w:kern w:val="0"/>
          <w:lang w:eastAsia="en-IN"/>
          <w14:ligatures w14:val="none"/>
        </w:rPr>
        <w:t xml:space="preserve"> of a property (e.g., ρ(r), ESP, HOMO/LUMO)</w:t>
      </w:r>
    </w:p>
    <w:p w14:paraId="6E5A71E2" w14:textId="77777777" w:rsidR="00446CF5" w:rsidRPr="00446CF5" w:rsidRDefault="00446CF5" w:rsidP="00446CF5">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Each line</w:t>
      </w:r>
      <w:r w:rsidRPr="00446CF5">
        <w:rPr>
          <w:rFonts w:ascii="Times New Roman" w:eastAsia="Times New Roman" w:hAnsi="Times New Roman" w:cs="Times New Roman"/>
          <w:kern w:val="0"/>
          <w:lang w:eastAsia="en-IN"/>
          <w14:ligatures w14:val="none"/>
        </w:rPr>
        <w:t xml:space="preserve"> represents a constant value (like ρ = 0.002 </w:t>
      </w:r>
      <w:proofErr w:type="spellStart"/>
      <w:r w:rsidRPr="00446CF5">
        <w:rPr>
          <w:rFonts w:ascii="Times New Roman" w:eastAsia="Times New Roman" w:hAnsi="Times New Roman" w:cs="Times New Roman"/>
          <w:kern w:val="0"/>
          <w:lang w:eastAsia="en-IN"/>
          <w14:ligatures w14:val="none"/>
        </w:rPr>
        <w:t>a.u</w:t>
      </w:r>
      <w:proofErr w:type="spellEnd"/>
      <w:r w:rsidRPr="00446CF5">
        <w:rPr>
          <w:rFonts w:ascii="Times New Roman" w:eastAsia="Times New Roman" w:hAnsi="Times New Roman" w:cs="Times New Roman"/>
          <w:kern w:val="0"/>
          <w:lang w:eastAsia="en-IN"/>
          <w14:ligatures w14:val="none"/>
        </w:rPr>
        <w:t>.)</w:t>
      </w:r>
    </w:p>
    <w:p w14:paraId="1ECFE610" w14:textId="77777777" w:rsidR="00446CF5" w:rsidRPr="00446CF5" w:rsidRDefault="00446CF5" w:rsidP="00446CF5">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Spacing</w:t>
      </w:r>
      <w:r w:rsidRPr="00446CF5">
        <w:rPr>
          <w:rFonts w:ascii="Times New Roman" w:eastAsia="Times New Roman" w:hAnsi="Times New Roman" w:cs="Times New Roman"/>
          <w:kern w:val="0"/>
          <w:lang w:eastAsia="en-IN"/>
          <w14:ligatures w14:val="none"/>
        </w:rPr>
        <w:t xml:space="preserve"> between lines shows gradient intensity (closer = steeper change)</w:t>
      </w:r>
    </w:p>
    <w:p w14:paraId="75C0CEA3" w14:textId="567C4932"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pict w14:anchorId="0214B806">
          <v:rect id="_x0000_i1044" style="width:0;height:1.5pt" o:hralign="center" o:hrstd="t" o:hr="t" fillcolor="#a0a0a0" stroked="f"/>
        </w:pict>
      </w:r>
      <w:r w:rsidRPr="00446CF5">
        <w:rPr>
          <w:rFonts w:ascii="Times New Roman" w:eastAsia="Times New Roman" w:hAnsi="Times New Roman" w:cs="Times New Roman"/>
          <w:b/>
          <w:bCs/>
          <w:kern w:val="0"/>
          <w:sz w:val="27"/>
          <w:szCs w:val="27"/>
          <w:lang w:eastAsia="en-IN"/>
          <w14:ligatures w14:val="none"/>
        </w:rPr>
        <w:t xml:space="preserve"> Common Uses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2"/>
        <w:gridCol w:w="3558"/>
        <w:gridCol w:w="3676"/>
      </w:tblGrid>
      <w:tr w:rsidR="00446CF5" w:rsidRPr="00446CF5" w14:paraId="13D69059" w14:textId="77777777">
        <w:trPr>
          <w:tblHeader/>
          <w:tblCellSpacing w:w="15" w:type="dxa"/>
        </w:trPr>
        <w:tc>
          <w:tcPr>
            <w:tcW w:w="0" w:type="auto"/>
            <w:vAlign w:val="center"/>
            <w:hideMark/>
          </w:tcPr>
          <w:p w14:paraId="00C43FD3" w14:textId="77777777" w:rsidR="00446CF5" w:rsidRPr="00446CF5" w:rsidRDefault="00446CF5" w:rsidP="00446CF5">
            <w:pPr>
              <w:spacing w:after="0" w:line="240" w:lineRule="auto"/>
              <w:jc w:val="center"/>
              <w:rPr>
                <w:rFonts w:ascii="Times New Roman" w:eastAsia="Times New Roman" w:hAnsi="Times New Roman" w:cs="Times New Roman"/>
                <w:b/>
                <w:bCs/>
                <w:kern w:val="0"/>
                <w:lang w:eastAsia="en-IN"/>
                <w14:ligatures w14:val="none"/>
              </w:rPr>
            </w:pPr>
            <w:r w:rsidRPr="00446CF5">
              <w:rPr>
                <w:rFonts w:ascii="Times New Roman" w:eastAsia="Times New Roman" w:hAnsi="Times New Roman" w:cs="Times New Roman"/>
                <w:b/>
                <w:bCs/>
                <w:kern w:val="0"/>
                <w:lang w:eastAsia="en-IN"/>
                <w14:ligatures w14:val="none"/>
              </w:rPr>
              <w:lastRenderedPageBreak/>
              <w:t>Property</w:t>
            </w:r>
          </w:p>
        </w:tc>
        <w:tc>
          <w:tcPr>
            <w:tcW w:w="0" w:type="auto"/>
            <w:vAlign w:val="center"/>
            <w:hideMark/>
          </w:tcPr>
          <w:p w14:paraId="03D137D4" w14:textId="77777777" w:rsidR="00446CF5" w:rsidRPr="00446CF5" w:rsidRDefault="00446CF5" w:rsidP="00446CF5">
            <w:pPr>
              <w:spacing w:after="0" w:line="240" w:lineRule="auto"/>
              <w:jc w:val="center"/>
              <w:rPr>
                <w:rFonts w:ascii="Times New Roman" w:eastAsia="Times New Roman" w:hAnsi="Times New Roman" w:cs="Times New Roman"/>
                <w:b/>
                <w:bCs/>
                <w:kern w:val="0"/>
                <w:lang w:eastAsia="en-IN"/>
                <w14:ligatures w14:val="none"/>
              </w:rPr>
            </w:pPr>
            <w:r w:rsidRPr="00446CF5">
              <w:rPr>
                <w:rFonts w:ascii="Times New Roman" w:eastAsia="Times New Roman" w:hAnsi="Times New Roman" w:cs="Times New Roman"/>
                <w:b/>
                <w:bCs/>
                <w:kern w:val="0"/>
                <w:lang w:eastAsia="en-IN"/>
                <w14:ligatures w14:val="none"/>
              </w:rPr>
              <w:t>Contour Purpose</w:t>
            </w:r>
          </w:p>
        </w:tc>
        <w:tc>
          <w:tcPr>
            <w:tcW w:w="0" w:type="auto"/>
            <w:vAlign w:val="center"/>
            <w:hideMark/>
          </w:tcPr>
          <w:p w14:paraId="0C578002" w14:textId="77777777" w:rsidR="00446CF5" w:rsidRPr="00446CF5" w:rsidRDefault="00446CF5" w:rsidP="00446CF5">
            <w:pPr>
              <w:spacing w:after="0" w:line="240" w:lineRule="auto"/>
              <w:jc w:val="center"/>
              <w:rPr>
                <w:rFonts w:ascii="Times New Roman" w:eastAsia="Times New Roman" w:hAnsi="Times New Roman" w:cs="Times New Roman"/>
                <w:b/>
                <w:bCs/>
                <w:kern w:val="0"/>
                <w:lang w:eastAsia="en-IN"/>
                <w14:ligatures w14:val="none"/>
              </w:rPr>
            </w:pPr>
            <w:r w:rsidRPr="00446CF5">
              <w:rPr>
                <w:rFonts w:ascii="Times New Roman" w:eastAsia="Times New Roman" w:hAnsi="Times New Roman" w:cs="Times New Roman"/>
                <w:b/>
                <w:bCs/>
                <w:kern w:val="0"/>
                <w:lang w:eastAsia="en-IN"/>
                <w14:ligatures w14:val="none"/>
              </w:rPr>
              <w:t>Insight Gained</w:t>
            </w:r>
          </w:p>
        </w:tc>
      </w:tr>
      <w:tr w:rsidR="00446CF5" w:rsidRPr="00446CF5" w14:paraId="6CB8A0B0" w14:textId="77777777">
        <w:trPr>
          <w:tblCellSpacing w:w="15" w:type="dxa"/>
        </w:trPr>
        <w:tc>
          <w:tcPr>
            <w:tcW w:w="0" w:type="auto"/>
            <w:vAlign w:val="center"/>
            <w:hideMark/>
          </w:tcPr>
          <w:p w14:paraId="296C62B5"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Electron Density</w:t>
            </w:r>
          </w:p>
        </w:tc>
        <w:tc>
          <w:tcPr>
            <w:tcW w:w="0" w:type="auto"/>
            <w:vAlign w:val="center"/>
            <w:hideMark/>
          </w:tcPr>
          <w:p w14:paraId="3E138484"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t>Visualize bonding regions and atomic shells</w:t>
            </w:r>
          </w:p>
        </w:tc>
        <w:tc>
          <w:tcPr>
            <w:tcW w:w="0" w:type="auto"/>
            <w:vAlign w:val="center"/>
            <w:hideMark/>
          </w:tcPr>
          <w:p w14:paraId="0DCF81F1"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t>Identifies covalent vs. non-covalent zones</w:t>
            </w:r>
          </w:p>
        </w:tc>
      </w:tr>
      <w:tr w:rsidR="00446CF5" w:rsidRPr="00446CF5" w14:paraId="01A98ABD" w14:textId="77777777">
        <w:trPr>
          <w:tblCellSpacing w:w="15" w:type="dxa"/>
        </w:trPr>
        <w:tc>
          <w:tcPr>
            <w:tcW w:w="0" w:type="auto"/>
            <w:vAlign w:val="center"/>
            <w:hideMark/>
          </w:tcPr>
          <w:p w14:paraId="01F96B3D"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ESP Maps</w:t>
            </w:r>
          </w:p>
        </w:tc>
        <w:tc>
          <w:tcPr>
            <w:tcW w:w="0" w:type="auto"/>
            <w:vAlign w:val="center"/>
            <w:hideMark/>
          </w:tcPr>
          <w:p w14:paraId="5893BAD5"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t>Show charge distribution around molecule</w:t>
            </w:r>
          </w:p>
        </w:tc>
        <w:tc>
          <w:tcPr>
            <w:tcW w:w="0" w:type="auto"/>
            <w:vAlign w:val="center"/>
            <w:hideMark/>
          </w:tcPr>
          <w:p w14:paraId="367355A6"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t>Highlights nucleophilic/electrophilic sites</w:t>
            </w:r>
          </w:p>
        </w:tc>
      </w:tr>
      <w:tr w:rsidR="00446CF5" w:rsidRPr="00446CF5" w14:paraId="7E776974" w14:textId="77777777">
        <w:trPr>
          <w:tblCellSpacing w:w="15" w:type="dxa"/>
        </w:trPr>
        <w:tc>
          <w:tcPr>
            <w:tcW w:w="0" w:type="auto"/>
            <w:vAlign w:val="center"/>
            <w:hideMark/>
          </w:tcPr>
          <w:p w14:paraId="603C286F"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Molecular Orbitals</w:t>
            </w:r>
          </w:p>
        </w:tc>
        <w:tc>
          <w:tcPr>
            <w:tcW w:w="0" w:type="auto"/>
            <w:vAlign w:val="center"/>
            <w:hideMark/>
          </w:tcPr>
          <w:p w14:paraId="7EE817DE"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t>HOMO/LUMO shapes and nodes</w:t>
            </w:r>
          </w:p>
        </w:tc>
        <w:tc>
          <w:tcPr>
            <w:tcW w:w="0" w:type="auto"/>
            <w:vAlign w:val="center"/>
            <w:hideMark/>
          </w:tcPr>
          <w:p w14:paraId="28E89A62"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t>Predicts reactivity and orbital overlap</w:t>
            </w:r>
          </w:p>
        </w:tc>
      </w:tr>
    </w:tbl>
    <w:p w14:paraId="46158EC3"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pict w14:anchorId="6FE46B49">
          <v:rect id="_x0000_i1045" style="width:0;height:1.5pt" o:hralign="center" o:hrstd="t" o:hr="t" fillcolor="#a0a0a0" stroked="f"/>
        </w:pict>
      </w:r>
    </w:p>
    <w:p w14:paraId="44129FFD" w14:textId="77777777" w:rsidR="00446CF5" w:rsidRPr="00446CF5" w:rsidRDefault="00446CF5" w:rsidP="00446CF5">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46CF5">
        <w:rPr>
          <w:rFonts w:ascii="Segoe UI Emoji" w:eastAsia="Times New Roman" w:hAnsi="Segoe UI Emoji" w:cs="Segoe UI Emoji"/>
          <w:b/>
          <w:bCs/>
          <w:kern w:val="0"/>
          <w:sz w:val="27"/>
          <w:szCs w:val="27"/>
          <w:lang w:eastAsia="en-IN"/>
          <w14:ligatures w14:val="none"/>
        </w:rPr>
        <w:t>🧰</w:t>
      </w:r>
      <w:r w:rsidRPr="00446CF5">
        <w:rPr>
          <w:rFonts w:ascii="Times New Roman" w:eastAsia="Times New Roman" w:hAnsi="Times New Roman" w:cs="Times New Roman"/>
          <w:b/>
          <w:bCs/>
          <w:kern w:val="0"/>
          <w:sz w:val="27"/>
          <w:szCs w:val="27"/>
          <w:lang w:eastAsia="en-IN"/>
          <w14:ligatures w14:val="none"/>
        </w:rPr>
        <w:t xml:space="preserve"> Tools That Generate Contours</w:t>
      </w:r>
    </w:p>
    <w:p w14:paraId="19907BE3" w14:textId="77777777" w:rsidR="00446CF5" w:rsidRPr="00446CF5" w:rsidRDefault="00446CF5" w:rsidP="00446CF5">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 xml:space="preserve">Gaussian / ORCA / </w:t>
      </w:r>
      <w:proofErr w:type="spellStart"/>
      <w:r w:rsidRPr="00446CF5">
        <w:rPr>
          <w:rFonts w:ascii="Times New Roman" w:eastAsia="Times New Roman" w:hAnsi="Times New Roman" w:cs="Times New Roman"/>
          <w:b/>
          <w:bCs/>
          <w:kern w:val="0"/>
          <w:lang w:eastAsia="en-IN"/>
          <w14:ligatures w14:val="none"/>
        </w:rPr>
        <w:t>NWChem</w:t>
      </w:r>
      <w:proofErr w:type="spellEnd"/>
      <w:r w:rsidRPr="00446CF5">
        <w:rPr>
          <w:rFonts w:ascii="Times New Roman" w:eastAsia="Times New Roman" w:hAnsi="Times New Roman" w:cs="Times New Roman"/>
          <w:kern w:val="0"/>
          <w:lang w:eastAsia="en-IN"/>
          <w14:ligatures w14:val="none"/>
        </w:rPr>
        <w:t>: Output cube files for density or ESP</w:t>
      </w:r>
    </w:p>
    <w:p w14:paraId="56ED782C" w14:textId="77777777" w:rsidR="00446CF5" w:rsidRPr="00446CF5" w:rsidRDefault="00446CF5" w:rsidP="00446CF5">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446CF5">
        <w:rPr>
          <w:rFonts w:ascii="Times New Roman" w:eastAsia="Times New Roman" w:hAnsi="Times New Roman" w:cs="Times New Roman"/>
          <w:b/>
          <w:bCs/>
          <w:kern w:val="0"/>
          <w:lang w:eastAsia="en-IN"/>
          <w14:ligatures w14:val="none"/>
        </w:rPr>
        <w:t>Multiwfn</w:t>
      </w:r>
      <w:proofErr w:type="spellEnd"/>
      <w:r w:rsidRPr="00446CF5">
        <w:rPr>
          <w:rFonts w:ascii="Times New Roman" w:eastAsia="Times New Roman" w:hAnsi="Times New Roman" w:cs="Times New Roman"/>
          <w:kern w:val="0"/>
          <w:lang w:eastAsia="en-IN"/>
          <w14:ligatures w14:val="none"/>
        </w:rPr>
        <w:t>: Extracts and plots contours from cube data</w:t>
      </w:r>
    </w:p>
    <w:p w14:paraId="6F281F7A" w14:textId="77777777" w:rsidR="00446CF5" w:rsidRPr="00446CF5" w:rsidRDefault="00446CF5" w:rsidP="00446CF5">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 xml:space="preserve">VMD / Chimera / </w:t>
      </w:r>
      <w:proofErr w:type="spellStart"/>
      <w:r w:rsidRPr="00446CF5">
        <w:rPr>
          <w:rFonts w:ascii="Times New Roman" w:eastAsia="Times New Roman" w:hAnsi="Times New Roman" w:cs="Times New Roman"/>
          <w:b/>
          <w:bCs/>
          <w:kern w:val="0"/>
          <w:lang w:eastAsia="en-IN"/>
          <w14:ligatures w14:val="none"/>
        </w:rPr>
        <w:t>PyMOL</w:t>
      </w:r>
      <w:proofErr w:type="spellEnd"/>
      <w:r w:rsidRPr="00446CF5">
        <w:rPr>
          <w:rFonts w:ascii="Times New Roman" w:eastAsia="Times New Roman" w:hAnsi="Times New Roman" w:cs="Times New Roman"/>
          <w:kern w:val="0"/>
          <w:lang w:eastAsia="en-IN"/>
          <w14:ligatures w14:val="none"/>
        </w:rPr>
        <w:t xml:space="preserve">: Visualize </w:t>
      </w:r>
      <w:proofErr w:type="spellStart"/>
      <w:r w:rsidRPr="00446CF5">
        <w:rPr>
          <w:rFonts w:ascii="Times New Roman" w:eastAsia="Times New Roman" w:hAnsi="Times New Roman" w:cs="Times New Roman"/>
          <w:kern w:val="0"/>
          <w:lang w:eastAsia="en-IN"/>
          <w14:ligatures w14:val="none"/>
        </w:rPr>
        <w:t>isosurfaces</w:t>
      </w:r>
      <w:proofErr w:type="spellEnd"/>
      <w:r w:rsidRPr="00446CF5">
        <w:rPr>
          <w:rFonts w:ascii="Times New Roman" w:eastAsia="Times New Roman" w:hAnsi="Times New Roman" w:cs="Times New Roman"/>
          <w:kern w:val="0"/>
          <w:lang w:eastAsia="en-IN"/>
          <w14:ligatures w14:val="none"/>
        </w:rPr>
        <w:t xml:space="preserve"> and contour slices</w:t>
      </w:r>
    </w:p>
    <w:p w14:paraId="714C6FF2" w14:textId="77777777" w:rsidR="00446CF5" w:rsidRPr="00446CF5" w:rsidRDefault="00446CF5" w:rsidP="00446CF5">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b/>
          <w:bCs/>
          <w:kern w:val="0"/>
          <w:lang w:eastAsia="en-IN"/>
          <w14:ligatures w14:val="none"/>
        </w:rPr>
        <w:t>Avogadro</w:t>
      </w:r>
      <w:r w:rsidRPr="00446CF5">
        <w:rPr>
          <w:rFonts w:ascii="Times New Roman" w:eastAsia="Times New Roman" w:hAnsi="Times New Roman" w:cs="Times New Roman"/>
          <w:kern w:val="0"/>
          <w:lang w:eastAsia="en-IN"/>
          <w14:ligatures w14:val="none"/>
        </w:rPr>
        <w:t>: Quick contour overlays for orbitals and ESP</w:t>
      </w:r>
    </w:p>
    <w:p w14:paraId="1C6F9505" w14:textId="77777777" w:rsidR="00446CF5" w:rsidRPr="00446CF5" w:rsidRDefault="00446CF5" w:rsidP="00446CF5">
      <w:pPr>
        <w:spacing w:after="0" w:line="240" w:lineRule="auto"/>
        <w:rPr>
          <w:rFonts w:ascii="Times New Roman" w:eastAsia="Times New Roman" w:hAnsi="Times New Roman" w:cs="Times New Roman"/>
          <w:kern w:val="0"/>
          <w:lang w:eastAsia="en-IN"/>
          <w14:ligatures w14:val="none"/>
        </w:rPr>
      </w:pPr>
      <w:r w:rsidRPr="00446CF5">
        <w:rPr>
          <w:rFonts w:ascii="Times New Roman" w:eastAsia="Times New Roman" w:hAnsi="Times New Roman" w:cs="Times New Roman"/>
          <w:kern w:val="0"/>
          <w:lang w:eastAsia="en-IN"/>
          <w14:ligatures w14:val="none"/>
        </w:rPr>
        <w:pict w14:anchorId="28F4B6B3">
          <v:rect id="_x0000_i1046" style="width:0;height:1.5pt" o:hralign="center" o:hrstd="t" o:hr="t" fillcolor="#a0a0a0" stroked="f"/>
        </w:pict>
      </w:r>
    </w:p>
    <w:p w14:paraId="5F52F380" w14:textId="77777777" w:rsidR="00585CED" w:rsidRDefault="00585CED"/>
    <w:p w14:paraId="30C2EAA0" w14:textId="3F170F5F" w:rsidR="00DA44AD" w:rsidRDefault="00DA44AD" w:rsidP="001F1EF0">
      <w:r>
        <w:rPr>
          <w:noProof/>
        </w:rPr>
        <w:t xml:space="preserve">                       </w:t>
      </w:r>
    </w:p>
    <w:sectPr w:rsidR="00DA44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ans Serif Collection">
    <w:panose1 w:val="020B0502040504020204"/>
    <w:charset w:val="00"/>
    <w:family w:val="swiss"/>
    <w:pitch w:val="variable"/>
    <w:sig w:usb0="E057A3FF" w:usb1="4200605F" w:usb2="29100029" w:usb3="00000000" w:csb0="000001D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C2FC9"/>
    <w:multiLevelType w:val="multilevel"/>
    <w:tmpl w:val="E4C8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528D1"/>
    <w:multiLevelType w:val="multilevel"/>
    <w:tmpl w:val="3B2A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8341F"/>
    <w:multiLevelType w:val="multilevel"/>
    <w:tmpl w:val="AB1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21957"/>
    <w:multiLevelType w:val="multilevel"/>
    <w:tmpl w:val="A7DAC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A96498"/>
    <w:multiLevelType w:val="multilevel"/>
    <w:tmpl w:val="B756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AD05C8"/>
    <w:multiLevelType w:val="multilevel"/>
    <w:tmpl w:val="E2D2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A05354"/>
    <w:multiLevelType w:val="multilevel"/>
    <w:tmpl w:val="EBF6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4522C"/>
    <w:multiLevelType w:val="multilevel"/>
    <w:tmpl w:val="761A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8059428">
    <w:abstractNumId w:val="3"/>
  </w:num>
  <w:num w:numId="2" w16cid:durableId="1646468585">
    <w:abstractNumId w:val="1"/>
  </w:num>
  <w:num w:numId="3" w16cid:durableId="471407234">
    <w:abstractNumId w:val="4"/>
  </w:num>
  <w:num w:numId="4" w16cid:durableId="2128964410">
    <w:abstractNumId w:val="7"/>
  </w:num>
  <w:num w:numId="5" w16cid:durableId="1743717984">
    <w:abstractNumId w:val="6"/>
  </w:num>
  <w:num w:numId="6" w16cid:durableId="793136916">
    <w:abstractNumId w:val="0"/>
  </w:num>
  <w:num w:numId="7" w16cid:durableId="1773890572">
    <w:abstractNumId w:val="2"/>
  </w:num>
  <w:num w:numId="8" w16cid:durableId="4989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89A"/>
    <w:rsid w:val="0008087F"/>
    <w:rsid w:val="0008429A"/>
    <w:rsid w:val="0010221F"/>
    <w:rsid w:val="001F1EF0"/>
    <w:rsid w:val="0023133D"/>
    <w:rsid w:val="00256E62"/>
    <w:rsid w:val="002956C4"/>
    <w:rsid w:val="002C289A"/>
    <w:rsid w:val="004207C9"/>
    <w:rsid w:val="00446CF5"/>
    <w:rsid w:val="005773C7"/>
    <w:rsid w:val="00585CED"/>
    <w:rsid w:val="005867BA"/>
    <w:rsid w:val="0059058C"/>
    <w:rsid w:val="00683AB3"/>
    <w:rsid w:val="0068479A"/>
    <w:rsid w:val="006F6E04"/>
    <w:rsid w:val="00716B29"/>
    <w:rsid w:val="00727D4A"/>
    <w:rsid w:val="008C4004"/>
    <w:rsid w:val="009A648E"/>
    <w:rsid w:val="00A363FE"/>
    <w:rsid w:val="00CE0E3C"/>
    <w:rsid w:val="00DA44AD"/>
    <w:rsid w:val="00DF5323"/>
    <w:rsid w:val="00F50F68"/>
    <w:rsid w:val="00FA54FD"/>
    <w:rsid w:val="00FC46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5146"/>
  <w15:chartTrackingRefBased/>
  <w15:docId w15:val="{0021FC1A-AE00-450D-85B8-0516377A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8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28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2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2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2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28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28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28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28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8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28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2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2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2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2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2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2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289A"/>
    <w:rPr>
      <w:rFonts w:eastAsiaTheme="majorEastAsia" w:cstheme="majorBidi"/>
      <w:color w:val="272727" w:themeColor="text1" w:themeTint="D8"/>
    </w:rPr>
  </w:style>
  <w:style w:type="paragraph" w:styleId="Title">
    <w:name w:val="Title"/>
    <w:basedOn w:val="Normal"/>
    <w:next w:val="Normal"/>
    <w:link w:val="TitleChar"/>
    <w:uiPriority w:val="10"/>
    <w:qFormat/>
    <w:rsid w:val="002C28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28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2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289A"/>
    <w:pPr>
      <w:spacing w:before="160"/>
      <w:jc w:val="center"/>
    </w:pPr>
    <w:rPr>
      <w:i/>
      <w:iCs/>
      <w:color w:val="404040" w:themeColor="text1" w:themeTint="BF"/>
    </w:rPr>
  </w:style>
  <w:style w:type="character" w:customStyle="1" w:styleId="QuoteChar">
    <w:name w:val="Quote Char"/>
    <w:basedOn w:val="DefaultParagraphFont"/>
    <w:link w:val="Quote"/>
    <w:uiPriority w:val="29"/>
    <w:rsid w:val="002C289A"/>
    <w:rPr>
      <w:i/>
      <w:iCs/>
      <w:color w:val="404040" w:themeColor="text1" w:themeTint="BF"/>
    </w:rPr>
  </w:style>
  <w:style w:type="paragraph" w:styleId="ListParagraph">
    <w:name w:val="List Paragraph"/>
    <w:basedOn w:val="Normal"/>
    <w:uiPriority w:val="34"/>
    <w:qFormat/>
    <w:rsid w:val="002C289A"/>
    <w:pPr>
      <w:ind w:left="720"/>
      <w:contextualSpacing/>
    </w:pPr>
  </w:style>
  <w:style w:type="character" w:styleId="IntenseEmphasis">
    <w:name w:val="Intense Emphasis"/>
    <w:basedOn w:val="DefaultParagraphFont"/>
    <w:uiPriority w:val="21"/>
    <w:qFormat/>
    <w:rsid w:val="002C289A"/>
    <w:rPr>
      <w:i/>
      <w:iCs/>
      <w:color w:val="0F4761" w:themeColor="accent1" w:themeShade="BF"/>
    </w:rPr>
  </w:style>
  <w:style w:type="paragraph" w:styleId="IntenseQuote">
    <w:name w:val="Intense Quote"/>
    <w:basedOn w:val="Normal"/>
    <w:next w:val="Normal"/>
    <w:link w:val="IntenseQuoteChar"/>
    <w:uiPriority w:val="30"/>
    <w:qFormat/>
    <w:rsid w:val="002C2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289A"/>
    <w:rPr>
      <w:i/>
      <w:iCs/>
      <w:color w:val="0F4761" w:themeColor="accent1" w:themeShade="BF"/>
    </w:rPr>
  </w:style>
  <w:style w:type="character" w:styleId="IntenseReference">
    <w:name w:val="Intense Reference"/>
    <w:basedOn w:val="DefaultParagraphFont"/>
    <w:uiPriority w:val="32"/>
    <w:qFormat/>
    <w:rsid w:val="002C28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13CC0-D899-4D5D-BBA8-670AF6627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669</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padmavathi r</dc:creator>
  <cp:keywords/>
  <dc:description/>
  <cp:lastModifiedBy>padmavathi r</cp:lastModifiedBy>
  <cp:revision>2</cp:revision>
  <dcterms:created xsi:type="dcterms:W3CDTF">2025-09-02T10:01:00Z</dcterms:created>
  <dcterms:modified xsi:type="dcterms:W3CDTF">2025-09-02T10:01:00Z</dcterms:modified>
</cp:coreProperties>
</file>