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8A9" w:rsidRPr="00C448A9" w:rsidRDefault="00C448A9" w:rsidP="00AC1379">
      <w:pPr>
        <w:spacing w:before="100" w:beforeAutospacing="1" w:line="273" w:lineRule="auto"/>
        <w:rPr>
          <w:rFonts w:ascii="宋体" w:eastAsia="宋体" w:hAnsi="宋体" w:cs="宋体"/>
          <w:b/>
          <w:bCs/>
          <w:sz w:val="30"/>
          <w:szCs w:val="30"/>
          <w:lang w:eastAsia="zh-CN"/>
        </w:rPr>
      </w:pPr>
      <w:r w:rsidRPr="00C448A9">
        <w:rPr>
          <w:rFonts w:ascii="宋体" w:eastAsia="宋体" w:hAnsi="宋体" w:cs="宋体" w:hint="eastAsia"/>
          <w:b/>
          <w:bCs/>
          <w:sz w:val="30"/>
          <w:szCs w:val="30"/>
          <w:lang w:eastAsia="zh-CN"/>
        </w:rPr>
        <w:t>附件：《千屏数字化区域病理远程系统平台》委托开发技术协议</w:t>
      </w:r>
    </w:p>
    <w:p w:rsidR="00C448A9" w:rsidRDefault="00C448A9" w:rsidP="00AC1379">
      <w:pPr>
        <w:spacing w:before="100" w:beforeAutospacing="1" w:line="273" w:lineRule="auto"/>
        <w:rPr>
          <w:rFonts w:ascii="宋体" w:eastAsia="宋体" w:hAnsi="宋体" w:cs="宋体"/>
          <w:b/>
          <w:bCs/>
          <w:sz w:val="24"/>
          <w:szCs w:val="24"/>
          <w:lang w:eastAsia="zh-CN"/>
        </w:rPr>
      </w:pPr>
    </w:p>
    <w:p w:rsidR="007533C5" w:rsidRDefault="007533C5" w:rsidP="00AC1379">
      <w:pPr>
        <w:spacing w:before="100" w:beforeAutospacing="1" w:line="273" w:lineRule="auto"/>
        <w:rPr>
          <w:rFonts w:ascii="宋体" w:eastAsia="宋体" w:hAnsi="宋体" w:cs="宋体"/>
          <w:b/>
          <w:bCs/>
          <w:sz w:val="24"/>
          <w:szCs w:val="24"/>
          <w:lang w:eastAsia="zh-CN"/>
        </w:rPr>
      </w:pPr>
      <w:r>
        <w:rPr>
          <w:rFonts w:ascii="宋体" w:eastAsia="宋体" w:hAnsi="宋体" w:cs="宋体" w:hint="eastAsia"/>
          <w:b/>
          <w:bCs/>
          <w:sz w:val="24"/>
          <w:szCs w:val="24"/>
          <w:lang w:eastAsia="zh-CN"/>
        </w:rPr>
        <w:t>一、总则</w:t>
      </w:r>
    </w:p>
    <w:p w:rsidR="007533C5" w:rsidRPr="00EC6512" w:rsidRDefault="007533C5" w:rsidP="00EC6512">
      <w:pPr>
        <w:spacing w:before="100" w:beforeAutospacing="1" w:line="273" w:lineRule="auto"/>
        <w:ind w:firstLine="420"/>
        <w:rPr>
          <w:rFonts w:ascii="宋体" w:eastAsia="宋体" w:hAnsi="宋体" w:cs="宋体"/>
          <w:bCs/>
          <w:sz w:val="24"/>
          <w:szCs w:val="24"/>
          <w:lang w:eastAsia="zh-CN"/>
        </w:rPr>
      </w:pPr>
      <w:r w:rsidRPr="007533C5">
        <w:rPr>
          <w:rFonts w:ascii="宋体" w:eastAsia="宋体" w:hAnsi="宋体" w:cs="宋体" w:hint="eastAsia"/>
          <w:bCs/>
          <w:sz w:val="24"/>
          <w:szCs w:val="24"/>
          <w:lang w:eastAsia="zh-CN"/>
        </w:rPr>
        <w:t>1、网站</w:t>
      </w:r>
      <w:r w:rsidRPr="00EC6512">
        <w:rPr>
          <w:rFonts w:ascii="宋体" w:eastAsia="宋体" w:hAnsi="宋体" w:cs="宋体" w:hint="eastAsia"/>
          <w:bCs/>
          <w:sz w:val="24"/>
          <w:szCs w:val="24"/>
          <w:lang w:eastAsia="zh-CN"/>
        </w:rPr>
        <w:t>模块功能应与甲方提供的参考示例一致，并能满足少量功能的增加和调整。</w:t>
      </w:r>
    </w:p>
    <w:p w:rsidR="007533C5" w:rsidRPr="00EC6512" w:rsidRDefault="007533C5" w:rsidP="00EC6512">
      <w:pPr>
        <w:spacing w:before="100" w:beforeAutospacing="1" w:line="273" w:lineRule="auto"/>
        <w:ind w:firstLine="420"/>
        <w:rPr>
          <w:rFonts w:ascii="宋体" w:eastAsia="宋体" w:hAnsi="宋体" w:cs="宋体"/>
          <w:bCs/>
          <w:sz w:val="24"/>
          <w:szCs w:val="24"/>
          <w:lang w:eastAsia="zh-CN"/>
        </w:rPr>
      </w:pPr>
      <w:r w:rsidRPr="00EC6512">
        <w:rPr>
          <w:rFonts w:ascii="宋体" w:eastAsia="宋体" w:hAnsi="宋体" w:cs="宋体" w:hint="eastAsia"/>
          <w:bCs/>
          <w:sz w:val="24"/>
          <w:szCs w:val="24"/>
          <w:lang w:eastAsia="zh-CN"/>
        </w:rPr>
        <w:t>2、系统需要部署到中国移动平台时需要提供满足中国移动数据协议的接口。注：该部分需要乙方在系统交付验收后提供编程和技术支持。</w:t>
      </w:r>
    </w:p>
    <w:p w:rsidR="007533C5" w:rsidRPr="00EC6512" w:rsidRDefault="007533C5" w:rsidP="00EC6512">
      <w:pPr>
        <w:spacing w:before="100" w:beforeAutospacing="1" w:line="273" w:lineRule="auto"/>
        <w:ind w:firstLine="420"/>
        <w:rPr>
          <w:rFonts w:ascii="宋体" w:eastAsia="宋体" w:hAnsi="宋体" w:cs="宋体"/>
          <w:bCs/>
          <w:sz w:val="24"/>
          <w:szCs w:val="24"/>
          <w:lang w:eastAsia="zh-CN"/>
        </w:rPr>
      </w:pPr>
      <w:r w:rsidRPr="00EC6512">
        <w:rPr>
          <w:rFonts w:ascii="宋体" w:eastAsia="宋体" w:hAnsi="宋体" w:cs="宋体" w:hint="eastAsia"/>
          <w:bCs/>
          <w:sz w:val="24"/>
          <w:szCs w:val="24"/>
          <w:lang w:eastAsia="zh-CN"/>
        </w:rPr>
        <w:t>3、</w:t>
      </w:r>
      <w:r w:rsidR="00EC6512" w:rsidRPr="00EC6512">
        <w:rPr>
          <w:rFonts w:ascii="宋体" w:eastAsia="宋体" w:hAnsi="宋体" w:cs="宋体" w:hint="eastAsia"/>
          <w:bCs/>
          <w:sz w:val="24"/>
          <w:szCs w:val="24"/>
          <w:lang w:eastAsia="zh-CN"/>
        </w:rPr>
        <w:t>甲方不对本系统各业务模块的技术实现手段进行规范和要求，但对底层技术构架要进行规范和制定技术实现手段。例如：通讯服务器的Socket编程指定用C#语言进行编程实现。</w:t>
      </w:r>
    </w:p>
    <w:p w:rsidR="00EC6512" w:rsidRPr="00EC6512" w:rsidRDefault="00EC6512" w:rsidP="00EC6512">
      <w:pPr>
        <w:spacing w:before="100" w:beforeAutospacing="1" w:line="273" w:lineRule="auto"/>
        <w:ind w:firstLine="420"/>
        <w:rPr>
          <w:rFonts w:ascii="宋体" w:eastAsia="宋体" w:hAnsi="宋体" w:cs="宋体"/>
          <w:bCs/>
          <w:sz w:val="24"/>
          <w:szCs w:val="24"/>
          <w:lang w:eastAsia="zh-CN"/>
        </w:rPr>
      </w:pPr>
      <w:r w:rsidRPr="00EC6512">
        <w:rPr>
          <w:rFonts w:ascii="宋体" w:eastAsia="宋体" w:hAnsi="宋体" w:cs="宋体" w:hint="eastAsia"/>
          <w:bCs/>
          <w:sz w:val="24"/>
          <w:szCs w:val="24"/>
          <w:lang w:eastAsia="zh-CN"/>
        </w:rPr>
        <w:t>4、系统应能支持运行MSSQL、MYSQL、DB</w:t>
      </w:r>
      <w:r w:rsidRPr="00EC6512">
        <w:rPr>
          <w:rFonts w:ascii="宋体" w:eastAsia="宋体" w:hAnsi="宋体" w:cs="宋体"/>
          <w:bCs/>
          <w:sz w:val="24"/>
          <w:szCs w:val="24"/>
          <w:lang w:eastAsia="zh-CN"/>
        </w:rPr>
        <w:t>2</w:t>
      </w:r>
      <w:r w:rsidRPr="00EC6512">
        <w:rPr>
          <w:rFonts w:ascii="宋体" w:eastAsia="宋体" w:hAnsi="宋体" w:cs="宋体" w:hint="eastAsia"/>
          <w:bCs/>
          <w:sz w:val="24"/>
          <w:szCs w:val="24"/>
          <w:lang w:eastAsia="zh-CN"/>
        </w:rPr>
        <w:t>、ORACLE数据库，数据库更改或更新时不需要重新编译程序。</w:t>
      </w:r>
    </w:p>
    <w:p w:rsidR="00EC6512" w:rsidRPr="00EC6512" w:rsidRDefault="00EC6512" w:rsidP="00EC6512">
      <w:pPr>
        <w:spacing w:before="100" w:beforeAutospacing="1" w:line="273" w:lineRule="auto"/>
        <w:ind w:firstLine="420"/>
        <w:rPr>
          <w:rFonts w:ascii="宋体" w:eastAsia="宋体" w:hAnsi="宋体" w:cs="宋体" w:hint="eastAsia"/>
          <w:bCs/>
          <w:sz w:val="24"/>
          <w:szCs w:val="24"/>
          <w:lang w:eastAsia="zh-CN"/>
        </w:rPr>
      </w:pPr>
      <w:r w:rsidRPr="00EC6512">
        <w:rPr>
          <w:rFonts w:ascii="宋体" w:eastAsia="宋体" w:hAnsi="宋体" w:cs="宋体" w:hint="eastAsia"/>
          <w:bCs/>
          <w:sz w:val="24"/>
          <w:szCs w:val="24"/>
          <w:lang w:eastAsia="zh-CN"/>
        </w:rPr>
        <w:t>5、系统支持自动更新，</w:t>
      </w:r>
      <w:bookmarkStart w:id="0" w:name="_GoBack"/>
      <w:bookmarkEnd w:id="0"/>
      <w:r w:rsidRPr="00EC6512">
        <w:rPr>
          <w:rFonts w:ascii="宋体" w:eastAsia="宋体" w:hAnsi="宋体" w:cs="宋体" w:hint="eastAsia"/>
          <w:bCs/>
          <w:sz w:val="24"/>
          <w:szCs w:val="24"/>
          <w:lang w:eastAsia="zh-CN"/>
        </w:rPr>
        <w:t>通讯服务器能支持多台并列运行。</w:t>
      </w:r>
    </w:p>
    <w:p w:rsidR="007533C5" w:rsidRDefault="007533C5" w:rsidP="00AC1379">
      <w:pPr>
        <w:spacing w:before="100" w:beforeAutospacing="1" w:line="273" w:lineRule="auto"/>
        <w:rPr>
          <w:rFonts w:ascii="宋体" w:eastAsia="宋体" w:hAnsi="宋体" w:cs="宋体" w:hint="eastAsia"/>
          <w:b/>
          <w:bCs/>
          <w:sz w:val="24"/>
          <w:szCs w:val="24"/>
          <w:lang w:eastAsia="zh-CN"/>
        </w:rPr>
      </w:pPr>
    </w:p>
    <w:p w:rsidR="00AC1379" w:rsidRDefault="00EC6512" w:rsidP="00AC1379">
      <w:pPr>
        <w:spacing w:before="100" w:beforeAutospacing="1" w:line="273" w:lineRule="auto"/>
        <w:rPr>
          <w:rFonts w:ascii="宋体" w:eastAsia="宋体" w:hAnsi="宋体" w:cs="宋体"/>
          <w:b/>
          <w:bCs/>
          <w:sz w:val="24"/>
          <w:szCs w:val="24"/>
          <w:lang w:eastAsia="zh-CN"/>
        </w:rPr>
      </w:pPr>
      <w:r>
        <w:rPr>
          <w:rFonts w:ascii="宋体" w:eastAsia="宋体" w:hAnsi="宋体" w:cs="宋体" w:hint="eastAsia"/>
          <w:b/>
          <w:bCs/>
          <w:sz w:val="24"/>
          <w:szCs w:val="24"/>
          <w:lang w:eastAsia="zh-CN"/>
        </w:rPr>
        <w:t>二</w:t>
      </w:r>
      <w:r w:rsidR="00C448A9">
        <w:rPr>
          <w:rFonts w:ascii="宋体" w:eastAsia="宋体" w:hAnsi="宋体" w:cs="宋体" w:hint="eastAsia"/>
          <w:b/>
          <w:bCs/>
          <w:sz w:val="24"/>
          <w:szCs w:val="24"/>
          <w:lang w:eastAsia="zh-CN"/>
        </w:rPr>
        <w:t>、</w:t>
      </w:r>
      <w:r w:rsidR="00AC1379">
        <w:rPr>
          <w:rFonts w:ascii="宋体" w:eastAsia="宋体" w:hAnsi="宋体" w:cs="宋体" w:hint="eastAsia"/>
          <w:b/>
          <w:bCs/>
          <w:sz w:val="24"/>
          <w:szCs w:val="24"/>
          <w:lang w:eastAsia="zh-CN"/>
        </w:rPr>
        <w:t xml:space="preserve"> 功能项列表明细</w:t>
      </w:r>
    </w:p>
    <w:tbl>
      <w:tblPr>
        <w:tblW w:w="8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230"/>
        <w:gridCol w:w="2295"/>
        <w:gridCol w:w="5137"/>
      </w:tblGrid>
      <w:tr w:rsidR="00AC1379" w:rsidTr="00AC1379">
        <w:trPr>
          <w:trHeight w:val="570"/>
        </w:trPr>
        <w:tc>
          <w:tcPr>
            <w:tcW w:w="1230" w:type="dxa"/>
            <w:shd w:val="clear" w:color="auto" w:fill="99CC00"/>
            <w:vAlign w:val="center"/>
          </w:tcPr>
          <w:p w:rsidR="00AC1379" w:rsidRDefault="00AC1379" w:rsidP="00901282">
            <w:pPr>
              <w:widowControl/>
              <w:textAlignment w:val="center"/>
              <w:rPr>
                <w:rFonts w:ascii="宋体" w:eastAsia="宋体" w:hAnsi="宋体" w:cs="宋体"/>
                <w:b/>
                <w:color w:val="000000"/>
                <w:sz w:val="24"/>
                <w:szCs w:val="24"/>
              </w:rPr>
            </w:pPr>
            <w:r>
              <w:rPr>
                <w:rFonts w:ascii="宋体" w:eastAsia="宋体" w:hAnsi="宋体" w:cs="宋体" w:hint="eastAsia"/>
                <w:b/>
                <w:color w:val="000000"/>
                <w:sz w:val="24"/>
                <w:szCs w:val="24"/>
                <w:lang w:eastAsia="zh-CN"/>
              </w:rPr>
              <w:t>分类</w:t>
            </w:r>
          </w:p>
        </w:tc>
        <w:tc>
          <w:tcPr>
            <w:tcW w:w="2295" w:type="dxa"/>
            <w:shd w:val="clear" w:color="auto" w:fill="99CC00"/>
            <w:vAlign w:val="center"/>
          </w:tcPr>
          <w:p w:rsidR="00AC1379" w:rsidRDefault="00AC1379" w:rsidP="00901282">
            <w:pPr>
              <w:widowControl/>
              <w:textAlignment w:val="center"/>
              <w:rPr>
                <w:rFonts w:ascii="宋体" w:eastAsia="宋体" w:hAnsi="宋体" w:cs="宋体"/>
                <w:b/>
                <w:color w:val="000000"/>
                <w:sz w:val="24"/>
                <w:szCs w:val="24"/>
              </w:rPr>
            </w:pPr>
            <w:r>
              <w:rPr>
                <w:rFonts w:ascii="宋体" w:eastAsia="宋体" w:hAnsi="宋体" w:cs="宋体" w:hint="eastAsia"/>
                <w:b/>
                <w:color w:val="000000"/>
                <w:sz w:val="24"/>
                <w:szCs w:val="24"/>
                <w:lang w:eastAsia="zh-CN"/>
              </w:rPr>
              <w:t>功能及其描述</w:t>
            </w:r>
          </w:p>
        </w:tc>
        <w:tc>
          <w:tcPr>
            <w:tcW w:w="5137" w:type="dxa"/>
            <w:shd w:val="clear" w:color="auto" w:fill="99CC00"/>
            <w:vAlign w:val="center"/>
          </w:tcPr>
          <w:p w:rsidR="00AC1379" w:rsidRDefault="00AC1379" w:rsidP="00901282">
            <w:pPr>
              <w:widowControl/>
              <w:textAlignment w:val="center"/>
              <w:rPr>
                <w:rFonts w:ascii="宋体" w:eastAsia="宋体" w:hAnsi="宋体" w:cs="宋体"/>
                <w:b/>
                <w:color w:val="000000"/>
                <w:sz w:val="24"/>
                <w:szCs w:val="24"/>
              </w:rPr>
            </w:pPr>
            <w:r>
              <w:rPr>
                <w:rFonts w:ascii="宋体" w:eastAsia="宋体" w:hAnsi="宋体" w:cs="宋体" w:hint="eastAsia"/>
                <w:b/>
                <w:color w:val="000000"/>
                <w:sz w:val="24"/>
                <w:szCs w:val="24"/>
                <w:lang w:eastAsia="zh-CN"/>
              </w:rPr>
              <w:t>备注</w:t>
            </w:r>
          </w:p>
        </w:tc>
      </w:tr>
      <w:tr w:rsidR="00AC1379" w:rsidTr="00AC1379">
        <w:trPr>
          <w:trHeight w:val="285"/>
        </w:trPr>
        <w:tc>
          <w:tcPr>
            <w:tcW w:w="1230" w:type="dxa"/>
            <w:vMerge w:val="restart"/>
            <w:shd w:val="clear" w:color="auto" w:fill="FFFFFF"/>
            <w:vAlign w:val="center"/>
          </w:tcPr>
          <w:p w:rsidR="00AC1379" w:rsidRDefault="00AC1379" w:rsidP="00901282">
            <w:pPr>
              <w:widowControl/>
              <w:jc w:val="center"/>
              <w:textAlignment w:val="center"/>
              <w:rPr>
                <w:rFonts w:ascii="宋体" w:eastAsia="宋体" w:hAnsi="宋体" w:cs="宋体"/>
                <w:b/>
                <w:color w:val="000000"/>
                <w:sz w:val="24"/>
                <w:szCs w:val="24"/>
                <w:lang w:eastAsia="zh-CN"/>
              </w:rPr>
            </w:pPr>
            <w:r>
              <w:rPr>
                <w:rFonts w:ascii="宋体" w:eastAsia="宋体" w:hAnsi="宋体" w:cs="宋体" w:hint="eastAsia"/>
                <w:b/>
                <w:color w:val="000000"/>
                <w:sz w:val="24"/>
                <w:szCs w:val="24"/>
                <w:lang w:eastAsia="zh-CN"/>
              </w:rPr>
              <w:t>数字病理远程会诊平台（业务功能）</w:t>
            </w: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sz w:val="24"/>
                <w:szCs w:val="24"/>
              </w:rPr>
            </w:pPr>
            <w:r>
              <w:rPr>
                <w:rFonts w:ascii="宋体" w:eastAsia="宋体" w:hAnsi="宋体" w:cs="宋体" w:hint="eastAsia"/>
                <w:color w:val="000000"/>
                <w:sz w:val="24"/>
                <w:szCs w:val="24"/>
                <w:lang w:eastAsia="zh-CN"/>
              </w:rPr>
              <w:t>远程会诊平台主界面</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主界面整体布局，宽屏显示</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专家登陆</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1）对用户的账号和口令进行校验</w:t>
            </w:r>
          </w:p>
        </w:tc>
      </w:tr>
      <w:tr w:rsidR="00AC1379" w:rsidTr="00AC1379">
        <w:trPr>
          <w:trHeight w:val="54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管理后台主界面设计</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界面默认显示待诊断、已诊断、我的收藏、诊断报表等汇总统计项信息</w:t>
            </w:r>
          </w:p>
        </w:tc>
      </w:tr>
      <w:tr w:rsidR="00AC1379" w:rsidTr="00AC1379">
        <w:trPr>
          <w:trHeight w:val="54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管理后台操作界面设计</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左侧导航栏，头部当前账户及统计项信息，主界面默认显示待诊断项信息</w:t>
            </w:r>
          </w:p>
        </w:tc>
      </w:tr>
      <w:tr w:rsidR="00AC1379" w:rsidTr="00AC1379">
        <w:trPr>
          <w:trHeight w:val="54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待诊断列表查询</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根据时间范围、系统分类、送检单位、状态等属性做精确匹配或关键字模糊匹配，查询待诊断病例信息</w:t>
            </w:r>
          </w:p>
        </w:tc>
      </w:tr>
      <w:tr w:rsidR="00AC1379" w:rsidTr="00AC1379">
        <w:trPr>
          <w:trHeight w:val="54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已诊断列表查询</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根据时间范围、系统分类、送检单位、状态等属性做精确匹配或关键字模糊匹配，查询已诊断病例信息</w:t>
            </w:r>
          </w:p>
        </w:tc>
      </w:tr>
      <w:tr w:rsidR="00AC1379" w:rsidTr="00AC1379">
        <w:trPr>
          <w:trHeight w:val="54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退回病例列表查询</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根据时间范围、系统分类、送检单位、状态等属性做精确匹配或关键字模糊匹配，查询退回病例信息</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诊断</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查阅病例信息、附件&amp;切片等来填写诊断信息</w:t>
            </w:r>
          </w:p>
          <w:p w:rsidR="005A7CD8" w:rsidRDefault="005A7CD8" w:rsidP="00901282">
            <w:pPr>
              <w:widowControl/>
              <w:textAlignment w:val="center"/>
              <w:rPr>
                <w:rFonts w:ascii="宋体" w:eastAsia="宋体" w:hAnsi="宋体" w:cs="宋体" w:hint="eastAsia"/>
                <w:color w:val="000000"/>
                <w:lang w:eastAsia="zh-CN"/>
              </w:rPr>
            </w:pPr>
            <w:r>
              <w:rPr>
                <w:rFonts w:ascii="宋体" w:eastAsia="宋体" w:hAnsi="宋体" w:cs="宋体" w:hint="eastAsia"/>
                <w:color w:val="000000"/>
                <w:lang w:eastAsia="zh-CN"/>
              </w:rPr>
              <w:t>具备转诊、撤销和提醒功能</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留言</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查阅病例信息、附件&amp;切片等来填写留言信息</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查看诊断病例</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查阅病例信息、附件切片、诊断信息</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收藏诊断病例</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已诊断的病例项，收藏起来</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收藏列表查询</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根据时间范围、送检单位、关键字查询收藏病例信息列表</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留言列表查询</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查询留言列表信息</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诊断报表</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根据时间维度，及诊断状态查询一定时间范围内统计的诊断信息</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会议列表</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默认查询显示视频会议项信息</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病例分享</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病例分享转发至微信朋友圈、QQ等</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查询统计</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根据时间维度、远程会诊流程节点域统计</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图像标注</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导航图</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图像截图</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相关切片</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图像旋转选项</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比例尺、缩放、方向键、标签、标注</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sz w:val="24"/>
                <w:szCs w:val="24"/>
              </w:rPr>
            </w:pPr>
            <w:r>
              <w:rPr>
                <w:rFonts w:ascii="宋体" w:eastAsia="宋体" w:hAnsi="宋体" w:cs="宋体" w:hint="eastAsia"/>
                <w:color w:val="000000"/>
                <w:sz w:val="24"/>
                <w:szCs w:val="24"/>
                <w:lang w:eastAsia="zh-CN"/>
              </w:rPr>
              <w:t>图像操作</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网格、标注列表、图像调节、导出、移动、缩放比例</w:t>
            </w:r>
            <w:r w:rsidR="003029D5">
              <w:rPr>
                <w:rFonts w:ascii="宋体" w:eastAsia="宋体" w:hAnsi="宋体" w:cs="宋体" w:hint="eastAsia"/>
                <w:color w:val="000000"/>
                <w:sz w:val="24"/>
                <w:szCs w:val="24"/>
                <w:lang w:eastAsia="zh-CN"/>
              </w:rPr>
              <w:t>、测量</w:t>
            </w:r>
            <w:r w:rsidR="00B40779">
              <w:rPr>
                <w:rFonts w:ascii="宋体" w:eastAsia="宋体" w:hAnsi="宋体" w:cs="宋体" w:hint="eastAsia"/>
                <w:color w:val="000000"/>
                <w:sz w:val="24"/>
                <w:szCs w:val="24"/>
                <w:lang w:eastAsia="zh-CN"/>
              </w:rPr>
              <w:t>、颜色调节</w:t>
            </w:r>
          </w:p>
        </w:tc>
      </w:tr>
      <w:tr w:rsidR="00AC1379" w:rsidTr="00AC1379">
        <w:trPr>
          <w:trHeight w:val="390"/>
        </w:trPr>
        <w:tc>
          <w:tcPr>
            <w:tcW w:w="1230" w:type="dxa"/>
            <w:vMerge w:val="restart"/>
            <w:shd w:val="clear" w:color="auto" w:fill="FFFFFF"/>
            <w:vAlign w:val="center"/>
          </w:tcPr>
          <w:p w:rsidR="00AC1379" w:rsidRDefault="00AC1379" w:rsidP="00901282">
            <w:pPr>
              <w:widowControl/>
              <w:jc w:val="center"/>
              <w:textAlignment w:val="center"/>
              <w:rPr>
                <w:rFonts w:ascii="宋体" w:eastAsia="宋体" w:hAnsi="宋体" w:cs="宋体"/>
                <w:b/>
                <w:color w:val="000000"/>
                <w:sz w:val="24"/>
                <w:szCs w:val="24"/>
                <w:lang w:eastAsia="zh-CN"/>
              </w:rPr>
            </w:pPr>
            <w:r>
              <w:rPr>
                <w:rFonts w:ascii="宋体" w:eastAsia="宋体" w:hAnsi="宋体" w:cs="宋体" w:hint="eastAsia"/>
                <w:b/>
                <w:color w:val="000000"/>
                <w:sz w:val="24"/>
                <w:szCs w:val="24"/>
                <w:lang w:eastAsia="zh-CN"/>
              </w:rPr>
              <w:t>数字病理远程会诊平台（系统功能）</w:t>
            </w: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医院管理</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完成医院的增、删、改、查功能</w:t>
            </w:r>
          </w:p>
        </w:tc>
      </w:tr>
      <w:tr w:rsidR="00AC1379" w:rsidTr="00AC1379">
        <w:trPr>
          <w:trHeight w:val="39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用户管理</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账号、状态、签名、密码、问题反馈、使用帮助、退出</w:t>
            </w:r>
          </w:p>
        </w:tc>
      </w:tr>
      <w:tr w:rsidR="00AC1379" w:rsidTr="00AC1379">
        <w:trPr>
          <w:trHeight w:val="39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文字接口通讯</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基于SOAP/SOCKET/HTTP接口通讯协议</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图像接口通讯</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基于FTP通讯解析方式</w:t>
            </w:r>
          </w:p>
        </w:tc>
      </w:tr>
      <w:tr w:rsidR="00AC1379" w:rsidTr="00AC1379">
        <w:trPr>
          <w:trHeight w:val="540"/>
        </w:trPr>
        <w:tc>
          <w:tcPr>
            <w:tcW w:w="1230" w:type="dxa"/>
            <w:vMerge w:val="restart"/>
            <w:shd w:val="clear" w:color="auto" w:fill="FFFFFF"/>
            <w:vAlign w:val="center"/>
          </w:tcPr>
          <w:p w:rsidR="00AC1379" w:rsidRDefault="00AC1379" w:rsidP="00901282">
            <w:pPr>
              <w:widowControl/>
              <w:jc w:val="center"/>
              <w:textAlignment w:val="center"/>
              <w:rPr>
                <w:rFonts w:ascii="宋体" w:eastAsia="宋体" w:hAnsi="宋体" w:cs="宋体"/>
                <w:b/>
                <w:color w:val="000000"/>
                <w:sz w:val="24"/>
                <w:szCs w:val="24"/>
              </w:rPr>
            </w:pPr>
            <w:r>
              <w:rPr>
                <w:rFonts w:ascii="宋体" w:eastAsia="宋体" w:hAnsi="宋体" w:cs="宋体" w:hint="eastAsia"/>
                <w:b/>
                <w:color w:val="000000"/>
                <w:sz w:val="24"/>
                <w:szCs w:val="24"/>
                <w:lang w:eastAsia="zh-CN"/>
              </w:rPr>
              <w:t>其他</w:t>
            </w: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服务器</w:t>
            </w:r>
            <w:proofErr w:type="spellStart"/>
            <w:r>
              <w:rPr>
                <w:rFonts w:ascii="宋体" w:eastAsia="宋体" w:hAnsi="宋体" w:cs="宋体" w:hint="eastAsia"/>
                <w:color w:val="000000"/>
                <w:lang w:eastAsia="zh-CN"/>
              </w:rPr>
              <w:t>Iptables</w:t>
            </w:r>
            <w:proofErr w:type="spellEnd"/>
            <w:r>
              <w:rPr>
                <w:rFonts w:ascii="宋体" w:eastAsia="宋体" w:hAnsi="宋体" w:cs="宋体" w:hint="eastAsia"/>
                <w:color w:val="000000"/>
                <w:lang w:eastAsia="zh-CN"/>
              </w:rPr>
              <w:t>设置：</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对指定端口进行开放设置</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资源服务器部署</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所有的图片、文件通过统一的资源服务器配置项提供</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应用服务部署</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应用服务部署</w:t>
            </w:r>
          </w:p>
        </w:tc>
      </w:tr>
      <w:tr w:rsidR="00AC1379" w:rsidTr="00AC1379">
        <w:trPr>
          <w:trHeight w:val="54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服务部署并负载设置</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1）采用</w:t>
            </w:r>
            <w:proofErr w:type="spellStart"/>
            <w:r>
              <w:rPr>
                <w:rFonts w:ascii="宋体" w:eastAsia="宋体" w:hAnsi="宋体" w:cs="宋体" w:hint="eastAsia"/>
                <w:color w:val="000000"/>
                <w:lang w:eastAsia="zh-CN"/>
              </w:rPr>
              <w:t>nginx</w:t>
            </w:r>
            <w:proofErr w:type="spellEnd"/>
            <w:r>
              <w:rPr>
                <w:rFonts w:ascii="宋体" w:eastAsia="宋体" w:hAnsi="宋体" w:cs="宋体" w:hint="eastAsia"/>
                <w:color w:val="000000"/>
                <w:lang w:eastAsia="zh-CN"/>
              </w:rPr>
              <w:t>组件进行均衡负载，在Linux环境下支</w:t>
            </w:r>
            <w:r>
              <w:rPr>
                <w:rFonts w:ascii="宋体" w:eastAsia="宋体" w:hAnsi="宋体" w:cs="宋体" w:hint="eastAsia"/>
                <w:color w:val="000000"/>
                <w:lang w:eastAsia="zh-CN"/>
              </w:rPr>
              <w:lastRenderedPageBreak/>
              <w:t>持集群部署</w:t>
            </w:r>
          </w:p>
        </w:tc>
      </w:tr>
      <w:tr w:rsidR="00AC1379" w:rsidTr="00AC1379">
        <w:trPr>
          <w:trHeight w:val="540"/>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lang w:eastAsia="zh-CN"/>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Oracle/MSSQL数据库部署</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在windows环境部署oracle/MSSQL应用服务</w:t>
            </w:r>
          </w:p>
        </w:tc>
      </w:tr>
      <w:tr w:rsidR="00AC1379" w:rsidTr="00AC1379">
        <w:trPr>
          <w:trHeight w:val="285"/>
        </w:trPr>
        <w:tc>
          <w:tcPr>
            <w:tcW w:w="1230" w:type="dxa"/>
            <w:vMerge/>
            <w:shd w:val="clear" w:color="auto" w:fill="FFFFFF"/>
            <w:vAlign w:val="center"/>
          </w:tcPr>
          <w:p w:rsidR="00AC1379" w:rsidRDefault="00AC1379" w:rsidP="00901282">
            <w:pPr>
              <w:jc w:val="center"/>
              <w:rPr>
                <w:rFonts w:ascii="宋体" w:eastAsia="宋体" w:hAnsi="宋体" w:cs="宋体"/>
                <w:b/>
                <w:color w:val="000000"/>
                <w:sz w:val="24"/>
                <w:szCs w:val="24"/>
              </w:rPr>
            </w:pPr>
          </w:p>
        </w:tc>
        <w:tc>
          <w:tcPr>
            <w:tcW w:w="2295" w:type="dxa"/>
            <w:shd w:val="clear" w:color="auto" w:fill="FFFFFF"/>
            <w:vAlign w:val="center"/>
          </w:tcPr>
          <w:p w:rsidR="00AC1379" w:rsidRDefault="00AC1379" w:rsidP="00901282">
            <w:pPr>
              <w:widowControl/>
              <w:textAlignment w:val="center"/>
              <w:rPr>
                <w:rFonts w:ascii="宋体" w:eastAsia="宋体" w:hAnsi="宋体" w:cs="宋体"/>
                <w:color w:val="000000"/>
              </w:rPr>
            </w:pPr>
            <w:r>
              <w:rPr>
                <w:rFonts w:ascii="宋体" w:eastAsia="宋体" w:hAnsi="宋体" w:cs="宋体" w:hint="eastAsia"/>
                <w:color w:val="000000"/>
                <w:lang w:eastAsia="zh-CN"/>
              </w:rPr>
              <w:t>服务器日常监控维护</w:t>
            </w:r>
          </w:p>
        </w:tc>
        <w:tc>
          <w:tcPr>
            <w:tcW w:w="5137" w:type="dxa"/>
            <w:shd w:val="clear" w:color="auto" w:fill="FFFFFF"/>
            <w:vAlign w:val="center"/>
          </w:tcPr>
          <w:p w:rsidR="00AC1379" w:rsidRDefault="00AC1379" w:rsidP="00901282">
            <w:pPr>
              <w:widowControl/>
              <w:textAlignment w:val="center"/>
              <w:rPr>
                <w:rFonts w:ascii="宋体" w:eastAsia="宋体" w:hAnsi="宋体" w:cs="宋体"/>
                <w:color w:val="000000"/>
                <w:lang w:eastAsia="zh-CN"/>
              </w:rPr>
            </w:pPr>
            <w:r>
              <w:rPr>
                <w:rFonts w:ascii="宋体" w:eastAsia="宋体" w:hAnsi="宋体" w:cs="宋体" w:hint="eastAsia"/>
                <w:color w:val="000000"/>
                <w:lang w:eastAsia="zh-CN"/>
              </w:rPr>
              <w:t>服务器日常类监控运维优化</w:t>
            </w:r>
          </w:p>
        </w:tc>
      </w:tr>
    </w:tbl>
    <w:p w:rsidR="00AC1379" w:rsidRDefault="00AC1379" w:rsidP="00AC1379">
      <w:pPr>
        <w:spacing w:before="100" w:beforeAutospacing="1" w:line="273" w:lineRule="auto"/>
        <w:rPr>
          <w:rFonts w:ascii="宋体" w:eastAsia="宋体" w:hAnsi="宋体" w:cs="宋体" w:hint="eastAsia"/>
          <w:sz w:val="24"/>
          <w:szCs w:val="24"/>
          <w:lang w:eastAsia="zh-CN"/>
        </w:rPr>
      </w:pPr>
    </w:p>
    <w:p w:rsidR="00AC1379" w:rsidRDefault="00EC6512" w:rsidP="00AC1379">
      <w:pPr>
        <w:spacing w:before="100" w:beforeAutospacing="1" w:line="273" w:lineRule="auto"/>
        <w:rPr>
          <w:rFonts w:eastAsia="宋体"/>
          <w:b/>
          <w:bCs/>
          <w:lang w:eastAsia="zh-CN"/>
        </w:rPr>
      </w:pPr>
      <w:bookmarkStart w:id="1" w:name="OLE_LINK64"/>
      <w:r>
        <w:rPr>
          <w:rFonts w:eastAsia="宋体" w:hint="eastAsia"/>
          <w:b/>
          <w:bCs/>
          <w:lang w:eastAsia="zh-CN"/>
        </w:rPr>
        <w:t>三</w:t>
      </w:r>
      <w:bookmarkEnd w:id="1"/>
      <w:r>
        <w:rPr>
          <w:rFonts w:eastAsia="宋体" w:hint="eastAsia"/>
          <w:b/>
          <w:bCs/>
          <w:lang w:eastAsia="zh-CN"/>
        </w:rPr>
        <w:t>、</w:t>
      </w:r>
      <w:r w:rsidR="00AC1379">
        <w:rPr>
          <w:rFonts w:eastAsia="宋体" w:hint="eastAsia"/>
          <w:b/>
          <w:bCs/>
          <w:lang w:eastAsia="zh-CN"/>
        </w:rPr>
        <w:t>系统功能业务模型</w:t>
      </w:r>
    </w:p>
    <w:p w:rsidR="00AC1379" w:rsidRDefault="00DE2CE6" w:rsidP="00AC1379">
      <w:pPr>
        <w:spacing w:before="100" w:beforeAutospacing="1" w:line="273" w:lineRule="auto"/>
      </w:pPr>
      <w:r w:rsidRPr="00DE2CE6">
        <w:rPr>
          <w:noProof/>
          <w:lang w:eastAsia="zh-CN"/>
        </w:rPr>
        <w:drawing>
          <wp:inline distT="0" distB="0" distL="0" distR="0">
            <wp:extent cx="5461000" cy="3881482"/>
            <wp:effectExtent l="19050" t="0" r="635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48825" cy="6858000"/>
                      <a:chOff x="0" y="0"/>
                      <a:chExt cx="9648825" cy="6858000"/>
                    </a:xfrm>
                  </a:grpSpPr>
                  <a:sp>
                    <a:nvSpPr>
                      <a:cNvPr id="5" name="矩形 4"/>
                      <a:cNvSpPr/>
                    </a:nvSpPr>
                    <a:spPr>
                      <a:xfrm>
                        <a:off x="0" y="6072206"/>
                        <a:ext cx="9648825" cy="785794"/>
                      </a:xfrm>
                      <a:prstGeom prst="rect">
                        <a:avLst/>
                      </a:prstGeom>
                      <a:solidFill>
                        <a:schemeClr val="accent5">
                          <a:lumMod val="60000"/>
                          <a:lumOff val="40000"/>
                        </a:schemeClr>
                      </a:solid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矩形 5"/>
                      <a:cNvSpPr/>
                    </a:nvSpPr>
                    <a:spPr>
                      <a:xfrm>
                        <a:off x="7236636" y="0"/>
                        <a:ext cx="2412189" cy="6072206"/>
                      </a:xfrm>
                      <a:prstGeom prst="rect">
                        <a:avLst/>
                      </a:prstGeom>
                      <a:solidFill>
                        <a:schemeClr val="accent5">
                          <a:lumMod val="60000"/>
                          <a:lumOff val="40000"/>
                        </a:schemeClr>
                      </a:solid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0" y="0"/>
                        <a:ext cx="7236636" cy="1000108"/>
                      </a:xfrm>
                      <a:prstGeom prst="rect">
                        <a:avLst/>
                      </a:prstGeom>
                      <a:solidFill>
                        <a:schemeClr val="accent5">
                          <a:lumMod val="60000"/>
                          <a:lumOff val="40000"/>
                        </a:schemeClr>
                      </a:solid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0" y="1000108"/>
                        <a:ext cx="7236636" cy="2786082"/>
                      </a:xfrm>
                      <a:prstGeom prst="rect">
                        <a:avLst/>
                      </a:prstGeom>
                      <a:solidFill>
                        <a:schemeClr val="accent5">
                          <a:lumMod val="60000"/>
                          <a:lumOff val="40000"/>
                        </a:schemeClr>
                      </a:solid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0" y="3786190"/>
                        <a:ext cx="7236636" cy="2286016"/>
                      </a:xfrm>
                      <a:prstGeom prst="rect">
                        <a:avLst/>
                      </a:prstGeom>
                      <a:solidFill>
                        <a:schemeClr val="accent5">
                          <a:lumMod val="60000"/>
                          <a:lumOff val="40000"/>
                        </a:schemeClr>
                      </a:solidFill>
                      <a:ln w="1270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180942" y="6274378"/>
                        <a:ext cx="110799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t>技术架构</a:t>
                          </a:r>
                          <a:endParaRPr lang="zh-CN" altLang="en-US" b="1" dirty="0"/>
                        </a:p>
                      </a:txBody>
                      <a:useSpRect/>
                    </a:txSp>
                  </a:sp>
                  <a:sp>
                    <a:nvSpPr>
                      <a:cNvPr id="11" name="矩形 10"/>
                      <a:cNvSpPr/>
                    </a:nvSpPr>
                    <a:spPr>
                      <a:xfrm>
                        <a:off x="1681140" y="6286520"/>
                        <a:ext cx="1571636" cy="285752"/>
                      </a:xfrm>
                      <a:prstGeom prst="rect">
                        <a:avLst/>
                      </a:prstGeom>
                      <a:gradFill flip="none" rotWithShape="1">
                        <a:gsLst>
                          <a:gs pos="0">
                            <a:schemeClr val="accent3">
                              <a:tint val="66000"/>
                              <a:satMod val="160000"/>
                              <a:tint val="66000"/>
                              <a:satMod val="160000"/>
                            </a:schemeClr>
                          </a:gs>
                          <a:gs pos="50000">
                            <a:schemeClr val="accent3">
                              <a:tint val="66000"/>
                              <a:satMod val="160000"/>
                              <a:tint val="44500"/>
                              <a:satMod val="160000"/>
                            </a:schemeClr>
                          </a:gs>
                          <a:gs pos="100000">
                            <a:schemeClr val="accent3">
                              <a:tint val="66000"/>
                              <a:satMod val="160000"/>
                              <a:tint val="23500"/>
                              <a:satMod val="160000"/>
                            </a:schemeClr>
                          </a:gs>
                        </a:gsLst>
                        <a:lin ang="5400000" scaled="1"/>
                        <a:tileRect/>
                      </a:gra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业务规则引擎</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13" name="矩形 12"/>
                      <a:cNvSpPr/>
                    </a:nvSpPr>
                    <a:spPr>
                      <a:xfrm>
                        <a:off x="3467090" y="6286520"/>
                        <a:ext cx="1571636" cy="285752"/>
                      </a:xfrm>
                      <a:prstGeom prst="rect">
                        <a:avLst/>
                      </a:prstGeom>
                      <a:gradFill flip="none" rotWithShape="1">
                        <a:gsLst>
                          <a:gs pos="0">
                            <a:schemeClr val="accent3">
                              <a:tint val="66000"/>
                              <a:satMod val="160000"/>
                            </a:schemeClr>
                          </a:gs>
                          <a:gs pos="50000">
                            <a:schemeClr val="accent3">
                              <a:tint val="44500"/>
                              <a:satMod val="160000"/>
                            </a:schemeClr>
                          </a:gs>
                          <a:gs pos="100000">
                            <a:schemeClr val="accent3">
                              <a:tint val="23500"/>
                              <a:satMod val="160000"/>
                            </a:schemeClr>
                          </a:gs>
                        </a:gsLst>
                        <a:lin ang="5400000" scaled="1"/>
                        <a:tileRect/>
                      </a:gra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统一认证</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14" name="矩形 13"/>
                      <a:cNvSpPr/>
                    </a:nvSpPr>
                    <a:spPr>
                      <a:xfrm>
                        <a:off x="5253040" y="6286520"/>
                        <a:ext cx="1571636" cy="285752"/>
                      </a:xfrm>
                      <a:prstGeom prst="rect">
                        <a:avLst/>
                      </a:prstGeom>
                      <a:gradFill flip="none" rotWithShape="1">
                        <a:gsLst>
                          <a:gs pos="0">
                            <a:srgbClr val="F3FB8F">
                              <a:tint val="66000"/>
                              <a:satMod val="160000"/>
                            </a:srgbClr>
                          </a:gs>
                          <a:gs pos="50000">
                            <a:srgbClr val="F3FB8F">
                              <a:tint val="44500"/>
                              <a:satMod val="160000"/>
                            </a:srgbClr>
                          </a:gs>
                          <a:gs pos="100000">
                            <a:srgbClr val="F3FB8F">
                              <a:tint val="23500"/>
                              <a:satMod val="160000"/>
                            </a:srgbClr>
                          </a:gs>
                        </a:gsLst>
                        <a:lin ang="5400000" scaled="1"/>
                        <a:tileRect/>
                      </a:gra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a:solidFill>
                                <a:schemeClr val="tx1"/>
                              </a:solidFill>
                            </a:rPr>
                            <a:t>报表</a:t>
                          </a:r>
                          <a:r>
                            <a:rPr lang="zh-CN" altLang="en-US" sz="1600" dirty="0" smtClean="0">
                              <a:solidFill>
                                <a:schemeClr val="tx1"/>
                              </a:solidFill>
                            </a:rPr>
                            <a:t>规则引擎</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15" name="矩形 14"/>
                      <a:cNvSpPr/>
                    </a:nvSpPr>
                    <a:spPr>
                      <a:xfrm>
                        <a:off x="7110428" y="6286520"/>
                        <a:ext cx="1571636" cy="285752"/>
                      </a:xfrm>
                      <a:prstGeom prst="rect">
                        <a:avLst/>
                      </a:prstGeom>
                      <a:gradFill flip="none" rotWithShape="1">
                        <a:gsLst>
                          <a:gs pos="0">
                            <a:schemeClr val="accent3">
                              <a:tint val="66000"/>
                              <a:satMod val="160000"/>
                            </a:schemeClr>
                          </a:gs>
                          <a:gs pos="50000">
                            <a:schemeClr val="accent3">
                              <a:tint val="44500"/>
                              <a:satMod val="160000"/>
                            </a:schemeClr>
                          </a:gs>
                          <a:gs pos="100000">
                            <a:schemeClr val="accent3">
                              <a:tint val="23500"/>
                              <a:satMod val="160000"/>
                            </a:schemeClr>
                          </a:gs>
                        </a:gsLst>
                        <a:lin ang="5400000" scaled="1"/>
                        <a:tileRect/>
                      </a:gra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任务调度引擎</a:t>
                          </a:r>
                          <a:endParaRPr lang="zh-CN" altLang="en-US" sz="16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16" name="TextBox 15"/>
                      <a:cNvSpPr txBox="1"/>
                    </a:nvSpPr>
                    <a:spPr>
                      <a:xfrm>
                        <a:off x="7824808" y="142852"/>
                        <a:ext cx="134684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t>公共子系统</a:t>
                          </a:r>
                          <a:endParaRPr lang="zh-CN" altLang="en-US" b="1" dirty="0"/>
                        </a:p>
                      </a:txBody>
                      <a:useSpRect/>
                    </a:txSp>
                  </a:sp>
                  <a:sp>
                    <a:nvSpPr>
                      <a:cNvPr id="17" name="TextBox 16"/>
                      <a:cNvSpPr txBox="1"/>
                    </a:nvSpPr>
                    <a:spPr>
                      <a:xfrm>
                        <a:off x="2681272" y="142852"/>
                        <a:ext cx="134684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t>业务子系统</a:t>
                          </a:r>
                          <a:endParaRPr lang="zh-CN" altLang="en-US" b="1" dirty="0"/>
                        </a:p>
                      </a:txBody>
                      <a:useSpRect/>
                    </a:txSp>
                  </a:sp>
                  <a:sp>
                    <a:nvSpPr>
                      <a:cNvPr id="19" name="圆角矩形 18"/>
                      <a:cNvSpPr/>
                    </a:nvSpPr>
                    <a:spPr>
                      <a:xfrm>
                        <a:off x="180942" y="642918"/>
                        <a:ext cx="2071702" cy="357190"/>
                      </a:xfrm>
                      <a:prstGeom prst="roundRect">
                        <a:avLst/>
                      </a:prstGeom>
                      <a:solidFill>
                        <a:srgbClr val="E5C757"/>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专家管理</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圆角矩形 19"/>
                      <a:cNvSpPr/>
                    </a:nvSpPr>
                    <a:spPr>
                      <a:xfrm>
                        <a:off x="395256" y="1000108"/>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专家登录</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圆角矩形 20"/>
                      <a:cNvSpPr/>
                    </a:nvSpPr>
                    <a:spPr>
                      <a:xfrm>
                        <a:off x="2538396" y="642918"/>
                        <a:ext cx="2071702" cy="357190"/>
                      </a:xfrm>
                      <a:prstGeom prst="roundRect">
                        <a:avLst/>
                      </a:prstGeom>
                      <a:solidFill>
                        <a:srgbClr val="E5C757"/>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远程会诊传输</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圆角矩形 21"/>
                      <a:cNvSpPr/>
                    </a:nvSpPr>
                    <a:spPr>
                      <a:xfrm>
                        <a:off x="4895850" y="642918"/>
                        <a:ext cx="2143140" cy="357190"/>
                      </a:xfrm>
                      <a:prstGeom prst="roundRect">
                        <a:avLst/>
                      </a:prstGeom>
                      <a:solidFill>
                        <a:srgbClr val="E5C757"/>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远程会诊流程</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圆角矩形 22"/>
                      <a:cNvSpPr/>
                    </a:nvSpPr>
                    <a:spPr>
                      <a:xfrm>
                        <a:off x="7467618" y="642918"/>
                        <a:ext cx="1928826" cy="357190"/>
                      </a:xfrm>
                      <a:prstGeom prst="roundRect">
                        <a:avLst/>
                      </a:prstGeom>
                      <a:solidFill>
                        <a:srgbClr val="E5C757"/>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医院管理</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圆角矩形 23"/>
                      <a:cNvSpPr/>
                    </a:nvSpPr>
                    <a:spPr>
                      <a:xfrm>
                        <a:off x="7467618" y="1285860"/>
                        <a:ext cx="1928826" cy="357190"/>
                      </a:xfrm>
                      <a:prstGeom prst="roundRect">
                        <a:avLst/>
                      </a:prstGeom>
                      <a:solidFill>
                        <a:srgbClr val="E5C757"/>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a:solidFill>
                                <a:schemeClr val="tx1"/>
                              </a:solidFill>
                            </a:rPr>
                            <a:t>用户</a:t>
                          </a:r>
                          <a:r>
                            <a:rPr lang="zh-CN" altLang="en-US" b="1" dirty="0" smtClean="0">
                              <a:solidFill>
                                <a:schemeClr val="tx1"/>
                              </a:solidFill>
                            </a:rPr>
                            <a:t>管理</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圆角矩形 24"/>
                      <a:cNvSpPr/>
                    </a:nvSpPr>
                    <a:spPr>
                      <a:xfrm>
                        <a:off x="7467618" y="4929198"/>
                        <a:ext cx="1928826" cy="357190"/>
                      </a:xfrm>
                      <a:prstGeom prst="roundRect">
                        <a:avLst/>
                      </a:prstGeom>
                      <a:solidFill>
                        <a:srgbClr val="E5C757"/>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数据字典项</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7467618" y="5572140"/>
                        <a:ext cx="1928826" cy="357190"/>
                      </a:xfrm>
                      <a:prstGeom prst="rect">
                        <a:avLst/>
                      </a:prstGeom>
                      <a:gradFill flip="none" rotWithShape="1">
                        <a:gsLst>
                          <a:gs pos="0">
                            <a:schemeClr val="accent3">
                              <a:tint val="66000"/>
                              <a:satMod val="160000"/>
                            </a:schemeClr>
                          </a:gs>
                          <a:gs pos="50000">
                            <a:schemeClr val="accent3">
                              <a:tint val="44500"/>
                              <a:satMod val="160000"/>
                            </a:schemeClr>
                          </a:gs>
                          <a:gs pos="100000">
                            <a:schemeClr val="accent3">
                              <a:tint val="23500"/>
                              <a:satMod val="160000"/>
                            </a:schemeClr>
                          </a:gs>
                        </a:gsLst>
                        <a:lin ang="5400000" scaled="1"/>
                        <a:tileRect/>
                      </a:gra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统计报表系统</a:t>
                          </a:r>
                          <a:endParaRPr lang="zh-CN" altLang="en-US" sz="1600" b="1"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圆角矩形 27"/>
                      <a:cNvSpPr/>
                    </a:nvSpPr>
                    <a:spPr>
                      <a:xfrm>
                        <a:off x="7753370" y="1643050"/>
                        <a:ext cx="1357322"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账号</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圆角矩形 28"/>
                      <a:cNvSpPr/>
                    </a:nvSpPr>
                    <a:spPr>
                      <a:xfrm>
                        <a:off x="7753370" y="2071678"/>
                        <a:ext cx="1357322"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状态</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圆角矩形 29"/>
                      <a:cNvSpPr/>
                    </a:nvSpPr>
                    <a:spPr>
                      <a:xfrm>
                        <a:off x="7753370" y="2500306"/>
                        <a:ext cx="1357322"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签名</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圆角矩形 30"/>
                      <a:cNvSpPr/>
                    </a:nvSpPr>
                    <a:spPr>
                      <a:xfrm>
                        <a:off x="7753370" y="2928934"/>
                        <a:ext cx="1357322"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密码</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圆角矩形 31"/>
                      <a:cNvSpPr/>
                    </a:nvSpPr>
                    <a:spPr>
                      <a:xfrm>
                        <a:off x="7753370" y="3357562"/>
                        <a:ext cx="1357322"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问题反馈</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圆角矩形 32"/>
                      <a:cNvSpPr/>
                    </a:nvSpPr>
                    <a:spPr>
                      <a:xfrm>
                        <a:off x="7753370" y="3786190"/>
                        <a:ext cx="1357322"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使用帮助</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圆角矩形 33"/>
                      <a:cNvSpPr/>
                    </a:nvSpPr>
                    <a:spPr>
                      <a:xfrm>
                        <a:off x="7753370" y="4214818"/>
                        <a:ext cx="1357322"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退出</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圆角矩形 34"/>
                      <a:cNvSpPr/>
                    </a:nvSpPr>
                    <a:spPr>
                      <a:xfrm>
                        <a:off x="0" y="3429000"/>
                        <a:ext cx="2538396" cy="357190"/>
                      </a:xfrm>
                      <a:prstGeom prst="roundRect">
                        <a:avLst/>
                      </a:prstGeom>
                      <a:solidFill>
                        <a:srgbClr val="E5C757"/>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图像处理</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圆角矩形 35"/>
                      <a:cNvSpPr/>
                    </a:nvSpPr>
                    <a:spPr>
                      <a:xfrm>
                        <a:off x="2681272" y="3429000"/>
                        <a:ext cx="2071702" cy="357190"/>
                      </a:xfrm>
                      <a:prstGeom prst="roundRect">
                        <a:avLst/>
                      </a:prstGeom>
                      <a:solidFill>
                        <a:srgbClr val="E5C757"/>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rPr>
                            <a:t>外围系统接口</a:t>
                          </a:r>
                          <a:endParaRPr lang="zh-CN" alt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圆角矩形 36"/>
                      <a:cNvSpPr/>
                    </a:nvSpPr>
                    <a:spPr>
                      <a:xfrm>
                        <a:off x="395256" y="1428736"/>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待办事项</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圆角矩形 37"/>
                      <a:cNvSpPr/>
                    </a:nvSpPr>
                    <a:spPr>
                      <a:xfrm>
                        <a:off x="395256" y="1928802"/>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病例诊断</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圆角矩形 38"/>
                      <a:cNvSpPr/>
                    </a:nvSpPr>
                    <a:spPr>
                      <a:xfrm>
                        <a:off x="395256" y="2428868"/>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病例资料维护</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圆角矩形 39"/>
                      <a:cNvSpPr/>
                    </a:nvSpPr>
                    <a:spPr>
                      <a:xfrm>
                        <a:off x="395256" y="2928934"/>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病例资料查阅</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圆角矩形 41"/>
                      <a:cNvSpPr/>
                    </a:nvSpPr>
                    <a:spPr>
                      <a:xfrm>
                        <a:off x="2752710" y="1000108"/>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文字接口通讯</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圆角矩形 42"/>
                      <a:cNvSpPr/>
                    </a:nvSpPr>
                    <a:spPr>
                      <a:xfrm>
                        <a:off x="2752710" y="1428736"/>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图像接口通讯</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圆角矩形 43"/>
                      <a:cNvSpPr/>
                    </a:nvSpPr>
                    <a:spPr>
                      <a:xfrm>
                        <a:off x="5181602" y="1000108"/>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退回撤销转诊</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圆角矩形 44"/>
                      <a:cNvSpPr/>
                    </a:nvSpPr>
                    <a:spPr>
                      <a:xfrm>
                        <a:off x="5181602" y="1428736"/>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待诊断</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圆角矩形 45"/>
                      <a:cNvSpPr/>
                    </a:nvSpPr>
                    <a:spPr>
                      <a:xfrm>
                        <a:off x="4752974" y="1857364"/>
                        <a:ext cx="2428892"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已诊断</a:t>
                          </a:r>
                          <a:r>
                            <a:rPr lang="en-US" altLang="zh-CN" sz="1600" b="1" dirty="0" smtClean="0">
                              <a:solidFill>
                                <a:schemeClr val="tx1"/>
                              </a:solidFill>
                            </a:rPr>
                            <a:t>(</a:t>
                          </a:r>
                          <a:r>
                            <a:rPr lang="zh-CN" altLang="en-US" sz="1600" b="1" dirty="0" smtClean="0">
                              <a:solidFill>
                                <a:schemeClr val="tx1"/>
                              </a:solidFill>
                            </a:rPr>
                            <a:t>查看</a:t>
                          </a:r>
                          <a:r>
                            <a:rPr lang="en-US" altLang="zh-CN" sz="1600" b="1" dirty="0" smtClean="0">
                              <a:solidFill>
                                <a:schemeClr val="tx1"/>
                              </a:solidFill>
                            </a:rPr>
                            <a:t>/</a:t>
                          </a:r>
                          <a:r>
                            <a:rPr lang="zh-CN" altLang="en-US" sz="1600" b="1" dirty="0" smtClean="0">
                              <a:solidFill>
                                <a:schemeClr val="tx1"/>
                              </a:solidFill>
                            </a:rPr>
                            <a:t>收藏</a:t>
                          </a:r>
                          <a:r>
                            <a:rPr lang="en-US" altLang="zh-CN" sz="1600" b="1" dirty="0" smtClean="0">
                              <a:solidFill>
                                <a:schemeClr val="tx1"/>
                              </a:solidFill>
                            </a:rPr>
                            <a:t>/</a:t>
                          </a:r>
                          <a:r>
                            <a:rPr lang="zh-CN" altLang="en-US" sz="1600" b="1" dirty="0" smtClean="0">
                              <a:solidFill>
                                <a:schemeClr val="tx1"/>
                              </a:solidFill>
                            </a:rPr>
                            <a:t>留言</a:t>
                          </a:r>
                          <a:r>
                            <a:rPr lang="en-US" altLang="zh-CN" sz="1600" b="1" dirty="0" smtClean="0">
                              <a:solidFill>
                                <a:schemeClr val="tx1"/>
                              </a:solidFill>
                            </a:rPr>
                            <a:t>)</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圆角矩形 46"/>
                      <a:cNvSpPr/>
                    </a:nvSpPr>
                    <a:spPr>
                      <a:xfrm>
                        <a:off x="5181602" y="2285992"/>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诊断列表</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圆角矩形 47"/>
                      <a:cNvSpPr/>
                    </a:nvSpPr>
                    <a:spPr>
                      <a:xfrm>
                        <a:off x="5181602" y="2714620"/>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留言</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圆角矩形 48"/>
                      <a:cNvSpPr/>
                    </a:nvSpPr>
                    <a:spPr>
                      <a:xfrm>
                        <a:off x="5181602" y="3143248"/>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查询统计</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圆角矩形 49"/>
                      <a:cNvSpPr/>
                    </a:nvSpPr>
                    <a:spPr>
                      <a:xfrm>
                        <a:off x="180942" y="3786190"/>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标注</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圆角矩形 50"/>
                      <a:cNvSpPr/>
                    </a:nvSpPr>
                    <a:spPr>
                      <a:xfrm>
                        <a:off x="180942" y="4214818"/>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截图</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圆角矩形 51"/>
                      <a:cNvSpPr/>
                    </a:nvSpPr>
                    <a:spPr>
                      <a:xfrm>
                        <a:off x="180942" y="4643446"/>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导航</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圆角矩形 52"/>
                      <a:cNvSpPr/>
                    </a:nvSpPr>
                    <a:spPr>
                      <a:xfrm>
                        <a:off x="180942" y="5072074"/>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图像调节</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圆角矩形 53"/>
                      <a:cNvSpPr/>
                    </a:nvSpPr>
                    <a:spPr>
                      <a:xfrm>
                        <a:off x="180942" y="5500702"/>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缩放比例</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圆角矩形 54"/>
                      <a:cNvSpPr/>
                    </a:nvSpPr>
                    <a:spPr>
                      <a:xfrm>
                        <a:off x="1395388" y="3786190"/>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选项</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圆角矩形 55"/>
                      <a:cNvSpPr/>
                    </a:nvSpPr>
                    <a:spPr>
                      <a:xfrm>
                        <a:off x="1395388" y="4214818"/>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导出</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圆角矩形 56"/>
                      <a:cNvSpPr/>
                    </a:nvSpPr>
                    <a:spPr>
                      <a:xfrm>
                        <a:off x="1395388" y="4643446"/>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移动</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圆角矩形 57"/>
                      <a:cNvSpPr/>
                    </a:nvSpPr>
                    <a:spPr>
                      <a:xfrm>
                        <a:off x="1395388" y="5072074"/>
                        <a:ext cx="1071570"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标签</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圆角矩形 58"/>
                      <a:cNvSpPr/>
                    </a:nvSpPr>
                    <a:spPr>
                      <a:xfrm>
                        <a:off x="2905110" y="3786190"/>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数据存储对接</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圆角矩形 59"/>
                      <a:cNvSpPr/>
                    </a:nvSpPr>
                    <a:spPr>
                      <a:xfrm>
                        <a:off x="2895586" y="4214818"/>
                        <a:ext cx="1571636" cy="357190"/>
                      </a:xfrm>
                      <a:prstGeom prst="roundRect">
                        <a:avLst/>
                      </a:prstGeom>
                      <a:solidFill>
                        <a:srgbClr val="FFFEC6"/>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b="1" dirty="0" smtClean="0">
                              <a:solidFill>
                                <a:schemeClr val="tx1"/>
                              </a:solidFill>
                            </a:rPr>
                            <a:t>服务器管理</a:t>
                          </a:r>
                          <a:endParaRPr lang="zh-CN" alt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C1379" w:rsidRDefault="00AC1379" w:rsidP="00AC1379">
      <w:pPr>
        <w:spacing w:before="100" w:beforeAutospacing="1" w:line="273" w:lineRule="auto"/>
        <w:rPr>
          <w:rFonts w:eastAsia="宋体"/>
          <w:lang w:eastAsia="zh-CN"/>
        </w:rPr>
      </w:pPr>
      <w:r>
        <w:rPr>
          <w:rFonts w:hint="eastAsia"/>
          <w:lang w:eastAsia="zh-CN"/>
        </w:rPr>
        <w:t>系统横向按照用户角色</w:t>
      </w:r>
      <w:r>
        <w:rPr>
          <w:rFonts w:eastAsia="宋体" w:hint="eastAsia"/>
          <w:lang w:eastAsia="zh-CN"/>
        </w:rPr>
        <w:t>来细分，主要是专家医生进后台操作，是一个完整的业务系统；</w:t>
      </w:r>
    </w:p>
    <w:p w:rsidR="00AC1379" w:rsidRDefault="00AC1379" w:rsidP="00AC1379">
      <w:pPr>
        <w:spacing w:before="100" w:beforeAutospacing="1" w:line="273" w:lineRule="auto"/>
        <w:rPr>
          <w:rFonts w:eastAsia="宋体"/>
          <w:lang w:eastAsia="zh-CN"/>
        </w:rPr>
      </w:pPr>
      <w:r>
        <w:rPr>
          <w:rFonts w:eastAsia="宋体" w:hint="eastAsia"/>
          <w:lang w:eastAsia="zh-CN"/>
        </w:rPr>
        <w:t>纵向按照系统功能划分为</w:t>
      </w:r>
      <w:r>
        <w:rPr>
          <w:rFonts w:eastAsia="宋体" w:hint="eastAsia"/>
          <w:lang w:eastAsia="zh-CN"/>
        </w:rPr>
        <w:t>6</w:t>
      </w:r>
      <w:r>
        <w:rPr>
          <w:rFonts w:eastAsia="宋体" w:hint="eastAsia"/>
          <w:lang w:eastAsia="zh-CN"/>
        </w:rPr>
        <w:t>块，包括：专家管理、远程会诊传输、远程会诊流程、图像处理、外围系统接口以及公用子系统</w:t>
      </w:r>
      <w:r>
        <w:rPr>
          <w:rFonts w:eastAsia="宋体" w:hint="eastAsia"/>
          <w:lang w:eastAsia="zh-CN"/>
        </w:rPr>
        <w:t>6</w:t>
      </w:r>
      <w:r>
        <w:rPr>
          <w:rFonts w:eastAsia="宋体" w:hint="eastAsia"/>
          <w:lang w:eastAsia="zh-CN"/>
        </w:rPr>
        <w:t>个子模块系统；</w:t>
      </w:r>
    </w:p>
    <w:p w:rsidR="00AC1379" w:rsidRDefault="00AC1379" w:rsidP="00AC1379">
      <w:pPr>
        <w:rPr>
          <w:lang w:eastAsia="zh-CN"/>
        </w:rPr>
      </w:pPr>
      <w:r>
        <w:rPr>
          <w:rFonts w:hint="eastAsia"/>
          <w:lang w:eastAsia="zh-CN"/>
        </w:rPr>
        <w:t>底层采用技术引擎模块，对各业务模块进行支撑；</w:t>
      </w:r>
    </w:p>
    <w:p w:rsidR="00AC1379" w:rsidRDefault="00AC1379" w:rsidP="00AC1379">
      <w:pPr>
        <w:rPr>
          <w:rFonts w:eastAsia="宋体"/>
          <w:lang w:eastAsia="zh-CN"/>
        </w:rPr>
      </w:pPr>
      <w:r>
        <w:rPr>
          <w:rFonts w:hint="eastAsia"/>
          <w:lang w:eastAsia="zh-CN"/>
        </w:rPr>
        <w:t>绿色字体部分</w:t>
      </w:r>
      <w:r>
        <w:rPr>
          <w:rFonts w:eastAsia="宋体" w:hint="eastAsia"/>
          <w:lang w:eastAsia="zh-CN"/>
        </w:rPr>
        <w:t>非</w:t>
      </w:r>
      <w:r>
        <w:rPr>
          <w:rFonts w:hint="eastAsia"/>
          <w:lang w:eastAsia="zh-CN"/>
        </w:rPr>
        <w:t>本项目研发的范围</w:t>
      </w:r>
      <w:r>
        <w:rPr>
          <w:rFonts w:eastAsia="宋体" w:hint="eastAsia"/>
          <w:lang w:eastAsia="zh-CN"/>
        </w:rPr>
        <w:t>，未来可能扩展会有涉及到。</w:t>
      </w:r>
    </w:p>
    <w:p w:rsidR="00AC1379" w:rsidRDefault="00AC1379" w:rsidP="00AC1379">
      <w:pPr>
        <w:spacing w:before="100" w:beforeAutospacing="1" w:line="273" w:lineRule="auto"/>
        <w:rPr>
          <w:rFonts w:eastAsia="宋体" w:hint="eastAsia"/>
          <w:lang w:eastAsia="zh-CN"/>
        </w:rPr>
      </w:pPr>
    </w:p>
    <w:p w:rsidR="00AC1379" w:rsidRDefault="00EC6512" w:rsidP="00AC1379">
      <w:pPr>
        <w:spacing w:before="100" w:beforeAutospacing="1" w:line="273" w:lineRule="auto"/>
        <w:rPr>
          <w:rFonts w:eastAsia="宋体"/>
          <w:b/>
          <w:bCs/>
          <w:lang w:eastAsia="zh-CN"/>
        </w:rPr>
      </w:pPr>
      <w:bookmarkStart w:id="2" w:name="OLE_LINK65"/>
      <w:r>
        <w:rPr>
          <w:rFonts w:eastAsia="宋体" w:hint="eastAsia"/>
          <w:b/>
          <w:bCs/>
          <w:lang w:eastAsia="zh-CN"/>
        </w:rPr>
        <w:t>四、</w:t>
      </w:r>
      <w:r w:rsidR="00AC1379">
        <w:rPr>
          <w:rFonts w:eastAsia="宋体" w:hint="eastAsia"/>
          <w:b/>
          <w:bCs/>
          <w:lang w:eastAsia="zh-CN"/>
        </w:rPr>
        <w:t>网络架构示意图</w:t>
      </w:r>
    </w:p>
    <w:bookmarkEnd w:id="2"/>
    <w:p w:rsidR="00AC1379" w:rsidRDefault="00AC1379" w:rsidP="00AC1379">
      <w:pPr>
        <w:spacing w:before="100" w:beforeAutospacing="1" w:line="273" w:lineRule="auto"/>
        <w:rPr>
          <w:rFonts w:eastAsia="宋体"/>
          <w:lang w:eastAsia="zh-CN"/>
        </w:rPr>
      </w:pPr>
      <w:r w:rsidRPr="006F34DD">
        <w:rPr>
          <w:rFonts w:eastAsia="宋体" w:hint="eastAsia"/>
          <w:lang w:eastAsia="zh-CN"/>
        </w:rPr>
        <w:object w:dxaOrig="21741" w:dyaOrig="14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1" o:spid="_x0000_i1025" type="#_x0000_t75" style="width:478.5pt;height:312pt" o:ole="">
            <v:imagedata r:id="rId7" o:title=""/>
          </v:shape>
          <o:OLEObject Type="Embed" ProgID="Visio.Drawing.15" ShapeID="对象 11" DrawAspect="Content" ObjectID="_1556882049" r:id="rId8">
            <o:FieldCodes>\* MERGEFORMAT</o:FieldCodes>
          </o:OLEObject>
        </w:object>
      </w:r>
    </w:p>
    <w:p w:rsidR="00AC1379" w:rsidRDefault="00AC1379" w:rsidP="00AC1379">
      <w:pPr>
        <w:rPr>
          <w:lang w:eastAsia="zh-CN"/>
        </w:rPr>
      </w:pPr>
      <w:r>
        <w:rPr>
          <w:rFonts w:hint="eastAsia"/>
          <w:lang w:eastAsia="zh-CN"/>
        </w:rPr>
        <w:t>整个系统运行于局域网内，通过组建局域网不同的域，达到提供业务服务、保证安全的目的；</w:t>
      </w:r>
    </w:p>
    <w:p w:rsidR="00AC1379" w:rsidRDefault="00AC1379" w:rsidP="00AC1379">
      <w:pPr>
        <w:rPr>
          <w:lang w:eastAsia="zh-CN"/>
        </w:rPr>
      </w:pPr>
      <w:r>
        <w:rPr>
          <w:rFonts w:hint="eastAsia"/>
          <w:lang w:eastAsia="zh-CN"/>
        </w:rPr>
        <w:t>客户域：客户通过办公电脑通过局域网接入后台服务；</w:t>
      </w:r>
    </w:p>
    <w:p w:rsidR="00AC1379" w:rsidRDefault="00AC1379" w:rsidP="00AC1379">
      <w:pPr>
        <w:rPr>
          <w:lang w:eastAsia="zh-CN"/>
        </w:rPr>
      </w:pPr>
      <w:r>
        <w:rPr>
          <w:rFonts w:hint="eastAsia"/>
          <w:lang w:eastAsia="zh-CN"/>
        </w:rPr>
        <w:t>服务域：两台应用服务器互备，通过指定的端口号局域网办公电脑提供HTTP服务；服务器安装</w:t>
      </w:r>
      <w:r>
        <w:rPr>
          <w:rFonts w:eastAsia="宋体" w:hint="eastAsia"/>
          <w:lang w:eastAsia="zh-CN"/>
        </w:rPr>
        <w:t>Tomcat</w:t>
      </w:r>
      <w:r>
        <w:rPr>
          <w:rFonts w:eastAsia="宋体" w:hint="eastAsia"/>
          <w:lang w:eastAsia="zh-CN"/>
        </w:rPr>
        <w:t>、</w:t>
      </w:r>
      <w:r>
        <w:rPr>
          <w:rFonts w:hint="eastAsia"/>
          <w:lang w:eastAsia="zh-CN"/>
        </w:rPr>
        <w:t>WAS、</w:t>
      </w:r>
      <w:proofErr w:type="spellStart"/>
      <w:r>
        <w:rPr>
          <w:rFonts w:hint="eastAsia"/>
          <w:lang w:eastAsia="zh-CN"/>
        </w:rPr>
        <w:t>Weblogic</w:t>
      </w:r>
      <w:proofErr w:type="spellEnd"/>
      <w:r>
        <w:rPr>
          <w:rFonts w:hint="eastAsia"/>
          <w:lang w:eastAsia="zh-CN"/>
        </w:rPr>
        <w:t>等web容器，提供web服务，同时安装系统的后台web服务系统，提供客户端业务服务；</w:t>
      </w:r>
    </w:p>
    <w:p w:rsidR="00AC1379" w:rsidRDefault="00AC1379" w:rsidP="00AC1379">
      <w:pPr>
        <w:rPr>
          <w:lang w:eastAsia="zh-CN"/>
        </w:rPr>
      </w:pPr>
      <w:r>
        <w:rPr>
          <w:rFonts w:hint="eastAsia"/>
          <w:lang w:eastAsia="zh-CN"/>
        </w:rPr>
        <w:t>数据域：两台数据库服务器热备，承载系统的数据存放服务；数据库支持Oracle10g，oracle11g，</w:t>
      </w:r>
      <w:r>
        <w:rPr>
          <w:rFonts w:eastAsia="宋体" w:hint="eastAsia"/>
          <w:lang w:eastAsia="zh-CN"/>
        </w:rPr>
        <w:t>MSSQL200X</w:t>
      </w:r>
      <w:r>
        <w:rPr>
          <w:rFonts w:eastAsia="宋体" w:hint="eastAsia"/>
          <w:lang w:eastAsia="zh-CN"/>
        </w:rPr>
        <w:t>、</w:t>
      </w:r>
      <w:r>
        <w:rPr>
          <w:rFonts w:eastAsia="宋体" w:hint="eastAsia"/>
          <w:lang w:eastAsia="zh-CN"/>
        </w:rPr>
        <w:t>MYSQL5+</w:t>
      </w:r>
      <w:r>
        <w:rPr>
          <w:rFonts w:eastAsia="宋体" w:hint="eastAsia"/>
          <w:lang w:eastAsia="zh-CN"/>
        </w:rPr>
        <w:t>、</w:t>
      </w:r>
      <w:r w:rsidR="006E7929">
        <w:rPr>
          <w:rFonts w:eastAsia="宋体" w:hint="eastAsia"/>
          <w:lang w:eastAsia="zh-CN"/>
        </w:rPr>
        <w:t>D</w:t>
      </w:r>
      <w:r>
        <w:rPr>
          <w:rFonts w:hint="eastAsia"/>
          <w:lang w:eastAsia="zh-CN"/>
        </w:rPr>
        <w:t>B2数据库；</w:t>
      </w:r>
    </w:p>
    <w:p w:rsidR="00AC1379" w:rsidRDefault="00AC1379" w:rsidP="00AC1379">
      <w:pPr>
        <w:rPr>
          <w:lang w:eastAsia="zh-CN"/>
        </w:rPr>
      </w:pPr>
      <w:r>
        <w:rPr>
          <w:rFonts w:hint="eastAsia"/>
          <w:lang w:eastAsia="zh-CN"/>
        </w:rPr>
        <w:t>在条件允许的情况下，可以通过负载均衡设备，对应用服务器提供负载均衡、应用服务器热备部署，在一台服务器出现故障的情况下，客户端的请求可以无缝切换到另外一台应用服务器上，有效提供流畅的和稳定的网络服务。</w:t>
      </w:r>
    </w:p>
    <w:p w:rsidR="00AC1379" w:rsidRDefault="00AC1379" w:rsidP="00AC1379">
      <w:pPr>
        <w:spacing w:before="100" w:beforeAutospacing="1" w:line="273" w:lineRule="auto"/>
        <w:rPr>
          <w:lang w:eastAsia="zh-CN"/>
        </w:rPr>
      </w:pPr>
    </w:p>
    <w:p w:rsidR="00AC1379" w:rsidRDefault="00AC1379" w:rsidP="00AC1379">
      <w:pPr>
        <w:spacing w:before="100" w:beforeAutospacing="1" w:line="273" w:lineRule="auto"/>
        <w:rPr>
          <w:lang w:eastAsia="zh-CN"/>
        </w:rPr>
      </w:pPr>
    </w:p>
    <w:p w:rsidR="00AC1379" w:rsidRDefault="00AC1379">
      <w:pPr>
        <w:widowControl/>
        <w:spacing w:after="0" w:line="240" w:lineRule="auto"/>
        <w:rPr>
          <w:lang w:eastAsia="zh-CN"/>
        </w:rPr>
      </w:pPr>
      <w:r>
        <w:rPr>
          <w:lang w:eastAsia="zh-CN"/>
        </w:rPr>
        <w:br w:type="page"/>
      </w:r>
    </w:p>
    <w:p w:rsidR="00AC1379" w:rsidRDefault="00AC1379" w:rsidP="00AC1379">
      <w:pPr>
        <w:spacing w:before="100" w:beforeAutospacing="1" w:line="273" w:lineRule="auto"/>
        <w:rPr>
          <w:lang w:eastAsia="zh-CN"/>
        </w:rPr>
      </w:pPr>
    </w:p>
    <w:p w:rsidR="00AC1379" w:rsidRDefault="00EC6512" w:rsidP="00AC1379">
      <w:pPr>
        <w:spacing w:before="100" w:beforeAutospacing="1" w:line="273" w:lineRule="auto"/>
        <w:rPr>
          <w:rFonts w:eastAsia="宋体"/>
          <w:b/>
          <w:bCs/>
          <w:lang w:eastAsia="zh-CN"/>
        </w:rPr>
      </w:pPr>
      <w:r>
        <w:rPr>
          <w:rFonts w:eastAsia="宋体" w:hint="eastAsia"/>
          <w:b/>
          <w:bCs/>
          <w:lang w:eastAsia="zh-CN"/>
        </w:rPr>
        <w:t>五、</w:t>
      </w:r>
      <w:r w:rsidR="00AC1379">
        <w:rPr>
          <w:rFonts w:eastAsia="宋体" w:hint="eastAsia"/>
          <w:b/>
          <w:bCs/>
          <w:lang w:eastAsia="zh-CN"/>
        </w:rPr>
        <w:t xml:space="preserve"> </w:t>
      </w:r>
      <w:r w:rsidR="00AC1379">
        <w:rPr>
          <w:rFonts w:eastAsia="宋体" w:hint="eastAsia"/>
          <w:b/>
          <w:bCs/>
          <w:lang w:eastAsia="zh-CN"/>
        </w:rPr>
        <w:t>业务流程</w:t>
      </w:r>
    </w:p>
    <w:p w:rsidR="00AC1379" w:rsidRDefault="00AC1379" w:rsidP="00AC1379">
      <w:pPr>
        <w:spacing w:before="100" w:beforeAutospacing="1" w:line="273" w:lineRule="auto"/>
        <w:rPr>
          <w:rFonts w:eastAsia="宋体"/>
          <w:b/>
          <w:bCs/>
          <w:lang w:eastAsia="zh-CN"/>
        </w:rPr>
      </w:pPr>
      <w:r>
        <w:rPr>
          <w:rFonts w:eastAsia="宋体" w:hint="eastAsia"/>
          <w:b/>
          <w:bCs/>
          <w:lang w:eastAsia="zh-CN"/>
        </w:rPr>
        <w:t xml:space="preserve">5.1 </w:t>
      </w:r>
      <w:r>
        <w:rPr>
          <w:rFonts w:eastAsia="宋体" w:hint="eastAsia"/>
          <w:b/>
          <w:bCs/>
          <w:lang w:eastAsia="zh-CN"/>
        </w:rPr>
        <w:t>业务流程</w:t>
      </w:r>
    </w:p>
    <w:p w:rsidR="00AC1379" w:rsidRDefault="00AC1379" w:rsidP="00AC1379">
      <w:pPr>
        <w:spacing w:before="100" w:beforeAutospacing="1" w:line="273" w:lineRule="auto"/>
        <w:rPr>
          <w:rFonts w:eastAsia="宋体"/>
          <w:b/>
          <w:bCs/>
          <w:lang w:eastAsia="zh-CN"/>
        </w:rPr>
      </w:pPr>
      <w:r>
        <w:rPr>
          <w:noProof/>
          <w:lang w:eastAsia="zh-CN"/>
        </w:rPr>
        <w:drawing>
          <wp:inline distT="0" distB="0" distL="0" distR="0">
            <wp:extent cx="5086350" cy="3067050"/>
            <wp:effectExtent l="1905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9"/>
                    <a:srcRect/>
                    <a:stretch>
                      <a:fillRect/>
                    </a:stretch>
                  </pic:blipFill>
                  <pic:spPr bwMode="auto">
                    <a:xfrm>
                      <a:off x="0" y="0"/>
                      <a:ext cx="5086350" cy="3067050"/>
                    </a:xfrm>
                    <a:prstGeom prst="rect">
                      <a:avLst/>
                    </a:prstGeom>
                    <a:noFill/>
                    <a:ln w="9525" cmpd="sng">
                      <a:noFill/>
                      <a:miter lim="800000"/>
                      <a:headEnd/>
                      <a:tailEnd/>
                    </a:ln>
                  </pic:spPr>
                </pic:pic>
              </a:graphicData>
            </a:graphic>
          </wp:inline>
        </w:drawing>
      </w:r>
    </w:p>
    <w:p w:rsidR="00AC1379" w:rsidRDefault="00AC1379" w:rsidP="00AC1379">
      <w:pPr>
        <w:spacing w:before="100" w:beforeAutospacing="1" w:line="273" w:lineRule="auto"/>
        <w:rPr>
          <w:rFonts w:eastAsia="宋体"/>
          <w:b/>
          <w:bCs/>
          <w:lang w:eastAsia="zh-CN"/>
        </w:rPr>
      </w:pPr>
      <w:r>
        <w:rPr>
          <w:rFonts w:eastAsia="宋体" w:hint="eastAsia"/>
          <w:b/>
          <w:bCs/>
          <w:lang w:eastAsia="zh-CN"/>
        </w:rPr>
        <w:t xml:space="preserve">5.2 </w:t>
      </w:r>
      <w:r w:rsidR="009A5D96">
        <w:rPr>
          <w:rFonts w:eastAsia="宋体" w:hint="eastAsia"/>
          <w:b/>
          <w:bCs/>
          <w:lang w:eastAsia="zh-CN"/>
        </w:rPr>
        <w:t>上传数据数据流转</w:t>
      </w:r>
    </w:p>
    <w:p w:rsidR="00AC1379" w:rsidRDefault="009A5D96" w:rsidP="00AC1379">
      <w:pPr>
        <w:spacing w:before="100" w:beforeAutospacing="1" w:line="273" w:lineRule="auto"/>
        <w:rPr>
          <w:rFonts w:eastAsia="宋体"/>
          <w:b/>
          <w:bCs/>
          <w:lang w:eastAsia="zh-CN"/>
        </w:rPr>
      </w:pPr>
      <w:r>
        <w:object w:dxaOrig="9596" w:dyaOrig="8073">
          <v:shape id="_x0000_i1026" type="#_x0000_t75" style="width:429.75pt;height:315.75pt" o:ole="">
            <v:imagedata r:id="rId10" o:title=""/>
          </v:shape>
          <o:OLEObject Type="Embed" ProgID="Visio.Drawing.11" ShapeID="_x0000_i1026" DrawAspect="Content" ObjectID="_1556882050" r:id="rId11"/>
        </w:object>
      </w:r>
    </w:p>
    <w:p w:rsidR="00AC1379" w:rsidRDefault="00AC1379" w:rsidP="00AC1379">
      <w:pPr>
        <w:spacing w:before="100" w:beforeAutospacing="1" w:line="273" w:lineRule="auto"/>
        <w:rPr>
          <w:rFonts w:eastAsia="宋体"/>
          <w:sz w:val="20"/>
          <w:szCs w:val="20"/>
          <w:lang w:eastAsia="zh-CN"/>
        </w:rPr>
      </w:pPr>
    </w:p>
    <w:p w:rsidR="00AC1379" w:rsidRDefault="009A5D96" w:rsidP="00AC1379">
      <w:pPr>
        <w:spacing w:before="100" w:beforeAutospacing="1" w:line="273" w:lineRule="auto"/>
        <w:rPr>
          <w:rFonts w:eastAsia="宋体"/>
          <w:sz w:val="20"/>
          <w:szCs w:val="20"/>
          <w:lang w:eastAsia="zh-CN"/>
        </w:rPr>
      </w:pPr>
      <w:r>
        <w:rPr>
          <w:rFonts w:eastAsia="宋体" w:hint="eastAsia"/>
          <w:b/>
          <w:bCs/>
          <w:sz w:val="20"/>
          <w:szCs w:val="20"/>
          <w:lang w:eastAsia="zh-CN"/>
        </w:rPr>
        <w:lastRenderedPageBreak/>
        <w:t>说明</w:t>
      </w:r>
      <w:r w:rsidR="00AC1379">
        <w:rPr>
          <w:rFonts w:eastAsia="宋体" w:hint="eastAsia"/>
          <w:sz w:val="20"/>
          <w:szCs w:val="20"/>
          <w:lang w:eastAsia="zh-CN"/>
        </w:rPr>
        <w:t>：</w:t>
      </w:r>
      <w:r w:rsidR="00AC1379">
        <w:rPr>
          <w:rFonts w:eastAsia="宋体" w:hint="eastAsia"/>
          <w:sz w:val="20"/>
          <w:szCs w:val="20"/>
          <w:lang w:eastAsia="zh-CN"/>
        </w:rPr>
        <w:t xml:space="preserve"> </w:t>
      </w:r>
    </w:p>
    <w:p w:rsidR="00AC1379" w:rsidRPr="009A5D96" w:rsidRDefault="009A5D96" w:rsidP="009A5D96">
      <w:pPr>
        <w:pStyle w:val="a9"/>
        <w:numPr>
          <w:ilvl w:val="0"/>
          <w:numId w:val="3"/>
        </w:numPr>
        <w:spacing w:before="100" w:beforeAutospacing="1" w:line="273" w:lineRule="auto"/>
        <w:ind w:firstLineChars="0"/>
        <w:rPr>
          <w:rFonts w:eastAsia="宋体"/>
          <w:sz w:val="20"/>
          <w:szCs w:val="20"/>
          <w:lang w:eastAsia="zh-CN"/>
        </w:rPr>
      </w:pPr>
      <w:bookmarkStart w:id="3" w:name="OLE_LINK66"/>
      <w:r w:rsidRPr="009A5D96">
        <w:rPr>
          <w:rFonts w:eastAsia="宋体" w:hint="eastAsia"/>
          <w:sz w:val="20"/>
          <w:szCs w:val="20"/>
          <w:lang w:eastAsia="zh-CN"/>
        </w:rPr>
        <w:t>下级</w:t>
      </w:r>
      <w:r w:rsidR="00AC1379" w:rsidRPr="009A5D96">
        <w:rPr>
          <w:rFonts w:eastAsia="宋体" w:hint="eastAsia"/>
          <w:sz w:val="20"/>
          <w:szCs w:val="20"/>
          <w:lang w:eastAsia="zh-CN"/>
        </w:rPr>
        <w:t>医院</w:t>
      </w:r>
      <w:r w:rsidRPr="009A5D96">
        <w:rPr>
          <w:rFonts w:eastAsia="宋体" w:hint="eastAsia"/>
          <w:sz w:val="20"/>
          <w:szCs w:val="20"/>
          <w:lang w:eastAsia="zh-CN"/>
        </w:rPr>
        <w:t>通过</w:t>
      </w:r>
      <w:r w:rsidRPr="009A5D96">
        <w:rPr>
          <w:rFonts w:eastAsia="宋体" w:hint="eastAsia"/>
          <w:sz w:val="20"/>
          <w:szCs w:val="20"/>
          <w:lang w:eastAsia="zh-CN"/>
        </w:rPr>
        <w:t>socket</w:t>
      </w:r>
      <w:r w:rsidRPr="009A5D96">
        <w:rPr>
          <w:rFonts w:eastAsia="宋体" w:hint="eastAsia"/>
          <w:sz w:val="20"/>
          <w:szCs w:val="20"/>
          <w:lang w:eastAsia="zh-CN"/>
        </w:rPr>
        <w:t>和专有数据协议</w:t>
      </w:r>
      <w:r w:rsidR="00AC1379" w:rsidRPr="009A5D96">
        <w:rPr>
          <w:rFonts w:eastAsia="宋体" w:hint="eastAsia"/>
          <w:sz w:val="20"/>
          <w:szCs w:val="20"/>
          <w:lang w:eastAsia="zh-CN"/>
        </w:rPr>
        <w:t>发送检查数据至</w:t>
      </w:r>
      <w:bookmarkEnd w:id="3"/>
      <w:r w:rsidRPr="009A5D96">
        <w:rPr>
          <w:rFonts w:eastAsia="宋体" w:hint="eastAsia"/>
          <w:sz w:val="20"/>
          <w:szCs w:val="20"/>
          <w:lang w:eastAsia="zh-CN"/>
        </w:rPr>
        <w:t>当地三级医院病理服务器</w:t>
      </w:r>
      <w:r w:rsidR="00AC1379" w:rsidRPr="009A5D96">
        <w:rPr>
          <w:rFonts w:eastAsia="宋体" w:hint="eastAsia"/>
          <w:sz w:val="20"/>
          <w:szCs w:val="20"/>
          <w:lang w:eastAsia="zh-CN"/>
        </w:rPr>
        <w:t>，</w:t>
      </w:r>
      <w:r w:rsidRPr="009A5D96">
        <w:rPr>
          <w:rFonts w:eastAsia="宋体" w:hint="eastAsia"/>
          <w:sz w:val="20"/>
          <w:szCs w:val="20"/>
          <w:lang w:eastAsia="zh-CN"/>
        </w:rPr>
        <w:t>三级医院病理服务器</w:t>
      </w:r>
      <w:r w:rsidR="00AC1379" w:rsidRPr="009A5D96">
        <w:rPr>
          <w:rFonts w:eastAsia="宋体" w:hint="eastAsia"/>
          <w:sz w:val="20"/>
          <w:szCs w:val="20"/>
          <w:lang w:eastAsia="zh-CN"/>
        </w:rPr>
        <w:t>经过初步验证、处理后，确认是有效数据，</w:t>
      </w:r>
      <w:r w:rsidRPr="009A5D96">
        <w:rPr>
          <w:rFonts w:eastAsia="宋体" w:hint="eastAsia"/>
          <w:sz w:val="20"/>
          <w:szCs w:val="20"/>
          <w:lang w:eastAsia="zh-CN"/>
        </w:rPr>
        <w:t>本地存储并</w:t>
      </w:r>
      <w:r w:rsidR="00AC1379" w:rsidRPr="009A5D96">
        <w:rPr>
          <w:rFonts w:eastAsia="宋体" w:hint="eastAsia"/>
          <w:sz w:val="20"/>
          <w:szCs w:val="20"/>
          <w:lang w:eastAsia="zh-CN"/>
        </w:rPr>
        <w:t>开启子线程</w:t>
      </w:r>
      <w:r w:rsidRPr="009A5D96">
        <w:rPr>
          <w:rFonts w:eastAsia="宋体" w:hint="eastAsia"/>
          <w:sz w:val="20"/>
          <w:szCs w:val="20"/>
          <w:lang w:eastAsia="zh-CN"/>
        </w:rPr>
        <w:t>将本数据发送到病理会诊平台</w:t>
      </w:r>
      <w:r>
        <w:rPr>
          <w:rFonts w:eastAsia="宋体" w:hint="eastAsia"/>
          <w:sz w:val="20"/>
          <w:szCs w:val="20"/>
          <w:lang w:eastAsia="zh-CN"/>
        </w:rPr>
        <w:t>。</w:t>
      </w:r>
    </w:p>
    <w:p w:rsidR="00AC1379" w:rsidRDefault="00AC1379" w:rsidP="00AC1379">
      <w:pPr>
        <w:spacing w:before="100" w:beforeAutospacing="1" w:line="273" w:lineRule="auto"/>
        <w:rPr>
          <w:rFonts w:eastAsia="宋体"/>
          <w:b/>
          <w:bCs/>
          <w:lang w:eastAsia="zh-CN"/>
        </w:rPr>
      </w:pPr>
      <w:r>
        <w:rPr>
          <w:rFonts w:eastAsia="宋体" w:hint="eastAsia"/>
          <w:b/>
          <w:bCs/>
          <w:lang w:eastAsia="zh-CN"/>
        </w:rPr>
        <w:t xml:space="preserve">5.3 </w:t>
      </w:r>
      <w:r w:rsidR="009A5D96">
        <w:rPr>
          <w:rFonts w:eastAsia="宋体" w:hint="eastAsia"/>
          <w:b/>
          <w:bCs/>
          <w:lang w:eastAsia="zh-CN"/>
        </w:rPr>
        <w:t>专家会诊数据流转</w:t>
      </w:r>
    </w:p>
    <w:p w:rsidR="00AC1379" w:rsidRDefault="009A5D96" w:rsidP="00AC1379">
      <w:pPr>
        <w:spacing w:before="100" w:beforeAutospacing="1" w:line="273" w:lineRule="auto"/>
        <w:rPr>
          <w:lang w:eastAsia="zh-CN"/>
        </w:rPr>
      </w:pPr>
      <w:r>
        <w:object w:dxaOrig="8215" w:dyaOrig="7676">
          <v:shape id="_x0000_i1027" type="#_x0000_t75" style="width:411pt;height:303.75pt" o:ole="">
            <v:imagedata r:id="rId12" o:title=""/>
          </v:shape>
          <o:OLEObject Type="Embed" ProgID="Visio.Drawing.11" ShapeID="_x0000_i1027" DrawAspect="Content" ObjectID="_1556882051" r:id="rId13"/>
        </w:object>
      </w:r>
    </w:p>
    <w:p w:rsidR="00073FFA" w:rsidRPr="00AC1379" w:rsidRDefault="001B6040">
      <w:pPr>
        <w:rPr>
          <w:rFonts w:eastAsiaTheme="minorEastAsia"/>
          <w:lang w:eastAsia="zh-CN"/>
        </w:rPr>
      </w:pPr>
    </w:p>
    <w:sectPr w:rsidR="00073FFA" w:rsidRPr="00AC1379" w:rsidSect="00AC1379">
      <w:headerReference w:type="default" r:id="rId14"/>
      <w:footerReference w:type="default" r:id="rId15"/>
      <w:pgSz w:w="11920" w:h="16840"/>
      <w:pgMar w:top="1120" w:right="1660" w:bottom="1180" w:left="1660" w:header="882"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040" w:rsidRDefault="001B6040" w:rsidP="006F34DD">
      <w:pPr>
        <w:spacing w:after="0" w:line="240" w:lineRule="auto"/>
      </w:pPr>
      <w:r>
        <w:separator/>
      </w:r>
    </w:p>
  </w:endnote>
  <w:endnote w:type="continuationSeparator" w:id="0">
    <w:p w:rsidR="001B6040" w:rsidRDefault="001B6040" w:rsidP="006F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4DD" w:rsidRDefault="006F34DD">
    <w:pPr>
      <w:spacing w:after="0"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040" w:rsidRDefault="001B6040" w:rsidP="006F34DD">
      <w:pPr>
        <w:spacing w:after="0" w:line="240" w:lineRule="auto"/>
      </w:pPr>
      <w:r>
        <w:separator/>
      </w:r>
    </w:p>
  </w:footnote>
  <w:footnote w:type="continuationSeparator" w:id="0">
    <w:p w:rsidR="001B6040" w:rsidRDefault="001B6040" w:rsidP="006F3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4DD" w:rsidRDefault="006F34DD">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37B6"/>
    <w:multiLevelType w:val="hybridMultilevel"/>
    <w:tmpl w:val="0E04F1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1498DE"/>
    <w:multiLevelType w:val="singleLevel"/>
    <w:tmpl w:val="591498DE"/>
    <w:lvl w:ilvl="0">
      <w:start w:val="1"/>
      <w:numFmt w:val="decimal"/>
      <w:suff w:val="space"/>
      <w:lvlText w:val="%1."/>
      <w:lvlJc w:val="left"/>
    </w:lvl>
  </w:abstractNum>
  <w:abstractNum w:abstractNumId="2" w15:restartNumberingAfterBreak="0">
    <w:nsid w:val="59149CBF"/>
    <w:multiLevelType w:val="singleLevel"/>
    <w:tmpl w:val="59149CBF"/>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1379"/>
    <w:rsid w:val="0002116A"/>
    <w:rsid w:val="001B6040"/>
    <w:rsid w:val="00225828"/>
    <w:rsid w:val="003029D5"/>
    <w:rsid w:val="0057489D"/>
    <w:rsid w:val="005A7CD8"/>
    <w:rsid w:val="006314A8"/>
    <w:rsid w:val="006E7929"/>
    <w:rsid w:val="006F34DD"/>
    <w:rsid w:val="007533C5"/>
    <w:rsid w:val="008307D3"/>
    <w:rsid w:val="009A5D96"/>
    <w:rsid w:val="00A73A1E"/>
    <w:rsid w:val="00AC1379"/>
    <w:rsid w:val="00B40779"/>
    <w:rsid w:val="00B908CC"/>
    <w:rsid w:val="00C413E8"/>
    <w:rsid w:val="00C448A9"/>
    <w:rsid w:val="00D81EE9"/>
    <w:rsid w:val="00DE2CE6"/>
    <w:rsid w:val="00EC6512"/>
    <w:rsid w:val="00EE3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3CB52"/>
  <w15:docId w15:val="{2CC71BF7-D0CF-4E9B-85B8-9FD4A00E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1379"/>
    <w:pPr>
      <w:widowControl w:val="0"/>
      <w:spacing w:after="200" w:line="276" w:lineRule="auto"/>
    </w:pPr>
    <w:rPr>
      <w:rFonts w:ascii="Calibri" w:eastAsia="Calibri"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31">
    <w:name w:val="font31"/>
    <w:basedOn w:val="a0"/>
    <w:qFormat/>
    <w:rsid w:val="00AC1379"/>
    <w:rPr>
      <w:rFonts w:ascii="宋体" w:eastAsia="宋体" w:hAnsi="宋体" w:cs="宋体" w:hint="eastAsia"/>
      <w:color w:val="000000"/>
      <w:sz w:val="20"/>
      <w:szCs w:val="20"/>
      <w:u w:val="none"/>
    </w:rPr>
  </w:style>
  <w:style w:type="character" w:customStyle="1" w:styleId="font11">
    <w:name w:val="font11"/>
    <w:basedOn w:val="a0"/>
    <w:qFormat/>
    <w:rsid w:val="00AC1379"/>
    <w:rPr>
      <w:rFonts w:ascii="MS PGothic" w:eastAsia="MS PGothic" w:hAnsi="MS PGothic" w:cs="MS PGothic" w:hint="eastAsia"/>
      <w:color w:val="000000"/>
      <w:sz w:val="20"/>
      <w:szCs w:val="20"/>
      <w:u w:val="none"/>
    </w:rPr>
  </w:style>
  <w:style w:type="paragraph" w:styleId="a3">
    <w:name w:val="Balloon Text"/>
    <w:basedOn w:val="a"/>
    <w:link w:val="a4"/>
    <w:uiPriority w:val="99"/>
    <w:semiHidden/>
    <w:unhideWhenUsed/>
    <w:rsid w:val="00AC1379"/>
    <w:pPr>
      <w:spacing w:after="0" w:line="240" w:lineRule="auto"/>
    </w:pPr>
    <w:rPr>
      <w:sz w:val="18"/>
      <w:szCs w:val="18"/>
    </w:rPr>
  </w:style>
  <w:style w:type="character" w:customStyle="1" w:styleId="a4">
    <w:name w:val="批注框文本 字符"/>
    <w:basedOn w:val="a0"/>
    <w:link w:val="a3"/>
    <w:uiPriority w:val="99"/>
    <w:semiHidden/>
    <w:rsid w:val="00AC1379"/>
    <w:rPr>
      <w:rFonts w:ascii="Calibri" w:eastAsia="Calibri" w:hAnsi="Calibri" w:cs="Times New Roman"/>
      <w:kern w:val="0"/>
      <w:sz w:val="18"/>
      <w:szCs w:val="18"/>
      <w:lang w:eastAsia="en-US"/>
    </w:rPr>
  </w:style>
  <w:style w:type="paragraph" w:styleId="a5">
    <w:name w:val="header"/>
    <w:basedOn w:val="a"/>
    <w:link w:val="a6"/>
    <w:uiPriority w:val="99"/>
    <w:semiHidden/>
    <w:unhideWhenUsed/>
    <w:rsid w:val="008307D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semiHidden/>
    <w:rsid w:val="008307D3"/>
    <w:rPr>
      <w:rFonts w:ascii="Calibri" w:eastAsia="Calibri" w:hAnsi="Calibri" w:cs="Times New Roman"/>
      <w:kern w:val="0"/>
      <w:sz w:val="18"/>
      <w:szCs w:val="18"/>
      <w:lang w:eastAsia="en-US"/>
    </w:rPr>
  </w:style>
  <w:style w:type="paragraph" w:styleId="a7">
    <w:name w:val="footer"/>
    <w:basedOn w:val="a"/>
    <w:link w:val="a8"/>
    <w:uiPriority w:val="99"/>
    <w:semiHidden/>
    <w:unhideWhenUsed/>
    <w:rsid w:val="008307D3"/>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semiHidden/>
    <w:rsid w:val="008307D3"/>
    <w:rPr>
      <w:rFonts w:ascii="Calibri" w:eastAsia="Calibri" w:hAnsi="Calibri" w:cs="Times New Roman"/>
      <w:kern w:val="0"/>
      <w:sz w:val="18"/>
      <w:szCs w:val="18"/>
      <w:lang w:eastAsia="en-US"/>
    </w:rPr>
  </w:style>
  <w:style w:type="paragraph" w:styleId="a9">
    <w:name w:val="List Paragraph"/>
    <w:basedOn w:val="a"/>
    <w:uiPriority w:val="34"/>
    <w:qFormat/>
    <w:rsid w:val="009A5D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6</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dc:creator>
  <cp:lastModifiedBy>sdfwererw@outlook.com</cp:lastModifiedBy>
  <cp:revision>11</cp:revision>
  <dcterms:created xsi:type="dcterms:W3CDTF">2017-05-12T05:37:00Z</dcterms:created>
  <dcterms:modified xsi:type="dcterms:W3CDTF">2017-05-21T06:27:00Z</dcterms:modified>
</cp:coreProperties>
</file>