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379" w:rsidRDefault="00AC1379" w:rsidP="00AC1379">
      <w:pPr>
        <w:spacing w:before="100" w:beforeAutospacing="1" w:line="273" w:lineRule="auto"/>
        <w:rPr>
          <w:rFonts w:ascii="宋体" w:eastAsia="宋体" w:hAnsi="宋体" w:cs="宋体"/>
          <w:b/>
          <w:bCs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szCs w:val="24"/>
          <w:lang w:eastAsia="zh-CN"/>
        </w:rPr>
        <w:t>附录1： 功能项列表明细</w:t>
      </w:r>
    </w:p>
    <w:tbl>
      <w:tblPr>
        <w:tblW w:w="8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30"/>
        <w:gridCol w:w="2295"/>
        <w:gridCol w:w="5137"/>
      </w:tblGrid>
      <w:tr w:rsidR="00AC1379" w:rsidTr="00AC1379">
        <w:trPr>
          <w:trHeight w:val="570"/>
        </w:trPr>
        <w:tc>
          <w:tcPr>
            <w:tcW w:w="1230" w:type="dxa"/>
            <w:shd w:val="clear" w:color="auto" w:fill="99CC00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  <w:szCs w:val="24"/>
                <w:lang w:eastAsia="zh-CN"/>
              </w:rPr>
              <w:t>分类</w:t>
            </w:r>
          </w:p>
        </w:tc>
        <w:tc>
          <w:tcPr>
            <w:tcW w:w="2295" w:type="dxa"/>
            <w:shd w:val="clear" w:color="auto" w:fill="99CC00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  <w:szCs w:val="24"/>
                <w:lang w:eastAsia="zh-CN"/>
              </w:rPr>
              <w:t>功能及其描述</w:t>
            </w:r>
          </w:p>
        </w:tc>
        <w:tc>
          <w:tcPr>
            <w:tcW w:w="5137" w:type="dxa"/>
            <w:shd w:val="clear" w:color="auto" w:fill="99CC00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  <w:szCs w:val="24"/>
                <w:lang w:eastAsia="zh-CN"/>
              </w:rPr>
              <w:t>备注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AC1379" w:rsidRDefault="00AC1379" w:rsidP="00901282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  <w:szCs w:val="24"/>
                <w:lang w:eastAsia="zh-CN"/>
              </w:rPr>
              <w:t>数字病理远程会诊平台（业务功能）</w:t>
            </w: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远程会诊平台主界面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主界面整体布局，宽屏显示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专家登陆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1）对用户的账号和口令进行校验</w:t>
            </w:r>
          </w:p>
        </w:tc>
      </w:tr>
      <w:tr w:rsidR="00AC1379" w:rsidTr="00AC1379">
        <w:trPr>
          <w:trHeight w:val="540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管理后台主界面设计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界面默认显示待诊断、已诊断、我的收藏、诊断报表等汇总统计项信息</w:t>
            </w:r>
          </w:p>
        </w:tc>
      </w:tr>
      <w:tr w:rsidR="00AC1379" w:rsidTr="00AC1379">
        <w:trPr>
          <w:trHeight w:val="540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管理后台操作界面设计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左侧导航栏，头部当前账户及统计项信息，主界面默认显示待诊断项信息</w:t>
            </w:r>
          </w:p>
        </w:tc>
      </w:tr>
      <w:tr w:rsidR="00AC1379" w:rsidTr="00AC1379">
        <w:trPr>
          <w:trHeight w:val="540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待诊断列表查询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根据时间范围、系统分类、送检单位、状态等属性做精确匹配或关键字模糊匹配，查询待诊断病例信息</w:t>
            </w:r>
          </w:p>
        </w:tc>
      </w:tr>
      <w:tr w:rsidR="00AC1379" w:rsidTr="00AC1379">
        <w:trPr>
          <w:trHeight w:val="540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已诊断列表查询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根据时间范围、系统分类、送检单位、状态等属性做精确匹配或关键字模糊匹配，查询已诊断病例信息</w:t>
            </w:r>
          </w:p>
        </w:tc>
      </w:tr>
      <w:tr w:rsidR="00AC1379" w:rsidTr="00AC1379">
        <w:trPr>
          <w:trHeight w:val="540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退回病例列表查询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根据时间范围、系统分类、送检单位、状态等属性做精确匹配或关键字模糊匹配，查询退回病例信息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诊断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查阅病例信息、附件&amp;切片等来填写诊断信息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留言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查阅病例信息、附件&amp;切片等来填写留言信息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查看诊断病例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查阅病例信息、附件切片、诊断信息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收藏诊断病例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已诊断的病例项，收藏起来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收藏列表查询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根据时间范围、送检单位、关键字查询收藏病例信息列表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留言列表查询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查询留言列表信息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诊断报表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根据时间维度，及诊断状态查询一定时间范围内统计的诊断信息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会议列表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默认查询显示视频会议项信息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病例分享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病例分享转发至微信朋友圈、QQ等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查询统计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根据时间维度、远程会诊流程节点域统计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图像标注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导航图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图像截图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相关切片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图像旋转选项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比例尺、缩放、方向键、标签、标注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图像操作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网格、标注列表、图像调节、导出、移动、缩放比例</w:t>
            </w:r>
          </w:p>
        </w:tc>
      </w:tr>
      <w:tr w:rsidR="00AC1379" w:rsidTr="00AC1379">
        <w:trPr>
          <w:trHeight w:val="390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AC1379" w:rsidRDefault="00AC1379" w:rsidP="00901282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  <w:szCs w:val="24"/>
                <w:lang w:eastAsia="zh-CN"/>
              </w:rPr>
              <w:t>数字病理远程会诊平台（系统功能）</w:t>
            </w: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医院管理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完成医院的增、删、改、查功能</w:t>
            </w:r>
          </w:p>
        </w:tc>
      </w:tr>
      <w:tr w:rsidR="00AC1379" w:rsidTr="00AC1379">
        <w:trPr>
          <w:trHeight w:val="390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用户管理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账号、状态、签名、密码、问题反馈、使用帮助、退出</w:t>
            </w:r>
          </w:p>
        </w:tc>
      </w:tr>
      <w:tr w:rsidR="00AC1379" w:rsidTr="00AC1379">
        <w:trPr>
          <w:trHeight w:val="390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文字接口通讯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基于SOAP/SOCKET/HTTP接口通讯协议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图像接口通讯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基于FTP通讯解析方式</w:t>
            </w:r>
          </w:p>
        </w:tc>
      </w:tr>
      <w:tr w:rsidR="00AC1379" w:rsidTr="00AC1379">
        <w:trPr>
          <w:trHeight w:val="540"/>
        </w:trPr>
        <w:tc>
          <w:tcPr>
            <w:tcW w:w="1230" w:type="dxa"/>
            <w:vMerge w:val="restart"/>
            <w:shd w:val="clear" w:color="auto" w:fill="FFFFFF"/>
            <w:vAlign w:val="center"/>
          </w:tcPr>
          <w:p w:rsidR="00AC1379" w:rsidRDefault="00AC1379" w:rsidP="00901282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4"/>
                <w:szCs w:val="24"/>
                <w:lang w:eastAsia="zh-CN"/>
              </w:rPr>
              <w:t>其他</w:t>
            </w: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服务器Iptables设置：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对指定端口进行开放设置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资源服务器部署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所有的图片、文件通过统一的资源服务器配置项提供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应用服务部署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应用服务部署</w:t>
            </w:r>
          </w:p>
        </w:tc>
      </w:tr>
      <w:tr w:rsidR="00AC1379" w:rsidTr="00AC1379">
        <w:trPr>
          <w:trHeight w:val="540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服务部署并负载设置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1）采用nginx组件进行均衡负载，在Linux环境下支持集群部署</w:t>
            </w:r>
          </w:p>
        </w:tc>
      </w:tr>
      <w:tr w:rsidR="00AC1379" w:rsidTr="00AC1379">
        <w:trPr>
          <w:trHeight w:val="540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Oracle/MSSQL数据库部署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在windows环境部署oracle/MSSQL应用服务</w:t>
            </w:r>
          </w:p>
        </w:tc>
      </w:tr>
      <w:tr w:rsidR="00AC1379" w:rsidTr="00AC1379">
        <w:trPr>
          <w:trHeight w:val="285"/>
        </w:trPr>
        <w:tc>
          <w:tcPr>
            <w:tcW w:w="1230" w:type="dxa"/>
            <w:vMerge/>
            <w:shd w:val="clear" w:color="auto" w:fill="FFFFFF"/>
            <w:vAlign w:val="center"/>
          </w:tcPr>
          <w:p w:rsidR="00AC1379" w:rsidRDefault="00AC1379" w:rsidP="00901282">
            <w:pPr>
              <w:jc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</w:p>
        </w:tc>
        <w:tc>
          <w:tcPr>
            <w:tcW w:w="2295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服务器日常监控维护</w:t>
            </w:r>
          </w:p>
        </w:tc>
        <w:tc>
          <w:tcPr>
            <w:tcW w:w="5137" w:type="dxa"/>
            <w:shd w:val="clear" w:color="auto" w:fill="FFFFFF"/>
            <w:vAlign w:val="center"/>
          </w:tcPr>
          <w:p w:rsidR="00AC1379" w:rsidRDefault="00AC1379" w:rsidP="00901282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服务器日常类监控运维优化</w:t>
            </w:r>
          </w:p>
        </w:tc>
      </w:tr>
    </w:tbl>
    <w:p w:rsidR="00AC1379" w:rsidRDefault="00AC1379" w:rsidP="00AC1379">
      <w:pPr>
        <w:spacing w:before="100" w:beforeAutospacing="1" w:line="273" w:lineRule="auto"/>
        <w:rPr>
          <w:rFonts w:ascii="宋体" w:eastAsia="宋体" w:hAnsi="宋体" w:cs="宋体"/>
          <w:sz w:val="24"/>
          <w:szCs w:val="24"/>
          <w:lang w:eastAsia="zh-CN"/>
        </w:rPr>
      </w:pPr>
    </w:p>
    <w:p w:rsidR="00AC1379" w:rsidRDefault="00AC1379" w:rsidP="00AC1379">
      <w:pPr>
        <w:spacing w:before="100" w:beforeAutospacing="1" w:line="273" w:lineRule="auto"/>
        <w:rPr>
          <w:rFonts w:ascii="宋体" w:eastAsia="宋体" w:hAnsi="宋体" w:cs="宋体"/>
          <w:sz w:val="24"/>
          <w:szCs w:val="24"/>
          <w:lang w:eastAsia="zh-CN"/>
        </w:rPr>
      </w:pPr>
    </w:p>
    <w:p w:rsidR="00AC1379" w:rsidRDefault="00AC1379" w:rsidP="00AC1379">
      <w:pPr>
        <w:spacing w:before="100" w:beforeAutospacing="1" w:line="273" w:lineRule="auto"/>
        <w:rPr>
          <w:rFonts w:ascii="宋体" w:eastAsia="宋体" w:hAnsi="宋体" w:cs="宋体"/>
          <w:sz w:val="24"/>
          <w:szCs w:val="24"/>
          <w:lang w:eastAsia="zh-CN"/>
        </w:rPr>
      </w:pPr>
    </w:p>
    <w:p w:rsidR="00AC1379" w:rsidRDefault="00AC1379" w:rsidP="00AC1379">
      <w:pPr>
        <w:spacing w:before="100" w:beforeAutospacing="1" w:line="273" w:lineRule="auto"/>
        <w:rPr>
          <w:lang w:eastAsia="zh-CN"/>
        </w:rPr>
      </w:pPr>
    </w:p>
    <w:p w:rsidR="00AC1379" w:rsidRDefault="00AC1379">
      <w:pPr>
        <w:widowControl/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AC1379" w:rsidRDefault="00AC1379" w:rsidP="00AC1379">
      <w:pPr>
        <w:spacing w:before="100" w:beforeAutospacing="1" w:line="273" w:lineRule="auto"/>
        <w:rPr>
          <w:lang w:eastAsia="zh-CN"/>
        </w:rPr>
      </w:pPr>
    </w:p>
    <w:p w:rsidR="00AC1379" w:rsidRDefault="00AC1379" w:rsidP="00AC1379">
      <w:pPr>
        <w:spacing w:before="100" w:beforeAutospacing="1" w:line="273" w:lineRule="auto"/>
        <w:rPr>
          <w:rFonts w:eastAsia="宋体"/>
          <w:b/>
          <w:bCs/>
          <w:lang w:eastAsia="zh-CN"/>
        </w:rPr>
      </w:pPr>
      <w:bookmarkStart w:id="0" w:name="OLE_LINK64"/>
      <w:r>
        <w:rPr>
          <w:rFonts w:eastAsia="宋体" w:hint="eastAsia"/>
          <w:b/>
          <w:bCs/>
          <w:lang w:eastAsia="zh-CN"/>
        </w:rPr>
        <w:t>附录</w:t>
      </w:r>
      <w:r>
        <w:rPr>
          <w:rFonts w:eastAsia="宋体" w:hint="eastAsia"/>
          <w:b/>
          <w:bCs/>
          <w:lang w:eastAsia="zh-CN"/>
        </w:rPr>
        <w:t>2</w:t>
      </w:r>
      <w:r>
        <w:rPr>
          <w:rFonts w:eastAsia="宋体" w:hint="eastAsia"/>
          <w:b/>
          <w:bCs/>
          <w:lang w:eastAsia="zh-CN"/>
        </w:rPr>
        <w:t>：</w:t>
      </w:r>
      <w:bookmarkEnd w:id="0"/>
      <w:r>
        <w:rPr>
          <w:rFonts w:eastAsia="宋体" w:hint="eastAsia"/>
          <w:b/>
          <w:bCs/>
          <w:lang w:eastAsia="zh-CN"/>
        </w:rPr>
        <w:t>系统功能业务模型</w:t>
      </w:r>
    </w:p>
    <w:p w:rsidR="00AC1379" w:rsidRDefault="00DE2CE6" w:rsidP="00AC1379">
      <w:pPr>
        <w:spacing w:before="100" w:beforeAutospacing="1" w:line="273" w:lineRule="auto"/>
      </w:pPr>
      <w:r w:rsidRPr="00DE2CE6">
        <w:drawing>
          <wp:inline distT="0" distB="0" distL="0" distR="0">
            <wp:extent cx="5461000" cy="3881482"/>
            <wp:effectExtent l="19050" t="0" r="635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648825" cy="6858000"/>
                      <a:chOff x="0" y="0"/>
                      <a:chExt cx="9648825" cy="6858000"/>
                    </a:xfrm>
                  </a:grpSpPr>
                  <a:sp>
                    <a:nvSpPr>
                      <a:cNvPr id="5" name="矩形 4"/>
                      <a:cNvSpPr/>
                    </a:nvSpPr>
                    <a:spPr>
                      <a:xfrm>
                        <a:off x="0" y="6072206"/>
                        <a:ext cx="9648825" cy="785794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矩形 5"/>
                      <a:cNvSpPr/>
                    </a:nvSpPr>
                    <a:spPr>
                      <a:xfrm>
                        <a:off x="7236636" y="0"/>
                        <a:ext cx="2412189" cy="6072206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矩形 6"/>
                      <a:cNvSpPr/>
                    </a:nvSpPr>
                    <a:spPr>
                      <a:xfrm>
                        <a:off x="0" y="0"/>
                        <a:ext cx="7236636" cy="1000108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矩形 7"/>
                      <a:cNvSpPr/>
                    </a:nvSpPr>
                    <a:spPr>
                      <a:xfrm>
                        <a:off x="0" y="1000108"/>
                        <a:ext cx="7236636" cy="2786082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矩形 8"/>
                      <a:cNvSpPr/>
                    </a:nvSpPr>
                    <a:spPr>
                      <a:xfrm>
                        <a:off x="0" y="3786190"/>
                        <a:ext cx="7236636" cy="2286016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 w="12700"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80942" y="6274378"/>
                        <a:ext cx="110799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b="1" dirty="0" smtClean="0"/>
                            <a:t>技术架构</a:t>
                          </a:r>
                          <a:endParaRPr lang="zh-CN" alt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11" name="矩形 10"/>
                      <a:cNvSpPr/>
                    </a:nvSpPr>
                    <a:spPr>
                      <a:xfrm>
                        <a:off x="1681140" y="6286520"/>
                        <a:ext cx="1571636" cy="285752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tint val="66000"/>
                              <a:satMod val="160000"/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3">
                              <a:tint val="66000"/>
                              <a:satMod val="160000"/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3">
                              <a:tint val="66000"/>
                              <a:satMod val="160000"/>
                              <a:tint val="23500"/>
                              <a:satMod val="160000"/>
                            </a:schemeClr>
                          </a:gs>
                        </a:gsLst>
                        <a:lin ang="5400000" scaled="1"/>
                        <a:tileRect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业务规则引擎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矩形 12"/>
                      <a:cNvSpPr/>
                    </a:nvSpPr>
                    <a:spPr>
                      <a:xfrm>
                        <a:off x="3467090" y="6286520"/>
                        <a:ext cx="1571636" cy="285752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3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3">
                              <a:tint val="23500"/>
                              <a:satMod val="160000"/>
                            </a:schemeClr>
                          </a:gs>
                        </a:gsLst>
                        <a:lin ang="5400000" scaled="1"/>
                        <a:tileRect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统一认证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矩形 13"/>
                      <a:cNvSpPr/>
                    </a:nvSpPr>
                    <a:spPr>
                      <a:xfrm>
                        <a:off x="5253040" y="6286520"/>
                        <a:ext cx="1571636" cy="285752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3FB8F">
                              <a:tint val="66000"/>
                              <a:satMod val="160000"/>
                            </a:srgbClr>
                          </a:gs>
                          <a:gs pos="50000">
                            <a:srgbClr val="F3FB8F">
                              <a:tint val="44500"/>
                              <a:satMod val="160000"/>
                            </a:srgbClr>
                          </a:gs>
                          <a:gs pos="100000">
                            <a:srgbClr val="F3FB8F">
                              <a:tint val="23500"/>
                              <a:satMod val="160000"/>
                            </a:srgbClr>
                          </a:gs>
                        </a:gsLst>
                        <a:lin ang="5400000" scaled="1"/>
                        <a:tileRect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报表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规则引擎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矩形 14"/>
                      <a:cNvSpPr/>
                    </a:nvSpPr>
                    <a:spPr>
                      <a:xfrm>
                        <a:off x="7110428" y="6286520"/>
                        <a:ext cx="1571636" cy="285752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3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3">
                              <a:tint val="23500"/>
                              <a:satMod val="160000"/>
                            </a:schemeClr>
                          </a:gs>
                        </a:gsLst>
                        <a:lin ang="5400000" scaled="1"/>
                        <a:tileRect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任务调度引擎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7824808" y="142852"/>
                        <a:ext cx="134684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b="1" dirty="0" smtClean="0"/>
                            <a:t>公共子系统</a:t>
                          </a:r>
                          <a:endParaRPr lang="zh-CN" alt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2681272" y="142852"/>
                        <a:ext cx="134684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b="1" dirty="0" smtClean="0"/>
                            <a:t>业务子系统</a:t>
                          </a:r>
                          <a:endParaRPr lang="zh-CN" alt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19" name="圆角矩形 18"/>
                      <a:cNvSpPr/>
                    </a:nvSpPr>
                    <a:spPr>
                      <a:xfrm>
                        <a:off x="180942" y="642918"/>
                        <a:ext cx="2071702" cy="357190"/>
                      </a:xfrm>
                      <a:prstGeom prst="roundRect">
                        <a:avLst/>
                      </a:prstGeom>
                      <a:solidFill>
                        <a:srgbClr val="E5C757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b="1" dirty="0" smtClean="0">
                              <a:solidFill>
                                <a:schemeClr val="tx1"/>
                              </a:solidFill>
                            </a:rPr>
                            <a:t>专家管理</a:t>
                          </a:r>
                          <a:endParaRPr lang="zh-CN" altLang="en-US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圆角矩形 19"/>
                      <a:cNvSpPr/>
                    </a:nvSpPr>
                    <a:spPr>
                      <a:xfrm>
                        <a:off x="395256" y="1000108"/>
                        <a:ext cx="1571636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专家登录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圆角矩形 20"/>
                      <a:cNvSpPr/>
                    </a:nvSpPr>
                    <a:spPr>
                      <a:xfrm>
                        <a:off x="2538396" y="642918"/>
                        <a:ext cx="2071702" cy="357190"/>
                      </a:xfrm>
                      <a:prstGeom prst="roundRect">
                        <a:avLst/>
                      </a:prstGeom>
                      <a:solidFill>
                        <a:srgbClr val="E5C757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b="1" dirty="0" smtClean="0">
                              <a:solidFill>
                                <a:schemeClr val="tx1"/>
                              </a:solidFill>
                            </a:rPr>
                            <a:t>远程会诊传输</a:t>
                          </a:r>
                          <a:endParaRPr lang="zh-CN" altLang="en-US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圆角矩形 21"/>
                      <a:cNvSpPr/>
                    </a:nvSpPr>
                    <a:spPr>
                      <a:xfrm>
                        <a:off x="4895850" y="642918"/>
                        <a:ext cx="2143140" cy="357190"/>
                      </a:xfrm>
                      <a:prstGeom prst="roundRect">
                        <a:avLst/>
                      </a:prstGeom>
                      <a:solidFill>
                        <a:srgbClr val="E5C757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b="1" dirty="0" smtClean="0">
                              <a:solidFill>
                                <a:schemeClr val="tx1"/>
                              </a:solidFill>
                            </a:rPr>
                            <a:t>远程会诊流程</a:t>
                          </a:r>
                          <a:endParaRPr lang="zh-CN" altLang="en-US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圆角矩形 22"/>
                      <a:cNvSpPr/>
                    </a:nvSpPr>
                    <a:spPr>
                      <a:xfrm>
                        <a:off x="7467618" y="642918"/>
                        <a:ext cx="1928826" cy="357190"/>
                      </a:xfrm>
                      <a:prstGeom prst="roundRect">
                        <a:avLst/>
                      </a:prstGeom>
                      <a:solidFill>
                        <a:srgbClr val="E5C757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b="1" dirty="0" smtClean="0">
                              <a:solidFill>
                                <a:schemeClr val="tx1"/>
                              </a:solidFill>
                            </a:rPr>
                            <a:t>医院管理</a:t>
                          </a:r>
                          <a:endParaRPr lang="zh-CN" altLang="en-US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圆角矩形 23"/>
                      <a:cNvSpPr/>
                    </a:nvSpPr>
                    <a:spPr>
                      <a:xfrm>
                        <a:off x="7467618" y="1285860"/>
                        <a:ext cx="1928826" cy="357190"/>
                      </a:xfrm>
                      <a:prstGeom prst="roundRect">
                        <a:avLst/>
                      </a:prstGeom>
                      <a:solidFill>
                        <a:srgbClr val="E5C757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b="1" dirty="0">
                              <a:solidFill>
                                <a:schemeClr val="tx1"/>
                              </a:solidFill>
                            </a:rPr>
                            <a:t>用户</a:t>
                          </a:r>
                          <a:r>
                            <a:rPr lang="zh-CN" altLang="en-US" b="1" dirty="0" smtClean="0">
                              <a:solidFill>
                                <a:schemeClr val="tx1"/>
                              </a:solidFill>
                            </a:rPr>
                            <a:t>管理</a:t>
                          </a:r>
                          <a:endParaRPr lang="zh-CN" altLang="en-US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圆角矩形 24"/>
                      <a:cNvSpPr/>
                    </a:nvSpPr>
                    <a:spPr>
                      <a:xfrm>
                        <a:off x="7467618" y="4929198"/>
                        <a:ext cx="1928826" cy="357190"/>
                      </a:xfrm>
                      <a:prstGeom prst="roundRect">
                        <a:avLst/>
                      </a:prstGeom>
                      <a:solidFill>
                        <a:srgbClr val="E5C757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b="1" dirty="0" smtClean="0">
                              <a:solidFill>
                                <a:schemeClr val="tx1"/>
                              </a:solidFill>
                            </a:rPr>
                            <a:t>数据字典项</a:t>
                          </a:r>
                          <a:endParaRPr lang="zh-CN" altLang="en-US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矩形 26"/>
                      <a:cNvSpPr/>
                    </a:nvSpPr>
                    <a:spPr>
                      <a:xfrm>
                        <a:off x="7467618" y="5572140"/>
                        <a:ext cx="1928826" cy="35719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3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3">
                              <a:tint val="23500"/>
                              <a:satMod val="160000"/>
                            </a:schemeClr>
                          </a:gs>
                        </a:gsLst>
                        <a:lin ang="5400000" scaled="1"/>
                        <a:tileRect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统计报表系统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圆角矩形 27"/>
                      <a:cNvSpPr/>
                    </a:nvSpPr>
                    <a:spPr>
                      <a:xfrm>
                        <a:off x="7753370" y="1643050"/>
                        <a:ext cx="1357322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账号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圆角矩形 28"/>
                      <a:cNvSpPr/>
                    </a:nvSpPr>
                    <a:spPr>
                      <a:xfrm>
                        <a:off x="7753370" y="2071678"/>
                        <a:ext cx="1357322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状态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圆角矩形 29"/>
                      <a:cNvSpPr/>
                    </a:nvSpPr>
                    <a:spPr>
                      <a:xfrm>
                        <a:off x="7753370" y="2500306"/>
                        <a:ext cx="1357322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签名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圆角矩形 30"/>
                      <a:cNvSpPr/>
                    </a:nvSpPr>
                    <a:spPr>
                      <a:xfrm>
                        <a:off x="7753370" y="2928934"/>
                        <a:ext cx="1357322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密码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圆角矩形 31"/>
                      <a:cNvSpPr/>
                    </a:nvSpPr>
                    <a:spPr>
                      <a:xfrm>
                        <a:off x="7753370" y="3357562"/>
                        <a:ext cx="1357322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问题反馈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圆角矩形 32"/>
                      <a:cNvSpPr/>
                    </a:nvSpPr>
                    <a:spPr>
                      <a:xfrm>
                        <a:off x="7753370" y="3786190"/>
                        <a:ext cx="1357322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使用帮助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圆角矩形 33"/>
                      <a:cNvSpPr/>
                    </a:nvSpPr>
                    <a:spPr>
                      <a:xfrm>
                        <a:off x="7753370" y="4214818"/>
                        <a:ext cx="1357322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退出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圆角矩形 34"/>
                      <a:cNvSpPr/>
                    </a:nvSpPr>
                    <a:spPr>
                      <a:xfrm>
                        <a:off x="0" y="3429000"/>
                        <a:ext cx="2538396" cy="357190"/>
                      </a:xfrm>
                      <a:prstGeom prst="roundRect">
                        <a:avLst/>
                      </a:prstGeom>
                      <a:solidFill>
                        <a:srgbClr val="E5C757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b="1" dirty="0" smtClean="0">
                              <a:solidFill>
                                <a:schemeClr val="tx1"/>
                              </a:solidFill>
                            </a:rPr>
                            <a:t>图像处理</a:t>
                          </a:r>
                          <a:endParaRPr lang="zh-CN" altLang="en-US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圆角矩形 35"/>
                      <a:cNvSpPr/>
                    </a:nvSpPr>
                    <a:spPr>
                      <a:xfrm>
                        <a:off x="2681272" y="3429000"/>
                        <a:ext cx="2071702" cy="357190"/>
                      </a:xfrm>
                      <a:prstGeom prst="roundRect">
                        <a:avLst/>
                      </a:prstGeom>
                      <a:solidFill>
                        <a:srgbClr val="E5C757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b="1" dirty="0" smtClean="0">
                              <a:solidFill>
                                <a:schemeClr val="tx1"/>
                              </a:solidFill>
                            </a:rPr>
                            <a:t>外围系统接口</a:t>
                          </a:r>
                          <a:endParaRPr lang="zh-CN" altLang="en-US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圆角矩形 36"/>
                      <a:cNvSpPr/>
                    </a:nvSpPr>
                    <a:spPr>
                      <a:xfrm>
                        <a:off x="395256" y="1428736"/>
                        <a:ext cx="1571636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待办事项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圆角矩形 37"/>
                      <a:cNvSpPr/>
                    </a:nvSpPr>
                    <a:spPr>
                      <a:xfrm>
                        <a:off x="395256" y="1928802"/>
                        <a:ext cx="1571636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病例诊断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圆角矩形 38"/>
                      <a:cNvSpPr/>
                    </a:nvSpPr>
                    <a:spPr>
                      <a:xfrm>
                        <a:off x="395256" y="2428868"/>
                        <a:ext cx="1571636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病例资料维护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圆角矩形 39"/>
                      <a:cNvSpPr/>
                    </a:nvSpPr>
                    <a:spPr>
                      <a:xfrm>
                        <a:off x="395256" y="2928934"/>
                        <a:ext cx="1571636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病例资料查阅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圆角矩形 41"/>
                      <a:cNvSpPr/>
                    </a:nvSpPr>
                    <a:spPr>
                      <a:xfrm>
                        <a:off x="2752710" y="1000108"/>
                        <a:ext cx="1571636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文字接口通讯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圆角矩形 42"/>
                      <a:cNvSpPr/>
                    </a:nvSpPr>
                    <a:spPr>
                      <a:xfrm>
                        <a:off x="2752710" y="1428736"/>
                        <a:ext cx="1571636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图像接口通讯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圆角矩形 43"/>
                      <a:cNvSpPr/>
                    </a:nvSpPr>
                    <a:spPr>
                      <a:xfrm>
                        <a:off x="5181602" y="1000108"/>
                        <a:ext cx="1571636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退回撤销转诊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圆角矩形 44"/>
                      <a:cNvSpPr/>
                    </a:nvSpPr>
                    <a:spPr>
                      <a:xfrm>
                        <a:off x="5181602" y="1428736"/>
                        <a:ext cx="1571636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待诊断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圆角矩形 45"/>
                      <a:cNvSpPr/>
                    </a:nvSpPr>
                    <a:spPr>
                      <a:xfrm>
                        <a:off x="4752974" y="1857364"/>
                        <a:ext cx="2428892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已诊断</a:t>
                          </a:r>
                          <a:r>
                            <a:rPr lang="en-US" altLang="zh-CN" sz="1600" b="1" dirty="0" smtClean="0">
                              <a:solidFill>
                                <a:schemeClr val="tx1"/>
                              </a:solidFill>
                            </a:rPr>
                            <a:t>(</a:t>
                          </a:r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查看</a:t>
                          </a:r>
                          <a:r>
                            <a:rPr lang="en-US" altLang="zh-CN" sz="1600" b="1" dirty="0" smtClean="0">
                              <a:solidFill>
                                <a:schemeClr val="tx1"/>
                              </a:solidFill>
                            </a:rPr>
                            <a:t>/</a:t>
                          </a:r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收藏</a:t>
                          </a:r>
                          <a:r>
                            <a:rPr lang="en-US" altLang="zh-CN" sz="1600" b="1" dirty="0" smtClean="0">
                              <a:solidFill>
                                <a:schemeClr val="tx1"/>
                              </a:solidFill>
                            </a:rPr>
                            <a:t>/</a:t>
                          </a:r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留言</a:t>
                          </a:r>
                          <a:r>
                            <a:rPr lang="en-US" altLang="zh-CN" sz="1600" b="1" dirty="0" smtClean="0">
                              <a:solidFill>
                                <a:schemeClr val="tx1"/>
                              </a:solidFill>
                            </a:rPr>
                            <a:t>)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圆角矩形 46"/>
                      <a:cNvSpPr/>
                    </a:nvSpPr>
                    <a:spPr>
                      <a:xfrm>
                        <a:off x="5181602" y="2285992"/>
                        <a:ext cx="1571636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诊断列表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圆角矩形 47"/>
                      <a:cNvSpPr/>
                    </a:nvSpPr>
                    <a:spPr>
                      <a:xfrm>
                        <a:off x="5181602" y="2714620"/>
                        <a:ext cx="1571636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留言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圆角矩形 48"/>
                      <a:cNvSpPr/>
                    </a:nvSpPr>
                    <a:spPr>
                      <a:xfrm>
                        <a:off x="5181602" y="3143248"/>
                        <a:ext cx="1571636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查询统计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圆角矩形 49"/>
                      <a:cNvSpPr/>
                    </a:nvSpPr>
                    <a:spPr>
                      <a:xfrm>
                        <a:off x="180942" y="3786190"/>
                        <a:ext cx="1071570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标注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1" name="圆角矩形 50"/>
                      <a:cNvSpPr/>
                    </a:nvSpPr>
                    <a:spPr>
                      <a:xfrm>
                        <a:off x="180942" y="4214818"/>
                        <a:ext cx="1071570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截图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圆角矩形 51"/>
                      <a:cNvSpPr/>
                    </a:nvSpPr>
                    <a:spPr>
                      <a:xfrm>
                        <a:off x="180942" y="4643446"/>
                        <a:ext cx="1071570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导航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圆角矩形 52"/>
                      <a:cNvSpPr/>
                    </a:nvSpPr>
                    <a:spPr>
                      <a:xfrm>
                        <a:off x="180942" y="5072074"/>
                        <a:ext cx="1071570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图像调节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4" name="圆角矩形 53"/>
                      <a:cNvSpPr/>
                    </a:nvSpPr>
                    <a:spPr>
                      <a:xfrm>
                        <a:off x="180942" y="5500702"/>
                        <a:ext cx="1071570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缩放比例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圆角矩形 54"/>
                      <a:cNvSpPr/>
                    </a:nvSpPr>
                    <a:spPr>
                      <a:xfrm>
                        <a:off x="1395388" y="3786190"/>
                        <a:ext cx="1071570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选项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圆角矩形 55"/>
                      <a:cNvSpPr/>
                    </a:nvSpPr>
                    <a:spPr>
                      <a:xfrm>
                        <a:off x="1395388" y="4214818"/>
                        <a:ext cx="1071570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导出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圆角矩形 56"/>
                      <a:cNvSpPr/>
                    </a:nvSpPr>
                    <a:spPr>
                      <a:xfrm>
                        <a:off x="1395388" y="4643446"/>
                        <a:ext cx="1071570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移动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圆角矩形 57"/>
                      <a:cNvSpPr/>
                    </a:nvSpPr>
                    <a:spPr>
                      <a:xfrm>
                        <a:off x="1395388" y="5072074"/>
                        <a:ext cx="1071570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标签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圆角矩形 58"/>
                      <a:cNvSpPr/>
                    </a:nvSpPr>
                    <a:spPr>
                      <a:xfrm>
                        <a:off x="2905110" y="3786190"/>
                        <a:ext cx="1571636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数据存储对接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圆角矩形 59"/>
                      <a:cNvSpPr/>
                    </a:nvSpPr>
                    <a:spPr>
                      <a:xfrm>
                        <a:off x="2895586" y="4214818"/>
                        <a:ext cx="1571636" cy="357190"/>
                      </a:xfrm>
                      <a:prstGeom prst="roundRect">
                        <a:avLst/>
                      </a:prstGeom>
                      <a:solidFill>
                        <a:srgbClr val="FFFEC6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b="1" dirty="0" smtClean="0">
                              <a:solidFill>
                                <a:schemeClr val="tx1"/>
                              </a:solidFill>
                            </a:rPr>
                            <a:t>服务器管理</a:t>
                          </a:r>
                          <a:endParaRPr lang="zh-CN" altLang="en-US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AC1379" w:rsidRDefault="00AC1379" w:rsidP="00AC1379">
      <w:pPr>
        <w:spacing w:before="100" w:beforeAutospacing="1" w:line="273" w:lineRule="auto"/>
        <w:rPr>
          <w:rFonts w:eastAsia="宋体"/>
          <w:lang w:eastAsia="zh-CN"/>
        </w:rPr>
      </w:pPr>
      <w:r>
        <w:rPr>
          <w:rFonts w:hint="eastAsia"/>
          <w:lang w:eastAsia="zh-CN"/>
        </w:rPr>
        <w:t>系统横向按照用户角色</w:t>
      </w:r>
      <w:r>
        <w:rPr>
          <w:rFonts w:eastAsia="宋体" w:hint="eastAsia"/>
          <w:lang w:eastAsia="zh-CN"/>
        </w:rPr>
        <w:t>来细分，主要是专家医生进后台操作，是一个完整的业务系统；</w:t>
      </w:r>
    </w:p>
    <w:p w:rsidR="00AC1379" w:rsidRDefault="00AC1379" w:rsidP="00AC1379">
      <w:pPr>
        <w:spacing w:before="100" w:beforeAutospacing="1" w:line="273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纵向按照系统功能划分为</w:t>
      </w:r>
      <w:r>
        <w:rPr>
          <w:rFonts w:eastAsia="宋体" w:hint="eastAsia"/>
          <w:lang w:eastAsia="zh-CN"/>
        </w:rPr>
        <w:t>6</w:t>
      </w:r>
      <w:r>
        <w:rPr>
          <w:rFonts w:eastAsia="宋体" w:hint="eastAsia"/>
          <w:lang w:eastAsia="zh-CN"/>
        </w:rPr>
        <w:t>块，包括：专家管理、远程会诊传输、远程会诊流程、图像处理、外围系统接口以及公用子系统</w:t>
      </w:r>
      <w:r>
        <w:rPr>
          <w:rFonts w:eastAsia="宋体" w:hint="eastAsia"/>
          <w:lang w:eastAsia="zh-CN"/>
        </w:rPr>
        <w:t>6</w:t>
      </w:r>
      <w:r>
        <w:rPr>
          <w:rFonts w:eastAsia="宋体" w:hint="eastAsia"/>
          <w:lang w:eastAsia="zh-CN"/>
        </w:rPr>
        <w:t>个子模块系统；</w:t>
      </w:r>
    </w:p>
    <w:p w:rsidR="00AC1379" w:rsidRDefault="00AC1379" w:rsidP="00AC1379">
      <w:pPr>
        <w:rPr>
          <w:lang w:eastAsia="zh-CN"/>
        </w:rPr>
      </w:pPr>
      <w:r>
        <w:rPr>
          <w:rFonts w:hint="eastAsia"/>
          <w:lang w:eastAsia="zh-CN"/>
        </w:rPr>
        <w:t>底层采用技术引擎模块，对各业务模块进行支撑；</w:t>
      </w:r>
    </w:p>
    <w:p w:rsidR="00AC1379" w:rsidRDefault="00AC1379" w:rsidP="00AC1379">
      <w:pPr>
        <w:rPr>
          <w:rFonts w:eastAsia="宋体"/>
          <w:lang w:eastAsia="zh-CN"/>
        </w:rPr>
      </w:pPr>
      <w:r>
        <w:rPr>
          <w:rFonts w:hint="eastAsia"/>
          <w:lang w:eastAsia="zh-CN"/>
        </w:rPr>
        <w:t>绿色字体部分</w:t>
      </w:r>
      <w:r>
        <w:rPr>
          <w:rFonts w:eastAsia="宋体" w:hint="eastAsia"/>
          <w:lang w:eastAsia="zh-CN"/>
        </w:rPr>
        <w:t>非</w:t>
      </w:r>
      <w:r>
        <w:rPr>
          <w:rFonts w:hint="eastAsia"/>
          <w:lang w:eastAsia="zh-CN"/>
        </w:rPr>
        <w:t>本项目研发的范围</w:t>
      </w:r>
      <w:r>
        <w:rPr>
          <w:rFonts w:eastAsia="宋体" w:hint="eastAsia"/>
          <w:lang w:eastAsia="zh-CN"/>
        </w:rPr>
        <w:t>，未来可能扩展会有涉及到。</w:t>
      </w:r>
    </w:p>
    <w:p w:rsidR="00AC1379" w:rsidRDefault="00AC1379" w:rsidP="00AC1379">
      <w:pPr>
        <w:spacing w:before="100" w:beforeAutospacing="1" w:line="273" w:lineRule="auto"/>
        <w:rPr>
          <w:rFonts w:eastAsia="宋体"/>
          <w:lang w:eastAsia="zh-CN"/>
        </w:rPr>
      </w:pPr>
    </w:p>
    <w:p w:rsidR="00AC1379" w:rsidRDefault="00AC1379" w:rsidP="00AC1379">
      <w:pPr>
        <w:spacing w:before="100" w:beforeAutospacing="1" w:line="273" w:lineRule="auto"/>
        <w:rPr>
          <w:rFonts w:eastAsia="宋体"/>
          <w:lang w:eastAsia="zh-CN"/>
        </w:rPr>
      </w:pPr>
    </w:p>
    <w:p w:rsidR="00AC1379" w:rsidRDefault="00AC1379" w:rsidP="00AC1379">
      <w:pPr>
        <w:spacing w:before="100" w:beforeAutospacing="1" w:line="273" w:lineRule="auto"/>
        <w:rPr>
          <w:rFonts w:eastAsia="宋体"/>
          <w:lang w:eastAsia="zh-CN"/>
        </w:rPr>
      </w:pPr>
    </w:p>
    <w:p w:rsidR="00AC1379" w:rsidRDefault="00AC1379" w:rsidP="00AC1379">
      <w:pPr>
        <w:spacing w:before="100" w:beforeAutospacing="1" w:line="273" w:lineRule="auto"/>
        <w:rPr>
          <w:rFonts w:eastAsia="宋体"/>
          <w:lang w:eastAsia="zh-CN"/>
        </w:rPr>
      </w:pPr>
    </w:p>
    <w:p w:rsidR="00AC1379" w:rsidRDefault="00AC1379" w:rsidP="00AC1379">
      <w:pPr>
        <w:spacing w:before="100" w:beforeAutospacing="1" w:line="273" w:lineRule="auto"/>
        <w:rPr>
          <w:rFonts w:eastAsia="宋体"/>
          <w:lang w:eastAsia="zh-CN"/>
        </w:rPr>
      </w:pPr>
    </w:p>
    <w:p w:rsidR="00AC1379" w:rsidRDefault="00AC1379" w:rsidP="00AC1379">
      <w:pPr>
        <w:spacing w:before="100" w:beforeAutospacing="1" w:line="273" w:lineRule="auto"/>
        <w:rPr>
          <w:rFonts w:eastAsia="宋体"/>
          <w:lang w:eastAsia="zh-CN"/>
        </w:rPr>
      </w:pPr>
    </w:p>
    <w:p w:rsidR="00AC1379" w:rsidRDefault="00AC1379" w:rsidP="00AC1379">
      <w:pPr>
        <w:spacing w:before="100" w:beforeAutospacing="1" w:line="273" w:lineRule="auto"/>
        <w:rPr>
          <w:rFonts w:eastAsia="宋体"/>
          <w:lang w:eastAsia="zh-CN"/>
        </w:rPr>
      </w:pPr>
    </w:p>
    <w:p w:rsidR="00AC1379" w:rsidRDefault="00AC1379" w:rsidP="00AC1379">
      <w:pPr>
        <w:spacing w:before="100" w:beforeAutospacing="1" w:line="273" w:lineRule="auto"/>
        <w:rPr>
          <w:rFonts w:eastAsia="宋体"/>
          <w:lang w:eastAsia="zh-CN"/>
        </w:rPr>
      </w:pPr>
    </w:p>
    <w:p w:rsidR="00AC1379" w:rsidRDefault="00AC1379" w:rsidP="00AC1379">
      <w:pPr>
        <w:spacing w:before="100" w:beforeAutospacing="1" w:line="273" w:lineRule="auto"/>
        <w:rPr>
          <w:rFonts w:eastAsia="宋体"/>
          <w:b/>
          <w:bCs/>
          <w:lang w:eastAsia="zh-CN"/>
        </w:rPr>
      </w:pPr>
      <w:bookmarkStart w:id="1" w:name="OLE_LINK65"/>
      <w:r>
        <w:rPr>
          <w:rFonts w:eastAsia="宋体" w:hint="eastAsia"/>
          <w:b/>
          <w:bCs/>
          <w:lang w:eastAsia="zh-CN"/>
        </w:rPr>
        <w:t>附录</w:t>
      </w:r>
      <w:r>
        <w:rPr>
          <w:rFonts w:eastAsia="宋体" w:hint="eastAsia"/>
          <w:b/>
          <w:bCs/>
          <w:lang w:eastAsia="zh-CN"/>
        </w:rPr>
        <w:t>3</w:t>
      </w:r>
      <w:r>
        <w:rPr>
          <w:rFonts w:eastAsia="宋体" w:hint="eastAsia"/>
          <w:b/>
          <w:bCs/>
          <w:lang w:eastAsia="zh-CN"/>
        </w:rPr>
        <w:t>：</w:t>
      </w:r>
      <w:r>
        <w:rPr>
          <w:rFonts w:eastAsia="宋体" w:hint="eastAsia"/>
          <w:b/>
          <w:bCs/>
          <w:lang w:eastAsia="zh-CN"/>
        </w:rPr>
        <w:t xml:space="preserve"> </w:t>
      </w:r>
      <w:r>
        <w:rPr>
          <w:rFonts w:eastAsia="宋体" w:hint="eastAsia"/>
          <w:b/>
          <w:bCs/>
          <w:lang w:eastAsia="zh-CN"/>
        </w:rPr>
        <w:t>网络架构示意图</w:t>
      </w:r>
    </w:p>
    <w:bookmarkEnd w:id="1"/>
    <w:p w:rsidR="00AC1379" w:rsidRDefault="00AC1379" w:rsidP="00AC1379">
      <w:pPr>
        <w:spacing w:before="100" w:beforeAutospacing="1" w:line="273" w:lineRule="auto"/>
        <w:rPr>
          <w:rFonts w:eastAsia="宋体"/>
          <w:lang w:eastAsia="zh-CN"/>
        </w:rPr>
      </w:pPr>
      <w:r w:rsidRPr="006F34DD">
        <w:rPr>
          <w:rFonts w:eastAsia="宋体" w:hint="eastAsia"/>
          <w:lang w:eastAsia="zh-CN"/>
        </w:rPr>
        <w:object w:dxaOrig="21741" w:dyaOrig="14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1" o:spid="_x0000_i1025" type="#_x0000_t75" style="width:478.35pt;height:312.4pt" o:ole="">
            <v:imagedata r:id="rId7" o:title=""/>
          </v:shape>
          <o:OLEObject Type="Embed" ProgID="Visio.Drawing.15" ShapeID="对象 11" DrawAspect="Content" ObjectID="_1556809004" r:id="rId8">
            <o:FieldCodes>\* MERGEFORMAT</o:FieldCodes>
          </o:OLEObject>
        </w:object>
      </w:r>
    </w:p>
    <w:p w:rsidR="00AC1379" w:rsidRDefault="00AC1379" w:rsidP="00AC1379">
      <w:pPr>
        <w:rPr>
          <w:lang w:eastAsia="zh-CN"/>
        </w:rPr>
      </w:pPr>
      <w:r>
        <w:rPr>
          <w:rFonts w:hint="eastAsia"/>
          <w:lang w:eastAsia="zh-CN"/>
        </w:rPr>
        <w:t>整个系统运行于局域网内，通过组建局域网不同的域，达到提供业务服务、保证安全的目的；</w:t>
      </w:r>
    </w:p>
    <w:p w:rsidR="00AC1379" w:rsidRDefault="00AC1379" w:rsidP="00AC1379">
      <w:pPr>
        <w:rPr>
          <w:lang w:eastAsia="zh-CN"/>
        </w:rPr>
      </w:pPr>
      <w:r>
        <w:rPr>
          <w:rFonts w:hint="eastAsia"/>
          <w:lang w:eastAsia="zh-CN"/>
        </w:rPr>
        <w:t>客户域：客户通过办公电脑通过局域网接入后台服务；</w:t>
      </w:r>
    </w:p>
    <w:p w:rsidR="00AC1379" w:rsidRDefault="00AC1379" w:rsidP="00AC1379">
      <w:pPr>
        <w:rPr>
          <w:lang w:eastAsia="zh-CN"/>
        </w:rPr>
      </w:pPr>
      <w:r>
        <w:rPr>
          <w:rFonts w:hint="eastAsia"/>
          <w:lang w:eastAsia="zh-CN"/>
        </w:rPr>
        <w:t>服务域：两台应用服务器互备，通过指定的端口号局域网办公电脑提供HTTP服务；服务器安装</w:t>
      </w:r>
      <w:r>
        <w:rPr>
          <w:rFonts w:eastAsia="宋体" w:hint="eastAsia"/>
          <w:lang w:eastAsia="zh-CN"/>
        </w:rPr>
        <w:t>Tomcat</w:t>
      </w:r>
      <w:r>
        <w:rPr>
          <w:rFonts w:eastAsia="宋体" w:hint="eastAsia"/>
          <w:lang w:eastAsia="zh-CN"/>
        </w:rPr>
        <w:t>、</w:t>
      </w:r>
      <w:r>
        <w:rPr>
          <w:rFonts w:hint="eastAsia"/>
          <w:lang w:eastAsia="zh-CN"/>
        </w:rPr>
        <w:t>WAS、Weblogic等web容器，提供web服务，同时安装系统的后台web服务系统，提供客户端业务服务；</w:t>
      </w:r>
    </w:p>
    <w:p w:rsidR="00AC1379" w:rsidRDefault="00AC1379" w:rsidP="00AC1379">
      <w:pPr>
        <w:rPr>
          <w:lang w:eastAsia="zh-CN"/>
        </w:rPr>
      </w:pPr>
      <w:r>
        <w:rPr>
          <w:rFonts w:hint="eastAsia"/>
          <w:lang w:eastAsia="zh-CN"/>
        </w:rPr>
        <w:t>数据域：两台数据库服务器热备，承载系统的数据存放服务；数据库支持Oracle10g，oracle11g，</w:t>
      </w:r>
      <w:r>
        <w:rPr>
          <w:rFonts w:eastAsia="宋体" w:hint="eastAsia"/>
          <w:lang w:eastAsia="zh-CN"/>
        </w:rPr>
        <w:t>MSSQL200X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MYSQL5+</w:t>
      </w:r>
      <w:r>
        <w:rPr>
          <w:rFonts w:eastAsia="宋体" w:hint="eastAsia"/>
          <w:lang w:eastAsia="zh-CN"/>
        </w:rPr>
        <w:t>、</w:t>
      </w:r>
      <w:r w:rsidR="006E7929">
        <w:rPr>
          <w:rFonts w:eastAsia="宋体" w:hint="eastAsia"/>
          <w:lang w:eastAsia="zh-CN"/>
        </w:rPr>
        <w:t>D</w:t>
      </w:r>
      <w:r>
        <w:rPr>
          <w:rFonts w:hint="eastAsia"/>
          <w:lang w:eastAsia="zh-CN"/>
        </w:rPr>
        <w:t>B2数据库；</w:t>
      </w:r>
    </w:p>
    <w:p w:rsidR="00AC1379" w:rsidRDefault="00AC1379" w:rsidP="00AC1379">
      <w:pPr>
        <w:rPr>
          <w:lang w:eastAsia="zh-CN"/>
        </w:rPr>
      </w:pPr>
      <w:r>
        <w:rPr>
          <w:rFonts w:hint="eastAsia"/>
          <w:lang w:eastAsia="zh-CN"/>
        </w:rPr>
        <w:t>在条件允许的情况下，可以通过负载均衡设备，对应用服务器提供负载均衡、应用服务器热备部署，在一台服务器出现故障的情况下，客户端的请求可以无缝切换到另外一台应用服务器上，有效提供流畅的和稳定的网络服务。</w:t>
      </w:r>
    </w:p>
    <w:p w:rsidR="00AC1379" w:rsidRDefault="00AC1379" w:rsidP="00AC1379">
      <w:pPr>
        <w:spacing w:before="100" w:beforeAutospacing="1" w:line="273" w:lineRule="auto"/>
        <w:rPr>
          <w:lang w:eastAsia="zh-CN"/>
        </w:rPr>
      </w:pPr>
    </w:p>
    <w:p w:rsidR="00AC1379" w:rsidRDefault="00AC1379" w:rsidP="00AC1379">
      <w:pPr>
        <w:spacing w:before="100" w:beforeAutospacing="1" w:line="273" w:lineRule="auto"/>
        <w:rPr>
          <w:lang w:eastAsia="zh-CN"/>
        </w:rPr>
      </w:pPr>
    </w:p>
    <w:p w:rsidR="00AC1379" w:rsidRDefault="00AC1379">
      <w:pPr>
        <w:widowControl/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AC1379" w:rsidRDefault="00AC1379" w:rsidP="00AC1379">
      <w:pPr>
        <w:spacing w:before="100" w:beforeAutospacing="1" w:line="273" w:lineRule="auto"/>
        <w:rPr>
          <w:lang w:eastAsia="zh-CN"/>
        </w:rPr>
      </w:pPr>
    </w:p>
    <w:p w:rsidR="00AC1379" w:rsidRDefault="00AC1379" w:rsidP="00AC1379">
      <w:pPr>
        <w:spacing w:before="100" w:beforeAutospacing="1" w:line="273" w:lineRule="auto"/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>附录</w:t>
      </w:r>
      <w:r>
        <w:rPr>
          <w:rFonts w:eastAsia="宋体" w:hint="eastAsia"/>
          <w:b/>
          <w:bCs/>
          <w:lang w:eastAsia="zh-CN"/>
        </w:rPr>
        <w:t>5</w:t>
      </w:r>
      <w:r>
        <w:rPr>
          <w:rFonts w:eastAsia="宋体" w:hint="eastAsia"/>
          <w:b/>
          <w:bCs/>
          <w:lang w:eastAsia="zh-CN"/>
        </w:rPr>
        <w:t>：</w:t>
      </w:r>
      <w:r>
        <w:rPr>
          <w:rFonts w:eastAsia="宋体" w:hint="eastAsia"/>
          <w:b/>
          <w:bCs/>
          <w:lang w:eastAsia="zh-CN"/>
        </w:rPr>
        <w:t xml:space="preserve"> </w:t>
      </w:r>
      <w:r>
        <w:rPr>
          <w:rFonts w:eastAsia="宋体" w:hint="eastAsia"/>
          <w:b/>
          <w:bCs/>
          <w:lang w:eastAsia="zh-CN"/>
        </w:rPr>
        <w:t>业务流程</w:t>
      </w:r>
    </w:p>
    <w:p w:rsidR="00AC1379" w:rsidRDefault="00AC1379" w:rsidP="00AC1379">
      <w:pPr>
        <w:spacing w:before="100" w:beforeAutospacing="1" w:line="273" w:lineRule="auto"/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 xml:space="preserve">5.1 </w:t>
      </w:r>
      <w:r>
        <w:rPr>
          <w:rFonts w:eastAsia="宋体" w:hint="eastAsia"/>
          <w:b/>
          <w:bCs/>
          <w:lang w:eastAsia="zh-CN"/>
        </w:rPr>
        <w:t>业务流程</w:t>
      </w:r>
    </w:p>
    <w:p w:rsidR="00AC1379" w:rsidRDefault="00AC1379" w:rsidP="00AC1379">
      <w:pPr>
        <w:spacing w:before="100" w:beforeAutospacing="1" w:line="273" w:lineRule="auto"/>
        <w:rPr>
          <w:rFonts w:eastAsia="宋体"/>
          <w:b/>
          <w:bCs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086350" cy="3067050"/>
            <wp:effectExtent l="19050" t="0" r="0" b="0"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0670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379" w:rsidRDefault="00AC1379" w:rsidP="00AC1379">
      <w:pPr>
        <w:spacing w:before="100" w:beforeAutospacing="1" w:line="273" w:lineRule="auto"/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 xml:space="preserve">5.2 </w:t>
      </w:r>
      <w:r w:rsidR="009A5D96">
        <w:rPr>
          <w:rFonts w:eastAsia="宋体" w:hint="eastAsia"/>
          <w:b/>
          <w:bCs/>
          <w:lang w:eastAsia="zh-CN"/>
        </w:rPr>
        <w:t>上传数据数据流转</w:t>
      </w:r>
    </w:p>
    <w:p w:rsidR="00AC1379" w:rsidRDefault="009A5D96" w:rsidP="00AC1379">
      <w:pPr>
        <w:spacing w:before="100" w:beforeAutospacing="1" w:line="273" w:lineRule="auto"/>
        <w:rPr>
          <w:rFonts w:eastAsia="宋体"/>
          <w:b/>
          <w:bCs/>
          <w:lang w:eastAsia="zh-CN"/>
        </w:rPr>
      </w:pPr>
      <w:r>
        <w:object w:dxaOrig="9596" w:dyaOrig="8073">
          <v:shape id="_x0000_i1026" type="#_x0000_t75" style="width:430.1pt;height:316.15pt" o:ole="">
            <v:imagedata r:id="rId10" o:title=""/>
          </v:shape>
          <o:OLEObject Type="Embed" ProgID="Visio.Drawing.11" ShapeID="_x0000_i1026" DrawAspect="Content" ObjectID="_1556809005" r:id="rId11"/>
        </w:object>
      </w:r>
    </w:p>
    <w:p w:rsidR="00AC1379" w:rsidRDefault="00AC1379" w:rsidP="00AC1379">
      <w:pPr>
        <w:spacing w:before="100" w:beforeAutospacing="1" w:line="273" w:lineRule="auto"/>
        <w:rPr>
          <w:rFonts w:eastAsia="宋体"/>
          <w:sz w:val="20"/>
          <w:szCs w:val="20"/>
          <w:lang w:eastAsia="zh-CN"/>
        </w:rPr>
      </w:pPr>
    </w:p>
    <w:p w:rsidR="00AC1379" w:rsidRDefault="009A5D96" w:rsidP="00AC1379">
      <w:pPr>
        <w:spacing w:before="100" w:beforeAutospacing="1" w:line="273" w:lineRule="auto"/>
        <w:rPr>
          <w:rFonts w:eastAsia="宋体"/>
          <w:sz w:val="20"/>
          <w:szCs w:val="20"/>
          <w:lang w:eastAsia="zh-CN"/>
        </w:rPr>
      </w:pPr>
      <w:r>
        <w:rPr>
          <w:rFonts w:eastAsia="宋体" w:hint="eastAsia"/>
          <w:b/>
          <w:bCs/>
          <w:sz w:val="20"/>
          <w:szCs w:val="20"/>
          <w:lang w:eastAsia="zh-CN"/>
        </w:rPr>
        <w:lastRenderedPageBreak/>
        <w:t>说明</w:t>
      </w:r>
      <w:r w:rsidR="00AC1379">
        <w:rPr>
          <w:rFonts w:eastAsia="宋体" w:hint="eastAsia"/>
          <w:sz w:val="20"/>
          <w:szCs w:val="20"/>
          <w:lang w:eastAsia="zh-CN"/>
        </w:rPr>
        <w:t>：</w:t>
      </w:r>
      <w:r w:rsidR="00AC1379">
        <w:rPr>
          <w:rFonts w:eastAsia="宋体" w:hint="eastAsia"/>
          <w:sz w:val="20"/>
          <w:szCs w:val="20"/>
          <w:lang w:eastAsia="zh-CN"/>
        </w:rPr>
        <w:t xml:space="preserve"> </w:t>
      </w:r>
    </w:p>
    <w:p w:rsidR="00AC1379" w:rsidRPr="009A5D96" w:rsidRDefault="009A5D96" w:rsidP="009A5D96">
      <w:pPr>
        <w:pStyle w:val="a6"/>
        <w:numPr>
          <w:ilvl w:val="0"/>
          <w:numId w:val="3"/>
        </w:numPr>
        <w:spacing w:before="100" w:beforeAutospacing="1" w:line="273" w:lineRule="auto"/>
        <w:ind w:firstLineChars="0"/>
        <w:rPr>
          <w:rFonts w:eastAsia="宋体"/>
          <w:sz w:val="20"/>
          <w:szCs w:val="20"/>
          <w:lang w:eastAsia="zh-CN"/>
        </w:rPr>
      </w:pPr>
      <w:bookmarkStart w:id="2" w:name="OLE_LINK66"/>
      <w:r w:rsidRPr="009A5D96">
        <w:rPr>
          <w:rFonts w:eastAsia="宋体" w:hint="eastAsia"/>
          <w:sz w:val="20"/>
          <w:szCs w:val="20"/>
          <w:lang w:eastAsia="zh-CN"/>
        </w:rPr>
        <w:t>下级</w:t>
      </w:r>
      <w:r w:rsidR="00AC1379" w:rsidRPr="009A5D96">
        <w:rPr>
          <w:rFonts w:eastAsia="宋体" w:hint="eastAsia"/>
          <w:sz w:val="20"/>
          <w:szCs w:val="20"/>
          <w:lang w:eastAsia="zh-CN"/>
        </w:rPr>
        <w:t>医院</w:t>
      </w:r>
      <w:r w:rsidRPr="009A5D96">
        <w:rPr>
          <w:rFonts w:eastAsia="宋体" w:hint="eastAsia"/>
          <w:sz w:val="20"/>
          <w:szCs w:val="20"/>
          <w:lang w:eastAsia="zh-CN"/>
        </w:rPr>
        <w:t>通过</w:t>
      </w:r>
      <w:r w:rsidRPr="009A5D96">
        <w:rPr>
          <w:rFonts w:eastAsia="宋体" w:hint="eastAsia"/>
          <w:sz w:val="20"/>
          <w:szCs w:val="20"/>
          <w:lang w:eastAsia="zh-CN"/>
        </w:rPr>
        <w:t>socket</w:t>
      </w:r>
      <w:r w:rsidRPr="009A5D96">
        <w:rPr>
          <w:rFonts w:eastAsia="宋体" w:hint="eastAsia"/>
          <w:sz w:val="20"/>
          <w:szCs w:val="20"/>
          <w:lang w:eastAsia="zh-CN"/>
        </w:rPr>
        <w:t>和专有数据协议</w:t>
      </w:r>
      <w:r w:rsidR="00AC1379" w:rsidRPr="009A5D96">
        <w:rPr>
          <w:rFonts w:eastAsia="宋体" w:hint="eastAsia"/>
          <w:sz w:val="20"/>
          <w:szCs w:val="20"/>
          <w:lang w:eastAsia="zh-CN"/>
        </w:rPr>
        <w:t>发送检查数据至</w:t>
      </w:r>
      <w:bookmarkEnd w:id="2"/>
      <w:r w:rsidRPr="009A5D96">
        <w:rPr>
          <w:rFonts w:eastAsia="宋体" w:hint="eastAsia"/>
          <w:sz w:val="20"/>
          <w:szCs w:val="20"/>
          <w:lang w:eastAsia="zh-CN"/>
        </w:rPr>
        <w:t>当地三级医院病理服务器</w:t>
      </w:r>
      <w:r w:rsidR="00AC1379" w:rsidRPr="009A5D96">
        <w:rPr>
          <w:rFonts w:eastAsia="宋体" w:hint="eastAsia"/>
          <w:sz w:val="20"/>
          <w:szCs w:val="20"/>
          <w:lang w:eastAsia="zh-CN"/>
        </w:rPr>
        <w:t>，</w:t>
      </w:r>
      <w:r w:rsidRPr="009A5D96">
        <w:rPr>
          <w:rFonts w:eastAsia="宋体" w:hint="eastAsia"/>
          <w:sz w:val="20"/>
          <w:szCs w:val="20"/>
          <w:lang w:eastAsia="zh-CN"/>
        </w:rPr>
        <w:t>三级医院病理服务器</w:t>
      </w:r>
      <w:r w:rsidR="00AC1379" w:rsidRPr="009A5D96">
        <w:rPr>
          <w:rFonts w:eastAsia="宋体" w:hint="eastAsia"/>
          <w:sz w:val="20"/>
          <w:szCs w:val="20"/>
          <w:lang w:eastAsia="zh-CN"/>
        </w:rPr>
        <w:t>经过初步验证、处理后，确认是有效数据，</w:t>
      </w:r>
      <w:r w:rsidRPr="009A5D96">
        <w:rPr>
          <w:rFonts w:eastAsia="宋体" w:hint="eastAsia"/>
          <w:sz w:val="20"/>
          <w:szCs w:val="20"/>
          <w:lang w:eastAsia="zh-CN"/>
        </w:rPr>
        <w:t>本地存储并</w:t>
      </w:r>
      <w:r w:rsidR="00AC1379" w:rsidRPr="009A5D96">
        <w:rPr>
          <w:rFonts w:eastAsia="宋体" w:hint="eastAsia"/>
          <w:sz w:val="20"/>
          <w:szCs w:val="20"/>
          <w:lang w:eastAsia="zh-CN"/>
        </w:rPr>
        <w:t>开启子线程</w:t>
      </w:r>
      <w:r w:rsidRPr="009A5D96">
        <w:rPr>
          <w:rFonts w:eastAsia="宋体" w:hint="eastAsia"/>
          <w:sz w:val="20"/>
          <w:szCs w:val="20"/>
          <w:lang w:eastAsia="zh-CN"/>
        </w:rPr>
        <w:t>将本数据发送到病理会诊平台</w:t>
      </w:r>
      <w:r>
        <w:rPr>
          <w:rFonts w:eastAsia="宋体" w:hint="eastAsia"/>
          <w:sz w:val="20"/>
          <w:szCs w:val="20"/>
          <w:lang w:eastAsia="zh-CN"/>
        </w:rPr>
        <w:t>。</w:t>
      </w:r>
    </w:p>
    <w:p w:rsidR="00AC1379" w:rsidRDefault="00AC1379" w:rsidP="00AC1379">
      <w:pPr>
        <w:spacing w:before="100" w:beforeAutospacing="1" w:line="273" w:lineRule="auto"/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 xml:space="preserve">5.3 </w:t>
      </w:r>
      <w:r w:rsidR="009A5D96">
        <w:rPr>
          <w:rFonts w:eastAsia="宋体" w:hint="eastAsia"/>
          <w:b/>
          <w:bCs/>
          <w:lang w:eastAsia="zh-CN"/>
        </w:rPr>
        <w:t>专家会诊数据流转</w:t>
      </w:r>
    </w:p>
    <w:p w:rsidR="00AC1379" w:rsidRDefault="009A5D96" w:rsidP="00AC1379">
      <w:pPr>
        <w:spacing w:before="100" w:beforeAutospacing="1" w:line="273" w:lineRule="auto"/>
        <w:rPr>
          <w:lang w:eastAsia="zh-CN"/>
        </w:rPr>
      </w:pPr>
      <w:r>
        <w:object w:dxaOrig="8215" w:dyaOrig="7676">
          <v:shape id="_x0000_i1027" type="#_x0000_t75" style="width:410.7pt;height:303.65pt" o:ole="">
            <v:imagedata r:id="rId12" o:title=""/>
          </v:shape>
          <o:OLEObject Type="Embed" ProgID="Visio.Drawing.11" ShapeID="_x0000_i1027" DrawAspect="Content" ObjectID="_1556809006" r:id="rId13"/>
        </w:object>
      </w:r>
    </w:p>
    <w:p w:rsidR="00073FFA" w:rsidRPr="00AC1379" w:rsidRDefault="006314A8">
      <w:pPr>
        <w:rPr>
          <w:rFonts w:eastAsiaTheme="minorEastAsia"/>
          <w:lang w:eastAsia="zh-CN"/>
        </w:rPr>
      </w:pPr>
    </w:p>
    <w:sectPr w:rsidR="00073FFA" w:rsidRPr="00AC1379" w:rsidSect="00AC1379">
      <w:headerReference w:type="default" r:id="rId14"/>
      <w:footerReference w:type="default" r:id="rId15"/>
      <w:pgSz w:w="11920" w:h="16840"/>
      <w:pgMar w:top="1120" w:right="1660" w:bottom="1180" w:left="1660" w:header="882" w:footer="99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4A8" w:rsidRDefault="006314A8" w:rsidP="006F34DD">
      <w:pPr>
        <w:spacing w:after="0" w:line="240" w:lineRule="auto"/>
      </w:pPr>
      <w:r>
        <w:separator/>
      </w:r>
    </w:p>
  </w:endnote>
  <w:endnote w:type="continuationSeparator" w:id="1">
    <w:p w:rsidR="006314A8" w:rsidRDefault="006314A8" w:rsidP="006F3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DD" w:rsidRDefault="006F34DD">
    <w:pPr>
      <w:spacing w:after="0" w:line="240" w:lineRule="auto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4A8" w:rsidRDefault="006314A8" w:rsidP="006F34DD">
      <w:pPr>
        <w:spacing w:after="0" w:line="240" w:lineRule="auto"/>
      </w:pPr>
      <w:r>
        <w:separator/>
      </w:r>
    </w:p>
  </w:footnote>
  <w:footnote w:type="continuationSeparator" w:id="1">
    <w:p w:rsidR="006314A8" w:rsidRDefault="006314A8" w:rsidP="006F3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4DD" w:rsidRDefault="006F34DD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C37B6"/>
    <w:multiLevelType w:val="hybridMultilevel"/>
    <w:tmpl w:val="0E04F1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1498DE"/>
    <w:multiLevelType w:val="singleLevel"/>
    <w:tmpl w:val="591498DE"/>
    <w:lvl w:ilvl="0">
      <w:start w:val="1"/>
      <w:numFmt w:val="decimal"/>
      <w:suff w:val="space"/>
      <w:lvlText w:val="%1."/>
      <w:lvlJc w:val="left"/>
    </w:lvl>
  </w:abstractNum>
  <w:abstractNum w:abstractNumId="2">
    <w:nsid w:val="59149CBF"/>
    <w:multiLevelType w:val="singleLevel"/>
    <w:tmpl w:val="59149CB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379"/>
    <w:rsid w:val="0002116A"/>
    <w:rsid w:val="00225828"/>
    <w:rsid w:val="006314A8"/>
    <w:rsid w:val="006E7929"/>
    <w:rsid w:val="006F34DD"/>
    <w:rsid w:val="008307D3"/>
    <w:rsid w:val="009A5D96"/>
    <w:rsid w:val="00A73A1E"/>
    <w:rsid w:val="00AC1379"/>
    <w:rsid w:val="00B908CC"/>
    <w:rsid w:val="00C413E8"/>
    <w:rsid w:val="00D81EE9"/>
    <w:rsid w:val="00DE2CE6"/>
    <w:rsid w:val="00EE3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379"/>
    <w:pPr>
      <w:widowControl w:val="0"/>
      <w:spacing w:after="200" w:line="276" w:lineRule="auto"/>
    </w:pPr>
    <w:rPr>
      <w:rFonts w:ascii="Calibri" w:eastAsia="Calibri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qFormat/>
    <w:rsid w:val="00AC1379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1">
    <w:name w:val="font11"/>
    <w:basedOn w:val="a0"/>
    <w:qFormat/>
    <w:rsid w:val="00AC1379"/>
    <w:rPr>
      <w:rFonts w:ascii="MS PGothic" w:eastAsia="MS PGothic" w:hAnsi="MS PGothic" w:cs="MS PGothic" w:hint="eastAsia"/>
      <w:color w:val="000000"/>
      <w:sz w:val="20"/>
      <w:szCs w:val="20"/>
      <w:u w:val="none"/>
    </w:rPr>
  </w:style>
  <w:style w:type="paragraph" w:styleId="a3">
    <w:name w:val="Balloon Text"/>
    <w:basedOn w:val="a"/>
    <w:link w:val="Char"/>
    <w:uiPriority w:val="99"/>
    <w:semiHidden/>
    <w:unhideWhenUsed/>
    <w:rsid w:val="00AC1379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C1379"/>
    <w:rPr>
      <w:rFonts w:ascii="Calibri" w:eastAsia="Calibri" w:hAnsi="Calibri" w:cs="Times New Roman"/>
      <w:kern w:val="0"/>
      <w:sz w:val="18"/>
      <w:szCs w:val="18"/>
      <w:lang w:eastAsia="en-US"/>
    </w:rPr>
  </w:style>
  <w:style w:type="paragraph" w:styleId="a4">
    <w:name w:val="header"/>
    <w:basedOn w:val="a"/>
    <w:link w:val="Char0"/>
    <w:uiPriority w:val="99"/>
    <w:semiHidden/>
    <w:unhideWhenUsed/>
    <w:rsid w:val="00830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307D3"/>
    <w:rPr>
      <w:rFonts w:ascii="Calibri" w:eastAsia="Calibri" w:hAnsi="Calibri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semiHidden/>
    <w:unhideWhenUsed/>
    <w:rsid w:val="008307D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307D3"/>
    <w:rPr>
      <w:rFonts w:ascii="Calibri" w:eastAsia="Calibri" w:hAnsi="Calibri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A5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</dc:creator>
  <cp:lastModifiedBy>Carson</cp:lastModifiedBy>
  <cp:revision>5</cp:revision>
  <dcterms:created xsi:type="dcterms:W3CDTF">2017-05-12T05:37:00Z</dcterms:created>
  <dcterms:modified xsi:type="dcterms:W3CDTF">2017-05-20T10:10:00Z</dcterms:modified>
</cp:coreProperties>
</file>