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关于测试的通知</w:t>
      </w:r>
    </w:p>
    <w:p>
      <w:pPr>
        <w:pStyle w:val="Heading1"/>
      </w:pPr>
      <w:r>
        <w:t>一、工作目标</w:t>
      </w:r>
    </w:p>
    <w:p>
      <w:pPr/>
      <w:r>
        <w:t>这是测试正文内容,用于验证格式化功能。</w:t>
      </w:r>
    </w:p>
    <w:p>
      <w:pPr/>
      <w:r>
        <w:t>(二)具体措施</w:t>
      </w:r>
    </w:p>
    <w:p>
      <w:r>
        <w:t>具体的实施步骤和措施。</w:t>
      </w:r>
    </w:p>
    <w:p>
      <w:pPr/>
      <w:r>
        <w:t>3.时间安排</w:t>
      </w:r>
    </w:p>
    <w:p>
      <w:pPr/>
      <w:r>
        <w:t>(4)注意事项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