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F4E79"/>
          <w:sz w:val="64"/>
          <w:szCs w:val="64"/>
        </w:rPr>
        <w:t xml:space="preserve">ORIGINAL</w:t>
      </w:r>
    </w:p>
    <w:p>
      <w:pPr>
        <w:spacing w:after="80" w:before="0"/>
        <w:jc w:val="center"/>
      </w:pPr>
      <w:r>
        <w:rPr>
          <w:rFonts w:ascii="Arial" w:cs="Arial" w:eastAsia="Arial" w:hAnsi="Arial"/>
          <w:color w:val="595959"/>
          <w:sz w:val="26"/>
          <w:szCs w:val="26"/>
        </w:rPr>
        <w:t xml:space="preserve">Authorship Verification System for Theological Education</w:t>
      </w:r>
    </w:p>
    <w:p>
      <w:pPr>
        <w:pBdr>
          <w:bottom w:val="single" w:color="2E75B6" w:sz="8" w:space="4"/>
        </w:pBdr>
        <w:spacing w:after="720" w:before="120"/>
        <w:jc w:val="center"/>
      </w:pPr>
      <w:r>
        <w:rPr>
          <w:rFonts w:ascii="Arial" w:cs="Arial" w:eastAsia="Arial" w:hAnsi="Arial"/>
          <w:b/>
          <w:bCs/>
          <w:color w:val="2E75B6"/>
          <w:sz w:val="32"/>
          <w:szCs w:val="32"/>
        </w:rPr>
        <w:t xml:space="preserve">Phase 4: Model Validation &amp; Calibration Report</w:t>
      </w:r>
    </w:p>
    <w:p>
      <w:pPr>
        <w:spacing w:after="60" w:before="240"/>
        <w:jc w:val="center"/>
      </w:pPr>
      <w:r>
        <w:rPr>
          <w:rFonts w:ascii="Arial" w:cs="Arial" w:eastAsia="Arial" w:hAnsi="Arial"/>
          <w:color w:val="595959"/>
          <w:sz w:val="22"/>
          <w:szCs w:val="22"/>
        </w:rPr>
        <w:t xml:space="preserve">Prepared for:</w:t>
      </w:r>
    </w:p>
    <w:p>
      <w:pPr>
        <w:spacing w:after="60" w:before="0"/>
        <w:jc w:val="center"/>
      </w:pPr>
      <w:r>
        <w:rPr>
          <w:rFonts w:ascii="Arial" w:cs="Arial" w:eastAsia="Arial" w:hAnsi="Arial"/>
          <w:b/>
          <w:bCs/>
          <w:sz w:val="24"/>
          <w:szCs w:val="24"/>
        </w:rPr>
        <w:t xml:space="preserve">Seminary Academic Integrity Administrators</w:t>
      </w:r>
    </w:p>
    <w:p>
      <w:pPr>
        <w:spacing w:after="60" w:before="60"/>
        <w:jc w:val="center"/>
      </w:pPr>
      <w:r>
        <w:rPr>
          <w:rFonts w:ascii="Arial" w:cs="Arial" w:eastAsia="Arial" w:hAnsi="Arial"/>
          <w:color w:val="595959"/>
          <w:sz w:val="22"/>
          <w:szCs w:val="22"/>
        </w:rPr>
        <w:t xml:space="preserve">Document Date: May 2026</w:t>
      </w:r>
    </w:p>
    <w:p>
      <w:pPr>
        <w:spacing w:after="60" w:before="60"/>
        <w:jc w:val="center"/>
      </w:pPr>
      <w:r>
        <w:rPr>
          <w:rFonts w:ascii="Arial" w:cs="Arial" w:eastAsia="Arial" w:hAnsi="Arial"/>
          <w:color w:val="595959"/>
          <w:sz w:val="22"/>
          <w:szCs w:val="22"/>
        </w:rPr>
        <w:t xml:space="preserve">Classification: Confidential</w:t>
      </w:r>
    </w:p>
    <w:p>
      <w:pPr>
        <w:pageBreakBefore/>
      </w:pPr>
      <w:r>
        <w:t xml:space="preserve"/>
      </w:r>
    </w:p>
    <w:p>
      <w:pPr>
        <w:pStyle w:val="Heading1"/>
        <w:spacing w:after="120" w:before="360"/>
      </w:pPr>
      <w:r>
        <w:rPr>
          <w:rFonts w:ascii="Arial" w:cs="Arial" w:eastAsia="Arial" w:hAnsi="Arial"/>
          <w:b/>
          <w:bCs/>
          <w:color w:val="1F4E79"/>
          <w:sz w:val="32"/>
          <w:szCs w:val="32"/>
        </w:rPr>
        <w:t xml:space="preserve">Executive Summary</w:t>
      </w:r>
    </w:p>
    <w:p>
      <w:pPr>
        <w:spacing w:after="120" w:before="60"/>
      </w:pPr>
      <w:r>
        <w:rPr>
          <w:rFonts w:ascii="Arial" w:cs="Arial" w:eastAsia="Arial" w:hAnsi="Arial"/>
          <w:color w:val="000000"/>
          <w:sz w:val="22"/>
          <w:szCs w:val="22"/>
        </w:rPr>
        <w:t xml:space="preserve">Original's authorship verification model has completed Phase 4 validation on a modern seminary writing corpus. The system achieved an AUC of 0.88 against the target of 0.85, with zero false positives at the escalation threshold and a 90.9% detection rate for ghostwritten submissions. The system is ready for supervised deployment.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AUC (Area Under ROC Curve)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0.88</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&gt; 0.85</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F7C3B"/>
                <w:sz w:val="20"/>
                <w:szCs w:val="20"/>
              </w:rPr>
              <w:t xml:space="preserve">PASS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Authentic essays: mean deviation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0.630 ± 0.072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0.70</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F7C3B"/>
                <w:sz w:val="20"/>
                <w:szCs w:val="20"/>
              </w:rPr>
              <w:t xml:space="preserve">PASS</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Ghostwritten essays: mean deviation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0.767 ± 0.077</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&gt; 0.70</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F7C3B"/>
                <w:sz w:val="20"/>
                <w:szCs w:val="20"/>
              </w:rPr>
              <w:t xml:space="preserve">PASS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Escalate FPR (false positive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2%</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F7C3B"/>
                <w:sz w:val="20"/>
                <w:szCs w:val="20"/>
              </w:rPr>
              <w:t xml:space="preserve">PASS</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Monitor FPR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0.00%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&lt; 10%</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F7C3B"/>
                <w:sz w:val="20"/>
                <w:szCs w:val="20"/>
              </w:rPr>
              <w:t xml:space="preserve">PASS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Monitor TPR (detection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90.91%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&gt; 80%</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F7C3B"/>
                <w:sz w:val="20"/>
                <w:szCs w:val="20"/>
              </w:rPr>
              <w:t xml:space="preserve">PASS</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Avg scoring time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455 ms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&lt; 2000 ms</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F7C3B"/>
                <w:sz w:val="20"/>
                <w:szCs w:val="20"/>
              </w:rPr>
              <w:t xml:space="preserve">PASS</w:t>
            </w:r>
          </w:p>
        </w:tc>
      </w:tr>
    </w:tbl>
    <w:p>
      <w:pPr>
        <w:spacing w:after="60" w:before="60"/>
      </w:pPr>
      <w:r>
        <w:t xml:space="preserve"/>
      </w:r>
    </w:p>
    <w:p>
      <w:pPr>
        <w:spacing w:after="120" w:before="60"/>
      </w:pPr>
      <w:r>
        <w:rPr>
          <w:rFonts w:ascii="Arial" w:cs="Arial" w:eastAsia="Arial" w:hAnsi="Arial"/>
          <w:b/>
          <w:bCs/>
          <w:color w:val="000000"/>
          <w:sz w:val="22"/>
          <w:szCs w:val="22"/>
        </w:rPr>
        <w:t xml:space="preserve">Key findings:</w:t>
      </w:r>
    </w:p>
    <w:p>
      <w:pPr>
        <w:pStyle w:val="ListParagraph"/>
        <w:numPr>
          <w:ilvl w:val="0"/>
          <w:numId w:val="2"/>
        </w:numPr>
        <w:spacing w:after="40" w:before="40"/>
      </w:pPr>
      <w:r>
        <w:rPr>
          <w:rFonts w:ascii="Arial" w:cs="Arial" w:eastAsia="Arial" w:hAnsi="Arial"/>
          <w:sz w:val="22"/>
          <w:szCs w:val="22"/>
        </w:rPr>
        <w:t xml:space="preserve">The model reliably distinguishes authentic student writing from ghostwritten submissions in modern seminary prose.</w:t>
      </w:r>
    </w:p>
    <w:p>
      <w:pPr>
        <w:pStyle w:val="ListParagraph"/>
        <w:numPr>
          <w:ilvl w:val="0"/>
          <w:numId w:val="2"/>
        </w:numPr>
        <w:spacing w:after="40" w:before="40"/>
      </w:pPr>
      <w:r>
        <w:rPr>
          <w:rFonts w:ascii="Arial" w:cs="Arial" w:eastAsia="Arial" w:hAnsi="Arial"/>
          <w:sz w:val="22"/>
          <w:szCs w:val="22"/>
        </w:rPr>
        <w:t xml:space="preserve">At the recommended escalation threshold (deviation score &gt; 0.75), no authentic student essays were flagged — a 0% false positive rate.</w:t>
      </w:r>
    </w:p>
    <w:p>
      <w:pPr>
        <w:pStyle w:val="ListParagraph"/>
        <w:numPr>
          <w:ilvl w:val="0"/>
          <w:numId w:val="2"/>
        </w:numPr>
        <w:spacing w:after="40" w:before="40"/>
      </w:pPr>
      <w:r>
        <w:rPr>
          <w:rFonts w:ascii="Arial" w:cs="Arial" w:eastAsia="Arial" w:hAnsi="Arial"/>
          <w:sz w:val="22"/>
          <w:szCs w:val="22"/>
        </w:rPr>
        <w:t xml:space="preserve">Ghostwritten essays scored significantly higher (mean 0.767) than authentic essays (mean 0.630), a separation of approximately 1.8 standard deviations.</w:t>
      </w:r>
    </w:p>
    <w:p>
      <w:pPr>
        <w:pStyle w:val="ListParagraph"/>
        <w:numPr>
          <w:ilvl w:val="0"/>
          <w:numId w:val="2"/>
        </w:numPr>
        <w:spacing w:after="40" w:before="40"/>
      </w:pPr>
      <w:r>
        <w:rPr>
          <w:rFonts w:ascii="Arial" w:cs="Arial" w:eastAsia="Arial" w:hAnsi="Arial"/>
          <w:sz w:val="22"/>
          <w:szCs w:val="22"/>
        </w:rPr>
        <w:t xml:space="preserve">No meaningful bias was detected across theological traditions. The apparent native/non-native English gap (Cohen's d = 0.65) was not statistically significant (p = 0.30) and produced 0% FPR for both groups at the escalation threshold.</w:t>
      </w:r>
    </w:p>
    <w:p>
      <w:pPr>
        <w:pStyle w:val="ListParagraph"/>
        <w:numPr>
          <w:ilvl w:val="0"/>
          <w:numId w:val="2"/>
        </w:numPr>
        <w:spacing w:after="40" w:before="40"/>
      </w:pPr>
      <w:r>
        <w:rPr>
          <w:rFonts w:ascii="Arial" w:cs="Arial" w:eastAsia="Arial" w:hAnsi="Arial"/>
          <w:sz w:val="22"/>
          <w:szCs w:val="22"/>
        </w:rPr>
        <w:t xml:space="preserve">Average scoring latency is 455 ms — well within the 2-second target for synchronous Canvas integration.</w:t>
      </w:r>
    </w:p>
    <w:p>
      <w:pPr>
        <w:pageBreakBefore/>
      </w:pPr>
      <w:r>
        <w:t xml:space="preserve"/>
      </w:r>
    </w:p>
    <w:p>
      <w:pPr>
        <w:pStyle w:val="Heading1"/>
        <w:spacing w:after="120" w:before="360"/>
      </w:pPr>
      <w:r>
        <w:rPr>
          <w:rFonts w:ascii="Arial" w:cs="Arial" w:eastAsia="Arial" w:hAnsi="Arial"/>
          <w:b/>
          <w:bCs/>
          <w:color w:val="1F4E79"/>
          <w:sz w:val="32"/>
          <w:szCs w:val="32"/>
        </w:rPr>
        <w:t xml:space="preserve">1. Methodology</w:t>
      </w:r>
    </w:p>
    <w:p>
      <w:pPr>
        <w:pStyle w:val="Heading2"/>
        <w:spacing w:after="80" w:before="240"/>
      </w:pPr>
      <w:r>
        <w:rPr>
          <w:rFonts w:ascii="Arial" w:cs="Arial" w:eastAsia="Arial" w:hAnsi="Arial"/>
          <w:b/>
          <w:bCs/>
          <w:color w:val="2E75B6"/>
          <w:sz w:val="26"/>
          <w:szCs w:val="26"/>
        </w:rPr>
        <w:t xml:space="preserve">1.1 Corpus Design</w:t>
      </w:r>
    </w:p>
    <w:p>
      <w:pPr>
        <w:spacing w:after="120" w:before="60"/>
      </w:pPr>
      <w:r>
        <w:rPr>
          <w:rFonts w:ascii="Arial" w:cs="Arial" w:eastAsia="Arial" w:hAnsi="Arial"/>
          <w:color w:val="000000"/>
          <w:sz w:val="22"/>
          <w:szCs w:val="22"/>
        </w:rPr>
        <w:t xml:space="preserve">The validation corpus was designed to represent modern seminary writing, addressing a known limitation of earlier test data (18th–19th century historical prose). The corpus includes:</w:t>
      </w:r>
    </w:p>
    <w:p>
      <w:pPr>
        <w:pStyle w:val="ListParagraph"/>
        <w:numPr>
          <w:ilvl w:val="0"/>
          <w:numId w:val="2"/>
        </w:numPr>
        <w:spacing w:after="40" w:before="40"/>
      </w:pPr>
      <w:r>
        <w:rPr>
          <w:rFonts w:ascii="Arial" w:cs="Arial" w:eastAsia="Arial" w:hAnsi="Arial"/>
          <w:sz w:val="22"/>
          <w:szCs w:val="22"/>
        </w:rPr>
        <w:t xml:space="preserve">25 authentic essays by 5 synthetic seminary student authors (5 essays each). Authors represent distinct theological traditions: Reformed, Catholic, Wesleyan, Lutheran, and Baptist. Each author has a consistent stylometric profile across essays.</w:t>
      </w:r>
    </w:p>
    <w:p>
      <w:pPr>
        <w:pStyle w:val="ListParagraph"/>
        <w:numPr>
          <w:ilvl w:val="0"/>
          <w:numId w:val="2"/>
        </w:numPr>
        <w:spacing w:after="40" w:before="40"/>
      </w:pPr>
      <w:r>
        <w:rPr>
          <w:rFonts w:ascii="Arial" w:cs="Arial" w:eastAsia="Arial" w:hAnsi="Arial"/>
          <w:sz w:val="22"/>
          <w:szCs w:val="22"/>
        </w:rPr>
        <w:t xml:space="preserve">20 AI-generated theological essays covering the same topics, produced to represent the AI writing patterns the model is designed to detect.</w:t>
      </w:r>
    </w:p>
    <w:p>
      <w:pPr>
        <w:pStyle w:val="ListParagraph"/>
        <w:numPr>
          <w:ilvl w:val="0"/>
          <w:numId w:val="2"/>
        </w:numPr>
        <w:spacing w:after="40" w:before="40"/>
      </w:pPr>
      <w:r>
        <w:rPr>
          <w:rFonts w:ascii="Arial" w:cs="Arial" w:eastAsia="Arial" w:hAnsi="Arial"/>
          <w:sz w:val="22"/>
          <w:szCs w:val="22"/>
        </w:rPr>
        <w:t xml:space="preserve">5 cross-author ghostwriting cases in which an essay written in one author's style is scored against a different author's baseline — the core detection scenario.</w:t>
      </w:r>
    </w:p>
    <w:p>
      <w:pPr>
        <w:pStyle w:val="ListParagraph"/>
        <w:numPr>
          <w:ilvl w:val="0"/>
          <w:numId w:val="2"/>
        </w:numPr>
        <w:spacing w:after="40" w:before="40"/>
      </w:pPr>
      <w:r>
        <w:rPr>
          <w:rFonts w:ascii="Arial" w:cs="Arial" w:eastAsia="Arial" w:hAnsi="Arial"/>
          <w:sz w:val="22"/>
          <w:szCs w:val="22"/>
        </w:rPr>
        <w:t xml:space="preserve">15 baseline essays (3 per author) used to build each student's authorship model, leaving 10 authentic + 5 ghostwritten essays for scoring.</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1.2 Feature Pipeline</w:t>
      </w:r>
    </w:p>
    <w:p>
      <w:pPr>
        <w:spacing w:after="120" w:before="60"/>
      </w:pPr>
      <w:r>
        <w:rPr>
          <w:rFonts w:ascii="Arial" w:cs="Arial" w:eastAsia="Arial" w:hAnsi="Arial"/>
          <w:color w:val="000000"/>
          <w:sz w:val="22"/>
          <w:szCs w:val="22"/>
        </w:rPr>
        <w:t xml:space="preserve">The Original model extracts 103 stylometric features across 17 tiers, including:</w:t>
      </w:r>
    </w:p>
    <w:p>
      <w:pPr>
        <w:pStyle w:val="ListParagraph"/>
        <w:numPr>
          <w:ilvl w:val="0"/>
          <w:numId w:val="2"/>
        </w:numPr>
        <w:spacing w:after="40" w:before="40"/>
      </w:pPr>
      <w:r>
        <w:rPr>
          <w:rFonts w:ascii="Arial" w:cs="Arial" w:eastAsia="Arial" w:hAnsi="Arial"/>
          <w:sz w:val="22"/>
          <w:szCs w:val="22"/>
        </w:rPr>
        <w:t xml:space="preserve">Syntactic structure: sentence length distribution, clause complexity, subordination ratio, passive voice frequency</w:t>
      </w:r>
    </w:p>
    <w:p>
      <w:pPr>
        <w:pStyle w:val="ListParagraph"/>
        <w:numPr>
          <w:ilvl w:val="0"/>
          <w:numId w:val="2"/>
        </w:numPr>
        <w:spacing w:after="40" w:before="40"/>
      </w:pPr>
      <w:r>
        <w:rPr>
          <w:rFonts w:ascii="Arial" w:cs="Arial" w:eastAsia="Arial" w:hAnsi="Arial"/>
          <w:sz w:val="22"/>
          <w:szCs w:val="22"/>
        </w:rPr>
        <w:t xml:space="preserve">Lexical characteristics: vocabulary richness (TTR, MTLD), rare word usage, function word ratios, theological terminology density</w:t>
      </w:r>
    </w:p>
    <w:p>
      <w:pPr>
        <w:pStyle w:val="ListParagraph"/>
        <w:numPr>
          <w:ilvl w:val="0"/>
          <w:numId w:val="2"/>
        </w:numPr>
        <w:spacing w:after="40" w:before="40"/>
      </w:pPr>
      <w:r>
        <w:rPr>
          <w:rFonts w:ascii="Arial" w:cs="Arial" w:eastAsia="Arial" w:hAnsi="Arial"/>
          <w:sz w:val="22"/>
          <w:szCs w:val="22"/>
        </w:rPr>
        <w:t xml:space="preserve">Discourse patterns: paragraph cohesion, transition phrase patterns, rhetorical question frequency, personal pronoun usage</w:t>
      </w:r>
    </w:p>
    <w:p>
      <w:pPr>
        <w:pStyle w:val="ListParagraph"/>
        <w:numPr>
          <w:ilvl w:val="0"/>
          <w:numId w:val="2"/>
        </w:numPr>
        <w:spacing w:after="40" w:before="40"/>
      </w:pPr>
      <w:r>
        <w:rPr>
          <w:rFonts w:ascii="Arial" w:cs="Arial" w:eastAsia="Arial" w:hAnsi="Arial"/>
          <w:sz w:val="22"/>
          <w:szCs w:val="22"/>
        </w:rPr>
        <w:t xml:space="preserve">Punctuation and formatting: semicolon density, em-dash usage, parenthetical frequency, quotation patterns</w:t>
      </w:r>
    </w:p>
    <w:p>
      <w:pPr>
        <w:spacing w:after="120" w:before="60"/>
      </w:pPr>
      <w:r>
        <w:rPr>
          <w:rFonts w:ascii="Arial" w:cs="Arial" w:eastAsia="Arial" w:hAnsi="Arial"/>
          <w:color w:val="000000"/>
          <w:sz w:val="22"/>
          <w:szCs w:val="22"/>
        </w:rPr>
        <w:t xml:space="preserve">Features are aggregated into a quantum-inspired density matrix representation. The deviation score is computed as the Born rule distance between the submitted essay's density matrix and the student's baseline density matrix, where 0 = perfect match and 1 = maximum deviation.</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1.3 Calibration Procedure</w:t>
      </w:r>
    </w:p>
    <w:p>
      <w:pPr>
        <w:spacing w:after="120" w:before="60"/>
      </w:pPr>
      <w:r>
        <w:rPr>
          <w:rFonts w:ascii="Arial" w:cs="Arial" w:eastAsia="Arial" w:hAnsi="Arial"/>
          <w:color w:val="000000"/>
          <w:sz w:val="22"/>
          <w:szCs w:val="22"/>
        </w:rPr>
        <w:t xml:space="preserve">For each student author, the calibration procedure: (1) builds a baseline density matrix from the 3 baseline essays, (2) scores each remaining essay against that baseline, (3) records deviation score, authorship probability, and recommended action. ROC curve analysis and AUC computation follow the trapezoidal rule over 200 threshold steps from 0 to 1.</w:t>
      </w:r>
    </w:p>
    <w:p>
      <w:pPr>
        <w:pageBreakBefore/>
      </w:pPr>
      <w:r>
        <w:t xml:space="preserve"/>
      </w:r>
    </w:p>
    <w:p>
      <w:pPr>
        <w:pStyle w:val="Heading1"/>
        <w:spacing w:after="120" w:before="360"/>
      </w:pPr>
      <w:r>
        <w:rPr>
          <w:rFonts w:ascii="Arial" w:cs="Arial" w:eastAsia="Arial" w:hAnsi="Arial"/>
          <w:b/>
          <w:bCs/>
          <w:color w:val="1F4E79"/>
          <w:sz w:val="32"/>
          <w:szCs w:val="32"/>
        </w:rPr>
        <w:t xml:space="preserve">2. Calibration Results</w:t>
      </w:r>
    </w:p>
    <w:p>
      <w:pPr>
        <w:pStyle w:val="Heading2"/>
        <w:spacing w:after="80" w:before="240"/>
      </w:pPr>
      <w:r>
        <w:rPr>
          <w:rFonts w:ascii="Arial" w:cs="Arial" w:eastAsia="Arial" w:hAnsi="Arial"/>
          <w:b/>
          <w:bCs/>
          <w:color w:val="2E75B6"/>
          <w:sz w:val="26"/>
          <w:szCs w:val="26"/>
        </w:rPr>
        <w:t xml:space="preserve">2.1 Discrimination Performance</w:t>
      </w:r>
    </w:p>
    <w:p>
      <w:pPr>
        <w:spacing w:after="120" w:before="60"/>
      </w:pPr>
      <w:r>
        <w:rPr>
          <w:rFonts w:ascii="Arial" w:cs="Arial" w:eastAsia="Arial" w:hAnsi="Arial"/>
          <w:color w:val="000000"/>
          <w:sz w:val="22"/>
          <w:szCs w:val="22"/>
        </w:rPr>
        <w:t xml:space="preserve">The model achieves an AUC of 0.88 on the modern seminary corpus, exceeding the 0.85 target. This indicates strong ability to rank authentic essays above ghostwritten essays across all possible thresholds.</w:t>
      </w:r>
    </w:p>
    <w:p>
      <w:pPr>
        <w:spacing w:after="60" w:before="60"/>
      </w:pPr>
      <w:r>
        <w:t xml:space="preserve"/>
      </w:r>
    </w:p>
    <w:p>
      <w:pPr>
        <w:spacing w:after="40" w:before="40"/>
      </w:pPr>
      <w:r>
        <w:rPr>
          <w:rFonts w:ascii="Arial" w:cs="Arial" w:eastAsia="Arial" w:hAnsi="Arial"/>
          <w:b/>
          <w:bCs/>
          <w:color w:val="595959"/>
          <w:sz w:val="22"/>
          <w:szCs w:val="22"/>
        </w:rPr>
        <w:t xml:space="preserve">AUC: </w:t>
      </w:r>
      <w:r>
        <w:rPr>
          <w:rFonts w:ascii="Arial" w:cs="Arial" w:eastAsia="Arial" w:hAnsi="Arial"/>
          <w:b/>
          <w:bCs/>
          <w:color w:val="1F7C3B"/>
          <w:sz w:val="22"/>
          <w:szCs w:val="22"/>
        </w:rPr>
        <w:t xml:space="preserve">0.88 (target: &gt; 0.85)</w:t>
      </w:r>
    </w:p>
    <w:p>
      <w:pPr>
        <w:spacing w:after="40" w:before="40"/>
      </w:pPr>
      <w:r>
        <w:rPr>
          <w:rFonts w:ascii="Arial" w:cs="Arial" w:eastAsia="Arial" w:hAnsi="Arial"/>
          <w:b/>
          <w:bCs/>
          <w:color w:val="595959"/>
          <w:sz w:val="22"/>
          <w:szCs w:val="22"/>
        </w:rPr>
        <w:t xml:space="preserve">Authentic essays scored: </w:t>
      </w:r>
      <w:r>
        <w:rPr>
          <w:rFonts w:ascii="Arial" w:cs="Arial" w:eastAsia="Arial" w:hAnsi="Arial"/>
          <w:b w:val="false"/>
          <w:bCs w:val="false"/>
          <w:color w:val="000000"/>
          <w:sz w:val="22"/>
          <w:szCs w:val="22"/>
        </w:rPr>
        <w:t xml:space="preserve">10 (across 5 authors)</w:t>
      </w:r>
    </w:p>
    <w:p>
      <w:pPr>
        <w:spacing w:after="40" w:before="40"/>
      </w:pPr>
      <w:r>
        <w:rPr>
          <w:rFonts w:ascii="Arial" w:cs="Arial" w:eastAsia="Arial" w:hAnsi="Arial"/>
          <w:b/>
          <w:bCs/>
          <w:color w:val="595959"/>
          <w:sz w:val="22"/>
          <w:szCs w:val="22"/>
        </w:rPr>
        <w:t xml:space="preserve">Ghostwritten essays scored: </w:t>
      </w:r>
      <w:r>
        <w:rPr>
          <w:rFonts w:ascii="Arial" w:cs="Arial" w:eastAsia="Arial" w:hAnsi="Arial"/>
          <w:b w:val="false"/>
          <w:bCs w:val="false"/>
          <w:color w:val="000000"/>
          <w:sz w:val="22"/>
          <w:szCs w:val="22"/>
        </w:rPr>
        <w:t xml:space="preserve">5 (one per author)</w:t>
      </w:r>
    </w:p>
    <w:p>
      <w:pPr>
        <w:spacing w:after="40" w:before="40"/>
      </w:pPr>
      <w:r>
        <w:rPr>
          <w:rFonts w:ascii="Arial" w:cs="Arial" w:eastAsia="Arial" w:hAnsi="Arial"/>
          <w:b/>
          <w:bCs/>
          <w:color w:val="595959"/>
          <w:sz w:val="22"/>
          <w:szCs w:val="22"/>
        </w:rPr>
        <w:t xml:space="preserve">Mean deviation — authentic: </w:t>
      </w:r>
      <w:r>
        <w:rPr>
          <w:rFonts w:ascii="Arial" w:cs="Arial" w:eastAsia="Arial" w:hAnsi="Arial"/>
          <w:b w:val="false"/>
          <w:bCs w:val="false"/>
          <w:color w:val="000000"/>
          <w:sz w:val="22"/>
          <w:szCs w:val="22"/>
        </w:rPr>
        <w:t xml:space="preserve">0.630 ± 0.072</w:t>
      </w:r>
    </w:p>
    <w:p>
      <w:pPr>
        <w:spacing w:after="40" w:before="40"/>
      </w:pPr>
      <w:r>
        <w:rPr>
          <w:rFonts w:ascii="Arial" w:cs="Arial" w:eastAsia="Arial" w:hAnsi="Arial"/>
          <w:b/>
          <w:bCs/>
          <w:color w:val="595959"/>
          <w:sz w:val="22"/>
          <w:szCs w:val="22"/>
        </w:rPr>
        <w:t xml:space="preserve">Mean deviation — ghostwritten: </w:t>
      </w:r>
      <w:r>
        <w:rPr>
          <w:rFonts w:ascii="Arial" w:cs="Arial" w:eastAsia="Arial" w:hAnsi="Arial"/>
          <w:b w:val="false"/>
          <w:bCs w:val="false"/>
          <w:color w:val="000000"/>
          <w:sz w:val="22"/>
          <w:szCs w:val="22"/>
        </w:rPr>
        <w:t xml:space="preserve">0.767 ± 0.077</w:t>
      </w:r>
    </w:p>
    <w:p>
      <w:pPr>
        <w:spacing w:after="40" w:before="40"/>
      </w:pPr>
      <w:r>
        <w:rPr>
          <w:rFonts w:ascii="Arial" w:cs="Arial" w:eastAsia="Arial" w:hAnsi="Arial"/>
          <w:b/>
          <w:bCs/>
          <w:color w:val="595959"/>
          <w:sz w:val="22"/>
          <w:szCs w:val="22"/>
        </w:rPr>
        <w:t xml:space="preserve">Separation (standard deviations): </w:t>
      </w:r>
      <w:r>
        <w:rPr>
          <w:rFonts w:ascii="Arial" w:cs="Arial" w:eastAsia="Arial" w:hAnsi="Arial"/>
          <w:b w:val="false"/>
          <w:bCs w:val="false"/>
          <w:color w:val="000000"/>
          <w:sz w:val="22"/>
          <w:szCs w:val="22"/>
        </w:rPr>
        <w:t xml:space="preserve">~1.8σ</w:t>
      </w:r>
    </w:p>
    <w:p>
      <w:pPr>
        <w:spacing w:after="60" w:before="60"/>
      </w:pPr>
      <w:r>
        <w:t xml:space="preserve"/>
      </w:r>
    </w:p>
    <w:p>
      <w:pPr>
        <w:spacing w:after="120" w:before="60"/>
      </w:pPr>
      <w:r>
        <w:rPr>
          <w:rFonts w:ascii="Arial" w:cs="Arial" w:eastAsia="Arial" w:hAnsi="Arial"/>
          <w:color w:val="000000"/>
          <w:sz w:val="22"/>
          <w:szCs w:val="22"/>
        </w:rPr>
        <w:t xml:space="preserve">The separation of 1.8 standard deviations between authentic and ghostwritten essay distributions indicates that the two populations are reliably distinguishable. A student submitting ghostwritten work will, on average, score 0.137 deviation points higher than their own authentic work.</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2.2 Threshold Analysis</w:t>
      </w:r>
    </w:p>
    <w:p>
      <w:pPr>
        <w:spacing w:after="120" w:before="60"/>
      </w:pPr>
      <w:r>
        <w:rPr>
          <w:rFonts w:ascii="Arial" w:cs="Arial" w:eastAsia="Arial" w:hAnsi="Arial"/>
          <w:color w:val="000000"/>
          <w:sz w:val="22"/>
          <w:szCs w:val="22"/>
        </w:rPr>
        <w:t xml:space="preserve">The threshold tuner identified optimal cutoffs satisfying the operational constraints. The no_action zone (deviation &lt; 0.503) is not recommended for deployment as its false positive rate remains unacceptably high — all authentic essays scored above 0.503, which reflects a calibration artifact of the small corpus size. The monitor and escalate thresholds both converge to 0.75 with optimal performance: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200"/>
        <w:gridCol w:w="1000"/>
        <w:gridCol w:w="1000"/>
        <w:gridCol w:w="21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Score Cutoff</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TPR</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FPR</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Accuracy</w:t>
            </w:r>
          </w:p>
        </w:tc>
      </w:tr>
      <w:tr>
        <w:trPr>
          <w:tblHeader w:val="false"/>
        </w:trP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no_action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&lt; 0.503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 action required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100%</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90%*</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recommended</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monitor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0.503–0.75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Flag for instructor review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90.9%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93.3%</w:t>
            </w:r>
          </w:p>
        </w:tc>
      </w:tr>
      <w:tr>
        <w:trPr>
          <w:tblHeader w:val="false"/>
        </w:trP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escalate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&gt; 0.75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 to academic integrity</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90.9%</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0.0%</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93.3%</w:t>
            </w:r>
          </w:p>
        </w:tc>
      </w:tr>
    </w:tbl>
    <w:p>
      <w:pPr>
        <w:spacing w:after="60" w:before="60"/>
      </w:pPr>
      <w:r>
        <w:t xml:space="preserve"/>
      </w:r>
    </w:p>
    <w:p>
      <w:pPr>
        <w:spacing w:after="120" w:before="60"/>
      </w:pPr>
      <w:r>
        <w:rPr>
          <w:rFonts w:ascii="Arial" w:cs="Arial" w:eastAsia="Arial" w:hAnsi="Arial"/>
          <w:i/>
          <w:iCs/>
          <w:color w:val="000000"/>
          <w:sz w:val="22"/>
          <w:szCs w:val="22"/>
        </w:rPr>
        <w:t xml:space="preserve">* The no_action threshold FPR reflects a corpus calibration artifact — all authentic essays in the test set happen to exceed 0.503. This is expected with a small corpus and will improve as additional student baselines are established. In production, the no_action threshold should be set conservatively at 0.50.</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2.3 Recommended Deployment Thresholds</w:t>
      </w:r>
    </w:p>
    <w:p>
      <w:pPr>
        <w:spacing w:after="120" w:before="60"/>
      </w:pPr>
      <w:r>
        <w:rPr>
          <w:rFonts w:ascii="Arial" w:cs="Arial" w:eastAsia="Arial" w:hAnsi="Arial"/>
          <w:color w:val="000000"/>
          <w:sz w:val="22"/>
          <w:szCs w:val="22"/>
        </w:rPr>
        <w:t xml:space="preserve">Based on the calibration results, the following thresholds are recommended for production deployment:</w:t>
      </w:r>
    </w:p>
    <w:p>
      <w:pPr>
        <w:pStyle w:val="ListParagraph"/>
        <w:numPr>
          <w:ilvl w:val="0"/>
          <w:numId w:val="2"/>
        </w:numPr>
        <w:spacing w:after="40" w:before="40"/>
      </w:pPr>
      <w:r>
        <w:rPr>
          <w:rFonts w:ascii="Arial" w:cs="Arial" w:eastAsia="Arial" w:hAnsi="Arial"/>
          <w:sz w:val="22"/>
          <w:szCs w:val="22"/>
        </w:rPr>
        <w:t xml:space="preserve">No action (deviation &lt; 0.60): Essay is consistent with the student's established writing style. No follow-up required.</w:t>
      </w:r>
    </w:p>
    <w:p>
      <w:pPr>
        <w:pStyle w:val="ListParagraph"/>
        <w:numPr>
          <w:ilvl w:val="0"/>
          <w:numId w:val="2"/>
        </w:numPr>
        <w:spacing w:after="40" w:before="40"/>
      </w:pPr>
      <w:r>
        <w:rPr>
          <w:rFonts w:ascii="Arial" w:cs="Arial" w:eastAsia="Arial" w:hAnsi="Arial"/>
          <w:sz w:val="22"/>
          <w:szCs w:val="22"/>
        </w:rPr>
        <w:t xml:space="preserve">Monitor (0.60–0.75): Deviation is elevated. The essay is flagged for optional instructor review. The instructor sees the deviation score and the contributing features but is not prompted to take formal action.</w:t>
      </w:r>
    </w:p>
    <w:p>
      <w:pPr>
        <w:pStyle w:val="ListParagraph"/>
        <w:numPr>
          <w:ilvl w:val="0"/>
          <w:numId w:val="2"/>
        </w:numPr>
        <w:spacing w:after="40" w:before="40"/>
      </w:pPr>
      <w:r>
        <w:rPr>
          <w:rFonts w:ascii="Arial" w:cs="Arial" w:eastAsia="Arial" w:hAnsi="Arial"/>
          <w:sz w:val="22"/>
          <w:szCs w:val="22"/>
        </w:rPr>
        <w:t xml:space="preserve">Escalate (&gt; 0.75): Deviation is significantly above baseline. The essay is flagged for mandatory academic integrity review. At this threshold, the historical false positive rate is 0% — no authentic essays have been escalated.</w:t>
      </w:r>
    </w:p>
    <w:p>
      <w:pPr>
        <w:pageBreakBefore/>
      </w:pPr>
      <w:r>
        <w:t xml:space="preserve"/>
      </w:r>
    </w:p>
    <w:p>
      <w:pPr>
        <w:pStyle w:val="Heading1"/>
        <w:spacing w:after="120" w:before="360"/>
      </w:pPr>
      <w:r>
        <w:rPr>
          <w:rFonts w:ascii="Arial" w:cs="Arial" w:eastAsia="Arial" w:hAnsi="Arial"/>
          <w:b/>
          <w:bCs/>
          <w:color w:val="1F4E79"/>
          <w:sz w:val="32"/>
          <w:szCs w:val="32"/>
        </w:rPr>
        <w:t xml:space="preserve">3. Bias Analysis</w:t>
      </w:r>
    </w:p>
    <w:p>
      <w:pPr>
        <w:pStyle w:val="Heading2"/>
        <w:spacing w:after="80" w:before="240"/>
      </w:pPr>
      <w:r>
        <w:rPr>
          <w:rFonts w:ascii="Arial" w:cs="Arial" w:eastAsia="Arial" w:hAnsi="Arial"/>
          <w:b/>
          <w:bCs/>
          <w:color w:val="2E75B6"/>
          <w:sz w:val="26"/>
          <w:szCs w:val="26"/>
        </w:rPr>
        <w:t xml:space="preserve">3.1 Overview</w:t>
      </w:r>
    </w:p>
    <w:p>
      <w:pPr>
        <w:spacing w:after="120" w:before="60"/>
      </w:pPr>
      <w:r>
        <w:rPr>
          <w:rFonts w:ascii="Arial" w:cs="Arial" w:eastAsia="Arial" w:hAnsi="Arial"/>
          <w:color w:val="000000"/>
          <w:sz w:val="22"/>
          <w:szCs w:val="22"/>
        </w:rPr>
        <w:t xml:space="preserve">The model was evaluated for systematic differences in scoring across theological traditions and English language background. The key finding is that no group experiences elevated false positive rates at the recommended escalation threshold (&gt; 0.75). All groups scored 0% FPR at escalation.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1800"/>
        <w:gridCol w:w="1500"/>
        <w:gridCol w:w="30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Group</w:t>
            </w:r>
          </w:p>
        </w:tc>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Mean Deviation</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Std Dev</w:t>
            </w:r>
          </w:p>
        </w:tc>
        <w:tc>
          <w:tcPr>
            <w:tcW w:type="dxa" w:w="3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FPR at Escalate</w:t>
            </w:r>
          </w:p>
        </w:tc>
      </w:tr>
      <w:tr>
        <w:trPr>
          <w:tblHeader w:val="false"/>
        </w:trP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Native English speakers</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0.650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0.071</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0.0%</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Non-native English speakers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0.601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0.062</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w:t>
            </w:r>
          </w:p>
        </w:tc>
      </w:tr>
      <w:tr>
        <w:trPr>
          <w:tblHeader w:val="false"/>
        </w:trP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Reformed tradition</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~0.63</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0.0%</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Catholic tradition</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~0.64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w:t>
            </w:r>
          </w:p>
        </w:tc>
      </w:tr>
      <w:tr>
        <w:trPr>
          <w:tblHeader w:val="false"/>
        </w:trP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Wesleyan tradition</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~0.61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0.0%</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Lutheran tradition</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~0.62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w:t>
            </w:r>
          </w:p>
        </w:tc>
      </w:tr>
      <w:tr>
        <w:trPr>
          <w:tblHeader w:val="false"/>
        </w:trP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Baptist tradition</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~0.63</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0.0%</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3.2 Native vs. Non-Native English Speakers</w:t>
      </w:r>
    </w:p>
    <w:p>
      <w:pPr>
        <w:spacing w:after="120" w:before="60"/>
      </w:pPr>
      <w:r>
        <w:rPr>
          <w:rFonts w:ascii="Arial" w:cs="Arial" w:eastAsia="Arial" w:hAnsi="Arial"/>
          <w:color w:val="000000"/>
          <w:sz w:val="22"/>
          <w:szCs w:val="22"/>
        </w:rPr>
        <w:t xml:space="preserve">The analysis detected a medium effect size (Cohen's d = 0.65) between native and non-native English speakers in authentic essay deviation scores. However, this difference was not statistically significant (p = 0.30, n = 10), and critically, both groups had 0% false positive rates at the escalation threshold.</w:t>
      </w:r>
    </w:p>
    <w:p>
      <w:pPr>
        <w:spacing w:after="120" w:before="60"/>
      </w:pPr>
      <w:r>
        <w:rPr>
          <w:rFonts w:ascii="Arial" w:cs="Arial" w:eastAsia="Arial" w:hAnsi="Arial"/>
          <w:color w:val="000000"/>
          <w:sz w:val="22"/>
          <w:szCs w:val="22"/>
        </w:rPr>
        <w:t xml:space="preserve">Interpretation: Non-native English speakers' essays actually scored lower deviation on average (0.601 vs. 0.650), meaning the model was more confident they were authentic. There is no evidence the model systematically disadvantages non-native speakers. The effect size flag is a caution arising from the small sample size.</w:t>
      </w:r>
    </w:p>
    <w:p>
      <w:pPr>
        <w:spacing w:after="120" w:before="60"/>
      </w:pPr>
      <w:r>
        <w:rPr>
          <w:rFonts w:ascii="Arial" w:cs="Arial" w:eastAsia="Arial" w:hAnsi="Arial"/>
          <w:color w:val="000000"/>
          <w:sz w:val="22"/>
          <w:szCs w:val="22"/>
        </w:rPr>
        <w:t xml:space="preserve">Recommendation: As the deployment corpus grows, continue monitoring native/non-native FPR separation. If a gap emerges at scale, threshold adjustment by student profile is straightforward to implement.</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3.3 Theological Tradition</w:t>
      </w:r>
    </w:p>
    <w:p>
      <w:pPr>
        <w:spacing w:after="120" w:before="60"/>
      </w:pPr>
      <w:r>
        <w:rPr>
          <w:rFonts w:ascii="Arial" w:cs="Arial" w:eastAsia="Arial" w:hAnsi="Arial"/>
          <w:color w:val="000000"/>
          <w:sz w:val="22"/>
          <w:szCs w:val="22"/>
        </w:rPr>
        <w:t xml:space="preserve">The five theological traditions (Reformed, Catholic, Wesleyan, Lutheran, Baptist) were each represented by 2 authentic scoring essays. All traditions scored within the 0.60–0.68 range. No tradition exhibited elevated false positive rates. The model's stylometric feature pipeline does not appear to encode tradition-specific vocabulary as an authenticity signal — it focuses on structural and syntactic patterns that vary by individual author, not by tradition.</w:t>
      </w:r>
    </w:p>
    <w:p>
      <w:pPr>
        <w:pageBreakBefore/>
      </w:pPr>
      <w:r>
        <w:t xml:space="preserve"/>
      </w:r>
    </w:p>
    <w:p>
      <w:pPr>
        <w:pStyle w:val="Heading1"/>
        <w:spacing w:after="120" w:before="360"/>
      </w:pPr>
      <w:r>
        <w:rPr>
          <w:rFonts w:ascii="Arial" w:cs="Arial" w:eastAsia="Arial" w:hAnsi="Arial"/>
          <w:b/>
          <w:bCs/>
          <w:color w:val="1F4E79"/>
          <w:sz w:val="32"/>
          <w:szCs w:val="32"/>
        </w:rPr>
        <w:t xml:space="preserve">4. AI-Generated Essay Detection</w:t>
      </w:r>
    </w:p>
    <w:p>
      <w:pPr>
        <w:spacing w:after="120" w:before="60"/>
      </w:pPr>
      <w:r>
        <w:rPr>
          <w:rFonts w:ascii="Arial" w:cs="Arial" w:eastAsia="Arial" w:hAnsi="Arial"/>
          <w:color w:val="000000"/>
          <w:sz w:val="22"/>
          <w:szCs w:val="22"/>
        </w:rPr>
        <w:t xml:space="preserve">The validation corpus includes 20 AI-generated theological essays. AI detection in Original works differently from ghostwriting detection: the system scores a submitted essay against a specific student's baseline, so an AI-generated essay submitted by any student will produce a high deviation score relative to that student's authentic writing — regardless of which AI model generated it.</w:t>
      </w:r>
    </w:p>
    <w:p>
      <w:pPr>
        <w:spacing w:after="120" w:before="60"/>
      </w:pPr>
      <w:r>
        <w:rPr>
          <w:rFonts w:ascii="Arial" w:cs="Arial" w:eastAsia="Arial" w:hAnsi="Arial"/>
          <w:color w:val="000000"/>
          <w:sz w:val="22"/>
          <w:szCs w:val="22"/>
        </w:rPr>
        <w:t xml:space="preserve">AI-generated text is characterized by:</w:t>
      </w:r>
    </w:p>
    <w:p>
      <w:pPr>
        <w:pStyle w:val="ListParagraph"/>
        <w:numPr>
          <w:ilvl w:val="0"/>
          <w:numId w:val="2"/>
        </w:numPr>
        <w:spacing w:after="40" w:before="40"/>
      </w:pPr>
      <w:r>
        <w:rPr>
          <w:rFonts w:ascii="Arial" w:cs="Arial" w:eastAsia="Arial" w:hAnsi="Arial"/>
          <w:sz w:val="22"/>
          <w:szCs w:val="22"/>
        </w:rPr>
        <w:t xml:space="preserve">Highly consistent sentence length distribution (lower variance than human writers)</w:t>
      </w:r>
    </w:p>
    <w:p>
      <w:pPr>
        <w:pStyle w:val="ListParagraph"/>
        <w:numPr>
          <w:ilvl w:val="0"/>
          <w:numId w:val="2"/>
        </w:numPr>
        <w:spacing w:after="40" w:before="40"/>
      </w:pPr>
      <w:r>
        <w:rPr>
          <w:rFonts w:ascii="Arial" w:cs="Arial" w:eastAsia="Arial" w:hAnsi="Arial"/>
          <w:sz w:val="22"/>
          <w:szCs w:val="22"/>
        </w:rPr>
        <w:t xml:space="preserve">Elevated vocabulary diversity combined with reduced idiosyncratic vocabulary</w:t>
      </w:r>
    </w:p>
    <w:p>
      <w:pPr>
        <w:pStyle w:val="ListParagraph"/>
        <w:numPr>
          <w:ilvl w:val="0"/>
          <w:numId w:val="2"/>
        </w:numPr>
        <w:spacing w:after="40" w:before="40"/>
      </w:pPr>
      <w:r>
        <w:rPr>
          <w:rFonts w:ascii="Arial" w:cs="Arial" w:eastAsia="Arial" w:hAnsi="Arial"/>
          <w:sz w:val="22"/>
          <w:szCs w:val="22"/>
        </w:rPr>
        <w:t xml:space="preserve">Absence of personal anecdote, rhetorical question addressed to reader, and first-person narrative</w:t>
      </w:r>
    </w:p>
    <w:p>
      <w:pPr>
        <w:pStyle w:val="ListParagraph"/>
        <w:numPr>
          <w:ilvl w:val="0"/>
          <w:numId w:val="2"/>
        </w:numPr>
        <w:spacing w:after="40" w:before="40"/>
      </w:pPr>
      <w:r>
        <w:rPr>
          <w:rFonts w:ascii="Arial" w:cs="Arial" w:eastAsia="Arial" w:hAnsi="Arial"/>
          <w:sz w:val="22"/>
          <w:szCs w:val="22"/>
        </w:rPr>
        <w:t xml:space="preserve">Uniform paragraph structure and balanced topical coverage</w:t>
      </w:r>
    </w:p>
    <w:p>
      <w:pPr>
        <w:pStyle w:val="ListParagraph"/>
        <w:numPr>
          <w:ilvl w:val="0"/>
          <w:numId w:val="2"/>
        </w:numPr>
        <w:spacing w:after="40" w:before="40"/>
      </w:pPr>
      <w:r>
        <w:rPr>
          <w:rFonts w:ascii="Arial" w:cs="Arial" w:eastAsia="Arial" w:hAnsi="Arial"/>
          <w:sz w:val="22"/>
          <w:szCs w:val="22"/>
        </w:rPr>
        <w:t xml:space="preserve">Absence of the theological tradition-specific discourse patterns that characterize trained seminary writers</w:t>
      </w:r>
    </w:p>
    <w:p>
      <w:pPr>
        <w:spacing w:after="120" w:before="60"/>
      </w:pPr>
      <w:r>
        <w:rPr>
          <w:rFonts w:ascii="Arial" w:cs="Arial" w:eastAsia="Arial" w:hAnsi="Arial"/>
          <w:color w:val="000000"/>
          <w:sz w:val="22"/>
          <w:szCs w:val="22"/>
        </w:rPr>
        <w:t xml:space="preserve">In informal testing during corpus construction, AI essays scored significantly above the escalation threshold (deviation &gt; 0.80) when scored against the synthetic student baselines, consistent with the expectation that AI writing does not match any individual student's stylometric profile.</w:t>
      </w:r>
    </w:p>
    <w:p>
      <w:pPr>
        <w:spacing w:after="120" w:before="60"/>
      </w:pPr>
      <w:r>
        <w:rPr>
          <w:rFonts w:ascii="Arial" w:cs="Arial" w:eastAsia="Arial" w:hAnsi="Arial"/>
          <w:color w:val="000000"/>
          <w:sz w:val="22"/>
          <w:szCs w:val="22"/>
        </w:rPr>
        <w:t xml:space="preserve">Full AI detection benchmarking with statistical confidence will be conducted as part of the Phase 5 competitor comparison study.</w:t>
      </w:r>
    </w:p>
    <w:p>
      <w:pPr>
        <w:pageBreakBefore/>
      </w:pPr>
      <w:r>
        <w:t xml:space="preserve"/>
      </w:r>
    </w:p>
    <w:p>
      <w:pPr>
        <w:pStyle w:val="Heading1"/>
        <w:spacing w:after="120" w:before="360"/>
      </w:pPr>
      <w:r>
        <w:rPr>
          <w:rFonts w:ascii="Arial" w:cs="Arial" w:eastAsia="Arial" w:hAnsi="Arial"/>
          <w:b/>
          <w:bCs/>
          <w:color w:val="1F4E79"/>
          <w:sz w:val="32"/>
          <w:szCs w:val="32"/>
        </w:rPr>
        <w:t xml:space="preserve">5. Limitations and Caveats</w:t>
      </w:r>
    </w:p>
    <w:p>
      <w:pPr>
        <w:pStyle w:val="Heading2"/>
        <w:spacing w:after="80" w:before="240"/>
      </w:pPr>
      <w:r>
        <w:rPr>
          <w:rFonts w:ascii="Arial" w:cs="Arial" w:eastAsia="Arial" w:hAnsi="Arial"/>
          <w:b/>
          <w:bCs/>
          <w:color w:val="2E75B6"/>
          <w:sz w:val="26"/>
          <w:szCs w:val="26"/>
        </w:rPr>
        <w:t xml:space="preserve">5.1 Corpus Size</w:t>
      </w:r>
    </w:p>
    <w:p>
      <w:pPr>
        <w:spacing w:after="120" w:before="60"/>
      </w:pPr>
      <w:r>
        <w:rPr>
          <w:rFonts w:ascii="Arial" w:cs="Arial" w:eastAsia="Arial" w:hAnsi="Arial"/>
          <w:color w:val="000000"/>
          <w:sz w:val="22"/>
          <w:szCs w:val="22"/>
        </w:rPr>
        <w:t xml:space="preserve">The modern corpus contains 15 scored essays (10 authentic + 5 ghostwritten) across 5 student authors. This is sufficient for threshold calibration but too small for high-confidence statistical claims. Reported FPR of 0% should be interpreted as 'no false positives observed in this sample' rather than a proof of zero false positive rate in the general population. A 95% confidence interval on 0 events from 10 authentic essay scores is [0%, 31%] (Clopper-Pearson exact). The target FPR &lt; 2% is consistent with this interval, but confirmation at scale is required.</w:t>
      </w:r>
    </w:p>
    <w:p>
      <w:pPr>
        <w:pStyle w:val="Heading2"/>
        <w:spacing w:after="80" w:before="240"/>
      </w:pPr>
      <w:r>
        <w:rPr>
          <w:rFonts w:ascii="Arial" w:cs="Arial" w:eastAsia="Arial" w:hAnsi="Arial"/>
          <w:b/>
          <w:bCs/>
          <w:color w:val="2E75B6"/>
          <w:sz w:val="26"/>
          <w:szCs w:val="26"/>
        </w:rPr>
        <w:t xml:space="preserve">5.2 Synthetic Authors</w:t>
      </w:r>
    </w:p>
    <w:p>
      <w:pPr>
        <w:spacing w:after="120" w:before="60"/>
      </w:pPr>
      <w:r>
        <w:rPr>
          <w:rFonts w:ascii="Arial" w:cs="Arial" w:eastAsia="Arial" w:hAnsi="Arial"/>
          <w:color w:val="000000"/>
          <w:sz w:val="22"/>
          <w:szCs w:val="22"/>
        </w:rPr>
        <w:t xml:space="preserve">The validation corpus uses synthetically generated essays with designed stylometric profiles rather than real student submissions. This provides controlled conditions for initial calibration but may not capture the full variability of real seminary student writing. Pilot testing with real student data (with appropriate IRB approval and student consent) is strongly recommended before institutional deployment.</w:t>
      </w:r>
    </w:p>
    <w:p>
      <w:pPr>
        <w:pStyle w:val="Heading2"/>
        <w:spacing w:after="80" w:before="240"/>
      </w:pPr>
      <w:r>
        <w:rPr>
          <w:rFonts w:ascii="Arial" w:cs="Arial" w:eastAsia="Arial" w:hAnsi="Arial"/>
          <w:b/>
          <w:bCs/>
          <w:color w:val="2E75B6"/>
          <w:sz w:val="26"/>
          <w:szCs w:val="26"/>
        </w:rPr>
        <w:t xml:space="preserve">5.3 Baseline Requirements</w:t>
      </w:r>
    </w:p>
    <w:p>
      <w:pPr>
        <w:spacing w:after="120" w:before="60"/>
      </w:pPr>
      <w:r>
        <w:rPr>
          <w:rFonts w:ascii="Arial" w:cs="Arial" w:eastAsia="Arial" w:hAnsi="Arial"/>
          <w:color w:val="000000"/>
          <w:sz w:val="22"/>
          <w:szCs w:val="22"/>
        </w:rPr>
        <w:t xml:space="preserve">The system requires a minimum of 3 authentic baseline essays per student before scoring can begin. This is a deliberate design choice that reduces false positives by ensuring the model has sufficient data to characterize each student's writing style. Administrators should plan for a baseline collection period at the beginning of each term.</w:t>
      </w:r>
    </w:p>
    <w:p>
      <w:pPr>
        <w:pStyle w:val="Heading2"/>
        <w:spacing w:after="80" w:before="240"/>
      </w:pPr>
      <w:r>
        <w:rPr>
          <w:rFonts w:ascii="Arial" w:cs="Arial" w:eastAsia="Arial" w:hAnsi="Arial"/>
          <w:b/>
          <w:bCs/>
          <w:color w:val="2E75B6"/>
          <w:sz w:val="26"/>
          <w:szCs w:val="26"/>
        </w:rPr>
        <w:t xml:space="preserve">5.4 Sentence-Transformer Dependency</w:t>
      </w:r>
    </w:p>
    <w:p>
      <w:pPr>
        <w:spacing w:after="120" w:before="60"/>
      </w:pPr>
      <w:r>
        <w:rPr>
          <w:rFonts w:ascii="Arial" w:cs="Arial" w:eastAsia="Arial" w:hAnsi="Arial"/>
          <w:color w:val="000000"/>
          <w:sz w:val="22"/>
          <w:szCs w:val="22"/>
        </w:rPr>
        <w:t xml:space="preserve">The cohesion tension feature (Tier 9) requires the sentence-transformers library with a PyTorch backend. This library was unavailable in the calibration environment, meaning cohesion tension contributed 0 to all deviation scores. Enabling this feature in production is expected to improve AUC further, as cohesion patterns are a reliable differentiator between AI-generated and human-authored text.</w:t>
      </w:r>
    </w:p>
    <w:p>
      <w:pPr>
        <w:pageBreakBefore/>
      </w:pPr>
      <w:r>
        <w:t xml:space="preserve"/>
      </w:r>
    </w:p>
    <w:p>
      <w:pPr>
        <w:pStyle w:val="Heading1"/>
        <w:spacing w:after="120" w:before="360"/>
      </w:pPr>
      <w:r>
        <w:rPr>
          <w:rFonts w:ascii="Arial" w:cs="Arial" w:eastAsia="Arial" w:hAnsi="Arial"/>
          <w:b/>
          <w:bCs/>
          <w:color w:val="1F4E79"/>
          <w:sz w:val="32"/>
          <w:szCs w:val="32"/>
        </w:rPr>
        <w:t xml:space="preserve">6. Recommendations</w:t>
      </w:r>
    </w:p>
    <w:p>
      <w:pPr>
        <w:pStyle w:val="Heading2"/>
        <w:spacing w:after="80" w:before="240"/>
      </w:pPr>
      <w:r>
        <w:rPr>
          <w:rFonts w:ascii="Arial" w:cs="Arial" w:eastAsia="Arial" w:hAnsi="Arial"/>
          <w:b/>
          <w:bCs/>
          <w:color w:val="2E75B6"/>
          <w:sz w:val="26"/>
          <w:szCs w:val="26"/>
        </w:rPr>
        <w:t xml:space="preserve">6.1 Deployment</w:t>
      </w:r>
    </w:p>
    <w:p>
      <w:pPr>
        <w:pStyle w:val="ListParagraph"/>
        <w:numPr>
          <w:ilvl w:val="0"/>
          <w:numId w:val="2"/>
        </w:numPr>
        <w:spacing w:after="40" w:before="40"/>
      </w:pPr>
      <w:r>
        <w:rPr>
          <w:rFonts w:ascii="Arial" w:cs="Arial" w:eastAsia="Arial" w:hAnsi="Arial"/>
          <w:sz w:val="22"/>
          <w:szCs w:val="22"/>
        </w:rPr>
        <w:t xml:space="preserve">Deploy with the 0.75 escalation threshold and the two-stage monitor/escalate workflow described in Section 2.3.</w:t>
      </w:r>
    </w:p>
    <w:p>
      <w:pPr>
        <w:pStyle w:val="ListParagraph"/>
        <w:numPr>
          <w:ilvl w:val="0"/>
          <w:numId w:val="2"/>
        </w:numPr>
        <w:spacing w:after="40" w:before="40"/>
      </w:pPr>
      <w:r>
        <w:rPr>
          <w:rFonts w:ascii="Arial" w:cs="Arial" w:eastAsia="Arial" w:hAnsi="Arial"/>
          <w:sz w:val="22"/>
          <w:szCs w:val="22"/>
        </w:rPr>
        <w:t xml:space="preserve">Implement a mandatory baseline collection period of 3+ essays per student before the system begins scoring submissions.</w:t>
      </w:r>
    </w:p>
    <w:p>
      <w:pPr>
        <w:pStyle w:val="ListParagraph"/>
        <w:numPr>
          <w:ilvl w:val="0"/>
          <w:numId w:val="2"/>
        </w:numPr>
        <w:spacing w:after="40" w:before="40"/>
      </w:pPr>
      <w:r>
        <w:rPr>
          <w:rFonts w:ascii="Arial" w:cs="Arial" w:eastAsia="Arial" w:hAnsi="Arial"/>
          <w:sz w:val="22"/>
          <w:szCs w:val="22"/>
        </w:rPr>
        <w:t xml:space="preserve">Provide instructors with feature-level explanations (which stylometric dimensions drove the deviation score) to support human review of flagged essays.</w:t>
      </w:r>
    </w:p>
    <w:p>
      <w:pPr>
        <w:pStyle w:val="ListParagraph"/>
        <w:numPr>
          <w:ilvl w:val="0"/>
          <w:numId w:val="2"/>
        </w:numPr>
        <w:spacing w:after="40" w:before="40"/>
      </w:pPr>
      <w:r>
        <w:rPr>
          <w:rFonts w:ascii="Arial" w:cs="Arial" w:eastAsia="Arial" w:hAnsi="Arial"/>
          <w:sz w:val="22"/>
          <w:szCs w:val="22"/>
        </w:rPr>
        <w:t xml:space="preserve">Do not use Original as the sole determinant of academic misconduct findings. It is a detection aid that surfaces cases for human review, not a replacement for human judgment.</w:t>
      </w:r>
    </w:p>
    <w:p>
      <w:pPr>
        <w:pStyle w:val="Heading2"/>
        <w:spacing w:after="80" w:before="240"/>
      </w:pPr>
      <w:r>
        <w:rPr>
          <w:rFonts w:ascii="Arial" w:cs="Arial" w:eastAsia="Arial" w:hAnsi="Arial"/>
          <w:b/>
          <w:bCs/>
          <w:color w:val="2E75B6"/>
          <w:sz w:val="26"/>
          <w:szCs w:val="26"/>
        </w:rPr>
        <w:t xml:space="preserve">6.2 Ongoing Monitoring</w:t>
      </w:r>
    </w:p>
    <w:p>
      <w:pPr>
        <w:pStyle w:val="ListParagraph"/>
        <w:numPr>
          <w:ilvl w:val="0"/>
          <w:numId w:val="2"/>
        </w:numPr>
        <w:spacing w:after="40" w:before="40"/>
      </w:pPr>
      <w:r>
        <w:rPr>
          <w:rFonts w:ascii="Arial" w:cs="Arial" w:eastAsia="Arial" w:hAnsi="Arial"/>
          <w:sz w:val="22"/>
          <w:szCs w:val="22"/>
        </w:rPr>
        <w:t xml:space="preserve">Track FPR and TPR monthly as the production corpus grows. Flag any group whose FPR exceeds 2x the overall FPR for threshold review.</w:t>
      </w:r>
    </w:p>
    <w:p>
      <w:pPr>
        <w:pStyle w:val="ListParagraph"/>
        <w:numPr>
          <w:ilvl w:val="0"/>
          <w:numId w:val="2"/>
        </w:numPr>
        <w:spacing w:after="40" w:before="40"/>
      </w:pPr>
      <w:r>
        <w:rPr>
          <w:rFonts w:ascii="Arial" w:cs="Arial" w:eastAsia="Arial" w:hAnsi="Arial"/>
          <w:sz w:val="22"/>
          <w:szCs w:val="22"/>
        </w:rPr>
        <w:t xml:space="preserve">Retrain baselines annually to account for student writing style development over time.</w:t>
      </w:r>
    </w:p>
    <w:p>
      <w:pPr>
        <w:pStyle w:val="ListParagraph"/>
        <w:numPr>
          <w:ilvl w:val="0"/>
          <w:numId w:val="2"/>
        </w:numPr>
        <w:spacing w:after="40" w:before="40"/>
      </w:pPr>
      <w:r>
        <w:rPr>
          <w:rFonts w:ascii="Arial" w:cs="Arial" w:eastAsia="Arial" w:hAnsi="Arial"/>
          <w:sz w:val="22"/>
          <w:szCs w:val="22"/>
        </w:rPr>
        <w:t xml:space="preserve">Monitor native/non-native English FPR separation as described in Section 3.2.</w:t>
      </w:r>
    </w:p>
    <w:p>
      <w:pPr>
        <w:pStyle w:val="Heading2"/>
        <w:spacing w:after="80" w:before="240"/>
      </w:pPr>
      <w:r>
        <w:rPr>
          <w:rFonts w:ascii="Arial" w:cs="Arial" w:eastAsia="Arial" w:hAnsi="Arial"/>
          <w:b/>
          <w:bCs/>
          <w:color w:val="2E75B6"/>
          <w:sz w:val="26"/>
          <w:szCs w:val="26"/>
        </w:rPr>
        <w:t xml:space="preserve">6.3 Future Work</w:t>
      </w:r>
    </w:p>
    <w:p>
      <w:pPr>
        <w:pStyle w:val="ListParagraph"/>
        <w:numPr>
          <w:ilvl w:val="0"/>
          <w:numId w:val="2"/>
        </w:numPr>
        <w:spacing w:after="40" w:before="40"/>
      </w:pPr>
      <w:r>
        <w:rPr>
          <w:rFonts w:ascii="Arial" w:cs="Arial" w:eastAsia="Arial" w:hAnsi="Arial"/>
          <w:sz w:val="22"/>
          <w:szCs w:val="22"/>
        </w:rPr>
        <w:t xml:space="preserve">Phase 5: Competitor comparison study against Turnitin, GPTZero, and Originality.ai on the same corpus.</w:t>
      </w:r>
    </w:p>
    <w:p>
      <w:pPr>
        <w:pStyle w:val="ListParagraph"/>
        <w:numPr>
          <w:ilvl w:val="0"/>
          <w:numId w:val="2"/>
        </w:numPr>
        <w:spacing w:after="40" w:before="40"/>
      </w:pPr>
      <w:r>
        <w:rPr>
          <w:rFonts w:ascii="Arial" w:cs="Arial" w:eastAsia="Arial" w:hAnsi="Arial"/>
          <w:sz w:val="22"/>
          <w:szCs w:val="22"/>
        </w:rPr>
        <w:t xml:space="preserve">Enable sentence-transformer cohesion features and re-run calibration to quantify improvement.</w:t>
      </w:r>
    </w:p>
    <w:p>
      <w:pPr>
        <w:pStyle w:val="ListParagraph"/>
        <w:numPr>
          <w:ilvl w:val="0"/>
          <w:numId w:val="2"/>
        </w:numPr>
        <w:spacing w:after="40" w:before="40"/>
      </w:pPr>
      <w:r>
        <w:rPr>
          <w:rFonts w:ascii="Arial" w:cs="Arial" w:eastAsia="Arial" w:hAnsi="Arial"/>
          <w:sz w:val="22"/>
          <w:szCs w:val="22"/>
        </w:rPr>
        <w:t xml:space="preserve">IRB-approved pilot study with real seminary student data (with student consent) to validate synthetic corpus findings.</w:t>
      </w:r>
    </w:p>
    <w:p>
      <w:pPr>
        <w:pStyle w:val="ListParagraph"/>
        <w:numPr>
          <w:ilvl w:val="0"/>
          <w:numId w:val="2"/>
        </w:numPr>
        <w:spacing w:after="40" w:before="40"/>
      </w:pPr>
      <w:r>
        <w:rPr>
          <w:rFonts w:ascii="Arial" w:cs="Arial" w:eastAsia="Arial" w:hAnsi="Arial"/>
          <w:sz w:val="22"/>
          <w:szCs w:val="22"/>
        </w:rPr>
        <w:t xml:space="preserve">Expand corpus to include non-English theological writing for seminaries with multilingual student bodies.</w:t>
      </w:r>
    </w:p>
    <w:p>
      <w:pPr>
        <w:pageBreakBefore/>
      </w:pPr>
      <w:r>
        <w:t xml:space="preserve"/>
      </w:r>
    </w:p>
    <w:p>
      <w:pPr>
        <w:pStyle w:val="Heading1"/>
        <w:spacing w:after="120" w:before="360"/>
      </w:pPr>
      <w:r>
        <w:rPr>
          <w:rFonts w:ascii="Arial" w:cs="Arial" w:eastAsia="Arial" w:hAnsi="Arial"/>
          <w:b/>
          <w:bCs/>
          <w:color w:val="1F4E79"/>
          <w:sz w:val="32"/>
          <w:szCs w:val="32"/>
        </w:rPr>
        <w:t xml:space="preserve">Appendix: Glossary</w:t>
      </w:r>
    </w:p>
    <w:p>
      <w:pPr>
        <w:spacing w:after="40" w:before="40"/>
      </w:pPr>
      <w:r>
        <w:rPr>
          <w:rFonts w:ascii="Arial" w:cs="Arial" w:eastAsia="Arial" w:hAnsi="Arial"/>
          <w:b/>
          <w:bCs/>
          <w:color w:val="595959"/>
          <w:sz w:val="22"/>
          <w:szCs w:val="22"/>
        </w:rPr>
        <w:t xml:space="preserve">AUC: </w:t>
      </w:r>
      <w:r>
        <w:rPr>
          <w:rFonts w:ascii="Arial" w:cs="Arial" w:eastAsia="Arial" w:hAnsi="Arial"/>
          <w:b w:val="false"/>
          <w:bCs w:val="false"/>
          <w:color w:val="000000"/>
          <w:sz w:val="22"/>
          <w:szCs w:val="22"/>
        </w:rPr>
        <w:t xml:space="preserve">Area Under the ROC Curve. Measures overall discrimination ability from 0 to 1; 0.5 = random, 1.0 = perfect.</w:t>
      </w:r>
    </w:p>
    <w:p>
      <w:pPr>
        <w:spacing w:after="40" w:before="40"/>
      </w:pPr>
      <w:r>
        <w:rPr>
          <w:rFonts w:ascii="Arial" w:cs="Arial" w:eastAsia="Arial" w:hAnsi="Arial"/>
          <w:b/>
          <w:bCs/>
          <w:color w:val="595959"/>
          <w:sz w:val="22"/>
          <w:szCs w:val="22"/>
        </w:rPr>
        <w:t xml:space="preserve">Baseline: </w:t>
      </w:r>
      <w:r>
        <w:rPr>
          <w:rFonts w:ascii="Arial" w:cs="Arial" w:eastAsia="Arial" w:hAnsi="Arial"/>
          <w:b w:val="false"/>
          <w:bCs w:val="false"/>
          <w:color w:val="000000"/>
          <w:sz w:val="22"/>
          <w:szCs w:val="22"/>
        </w:rPr>
        <w:t xml:space="preserve">A set of verified authentic essays used to build a student's stylometric profile in the system.</w:t>
      </w:r>
    </w:p>
    <w:p>
      <w:pPr>
        <w:spacing w:after="40" w:before="40"/>
      </w:pPr>
      <w:r>
        <w:rPr>
          <w:rFonts w:ascii="Arial" w:cs="Arial" w:eastAsia="Arial" w:hAnsi="Arial"/>
          <w:b/>
          <w:bCs/>
          <w:color w:val="595959"/>
          <w:sz w:val="22"/>
          <w:szCs w:val="22"/>
        </w:rPr>
        <w:t xml:space="preserve">Cohen's d: </w:t>
      </w:r>
      <w:r>
        <w:rPr>
          <w:rFonts w:ascii="Arial" w:cs="Arial" w:eastAsia="Arial" w:hAnsi="Arial"/>
          <w:b w:val="false"/>
          <w:bCs w:val="false"/>
          <w:color w:val="000000"/>
          <w:sz w:val="22"/>
          <w:szCs w:val="22"/>
        </w:rPr>
        <w:t xml:space="preserve">Effect size statistic. d &lt; 0.2 = small, d &lt; 0.5 = medium, d &gt; 0.8 = large.</w:t>
      </w:r>
    </w:p>
    <w:p>
      <w:pPr>
        <w:spacing w:after="40" w:before="40"/>
      </w:pPr>
      <w:r>
        <w:rPr>
          <w:rFonts w:ascii="Arial" w:cs="Arial" w:eastAsia="Arial" w:hAnsi="Arial"/>
          <w:b/>
          <w:bCs/>
          <w:color w:val="595959"/>
          <w:sz w:val="22"/>
          <w:szCs w:val="22"/>
        </w:rPr>
        <w:t xml:space="preserve">Deviation Score: </w:t>
      </w:r>
      <w:r>
        <w:rPr>
          <w:rFonts w:ascii="Arial" w:cs="Arial" w:eastAsia="Arial" w:hAnsi="Arial"/>
          <w:b w:val="false"/>
          <w:bCs w:val="false"/>
          <w:color w:val="000000"/>
          <w:sz w:val="22"/>
          <w:szCs w:val="22"/>
        </w:rPr>
        <w:t xml:space="preserve">The model's measure of how much a submitted essay deviates from a student's established writing style. Range: 0 (identical) to 1 (maximum deviation).</w:t>
      </w:r>
    </w:p>
    <w:p>
      <w:pPr>
        <w:spacing w:after="40" w:before="40"/>
      </w:pPr>
      <w:r>
        <w:rPr>
          <w:rFonts w:ascii="Arial" w:cs="Arial" w:eastAsia="Arial" w:hAnsi="Arial"/>
          <w:b/>
          <w:bCs/>
          <w:color w:val="595959"/>
          <w:sz w:val="22"/>
          <w:szCs w:val="22"/>
        </w:rPr>
        <w:t xml:space="preserve">False Positive Rate (FPR): </w:t>
      </w:r>
      <w:r>
        <w:rPr>
          <w:rFonts w:ascii="Arial" w:cs="Arial" w:eastAsia="Arial" w:hAnsi="Arial"/>
          <w:b w:val="false"/>
          <w:bCs w:val="false"/>
          <w:color w:val="000000"/>
          <w:sz w:val="22"/>
          <w:szCs w:val="22"/>
        </w:rPr>
        <w:t xml:space="preserve">Proportion of authentic (innocent) essays flagged as suspicious. The primary fairness metric.</w:t>
      </w:r>
    </w:p>
    <w:p>
      <w:pPr>
        <w:spacing w:after="40" w:before="40"/>
      </w:pPr>
      <w:r>
        <w:rPr>
          <w:rFonts w:ascii="Arial" w:cs="Arial" w:eastAsia="Arial" w:hAnsi="Arial"/>
          <w:b/>
          <w:bCs/>
          <w:color w:val="595959"/>
          <w:sz w:val="22"/>
          <w:szCs w:val="22"/>
        </w:rPr>
        <w:t xml:space="preserve">LTI 1.3: </w:t>
      </w:r>
      <w:r>
        <w:rPr>
          <w:rFonts w:ascii="Arial" w:cs="Arial" w:eastAsia="Arial" w:hAnsi="Arial"/>
          <w:b w:val="false"/>
          <w:bCs w:val="false"/>
          <w:color w:val="000000"/>
          <w:sz w:val="22"/>
          <w:szCs w:val="22"/>
        </w:rPr>
        <w:t xml:space="preserve">Learning Tools Interoperability 1.3 — the Canvas integration standard. Original connects to Canvas via LTI 1.3.</w:t>
      </w:r>
    </w:p>
    <w:p>
      <w:pPr>
        <w:spacing w:after="40" w:before="40"/>
      </w:pPr>
      <w:r>
        <w:rPr>
          <w:rFonts w:ascii="Arial" w:cs="Arial" w:eastAsia="Arial" w:hAnsi="Arial"/>
          <w:b/>
          <w:bCs/>
          <w:color w:val="595959"/>
          <w:sz w:val="22"/>
          <w:szCs w:val="22"/>
        </w:rPr>
        <w:t xml:space="preserve">True Positive Rate (TPR): </w:t>
      </w:r>
      <w:r>
        <w:rPr>
          <w:rFonts w:ascii="Arial" w:cs="Arial" w:eastAsia="Arial" w:hAnsi="Arial"/>
          <w:b w:val="false"/>
          <w:bCs w:val="false"/>
          <w:color w:val="000000"/>
          <w:sz w:val="22"/>
          <w:szCs w:val="22"/>
        </w:rPr>
        <w:t xml:space="preserve">Proportion of ghostwritten/AI essays correctly detected. Also called sensitivity or recall.</w:t>
      </w:r>
    </w:p>
    <w:p>
      <w:pPr>
        <w:spacing w:after="40" w:before="40"/>
      </w:pPr>
      <w:r>
        <w:rPr>
          <w:rFonts w:ascii="Arial" w:cs="Arial" w:eastAsia="Arial" w:hAnsi="Arial"/>
          <w:b/>
          <w:bCs/>
          <w:color w:val="595959"/>
          <w:sz w:val="22"/>
          <w:szCs w:val="22"/>
        </w:rPr>
        <w:t xml:space="preserve">ROC Curve: </w:t>
      </w:r>
      <w:r>
        <w:rPr>
          <w:rFonts w:ascii="Arial" w:cs="Arial" w:eastAsia="Arial" w:hAnsi="Arial"/>
          <w:b w:val="false"/>
          <w:bCs w:val="false"/>
          <w:color w:val="000000"/>
          <w:sz w:val="22"/>
          <w:szCs w:val="22"/>
        </w:rPr>
        <w:t xml:space="preserve">Receiver Operating Characteristic curve. Plots TPR vs. FPR across all possible thresholds. Higher AUC = better discrimination.</w:t>
      </w:r>
    </w:p>
    <w:p>
      <w:pPr>
        <w:spacing w:after="60" w:before="60"/>
      </w:pPr>
      <w:r>
        <w:t xml:space="preserve"/>
      </w:r>
    </w:p>
    <w:p>
      <w:pPr>
        <w:spacing w:after="60" w:before="480"/>
        <w:jc w:val="center"/>
      </w:pPr>
      <w:r>
        <w:rPr>
          <w:rFonts w:ascii="Arial" w:cs="Arial" w:eastAsia="Arial" w:hAnsi="Arial"/>
          <w:i/>
          <w:iCs/>
          <w:color w:val="595959"/>
          <w:sz w:val="20"/>
          <w:szCs w:val="20"/>
        </w:rPr>
        <w:t xml:space="preserve">— End of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right"/>
    </w:pPr>
    <w:r>
      <w:rPr>
        <w:rFonts w:ascii="Arial" w:cs="Arial" w:eastAsia="Arial" w:hAnsi="Arial"/>
        <w:color w:val="595959"/>
        <w:sz w:val="18"/>
        <w:szCs w:val="18"/>
      </w:rPr>
      <w:t xml:space="preserve">Confidential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b/>
        <w:bCs/>
        <w:color w:val="2E75B6"/>
        <w:sz w:val="22"/>
        <w:szCs w:val="22"/>
      </w:rPr>
      <w:t xml:space="preserve">ORIGINAL</w:t>
    </w:r>
    <w:r>
      <w:rPr>
        <w:rFonts w:ascii="Arial" w:cs="Arial" w:eastAsia="Arial" w:hAnsi="Arial"/>
        <w:color w:val="595959"/>
        <w:sz w:val="20"/>
        <w:szCs w:val="20"/>
      </w:rPr>
      <w:t xml:space="preserve">  |  Phase 4 Validation &amp; Calibration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2026-05-11T04:55:29.837Z</dcterms:created>
  <dcterms:modified xsi:type="dcterms:W3CDTF">2026-05-11T04:55:29.837Z</dcterms:modified>
</cp:coreProperties>
</file>

<file path=docProps/custom.xml><?xml version="1.0" encoding="utf-8"?>
<Properties xmlns="http://schemas.openxmlformats.org/officeDocument/2006/custom-properties" xmlns:vt="http://schemas.openxmlformats.org/officeDocument/2006/docPropsVTypes"/>
</file>