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</w:pPr>
      <w:r>
        <w:rPr>
          <w:rFonts w:ascii="Arial" w:cs="Arial" w:eastAsia="Arial" w:hAnsi="Arial"/>
          <w:color w:val="8A8F99"/>
          <w:sz w:val="17"/>
          <w:szCs w:val="17"/>
        </w:rPr>
        <w:t xml:space="preserve">Weight scale:  </w:t>
      </w:r>
      <w:r>
        <w:rPr>
          <w:rFonts w:ascii="Arial" w:cs="Arial" w:eastAsia="Arial" w:hAnsi="Arial"/>
          <w:b/>
          <w:bCs/>
          <w:color w:val="9A6B1A"/>
          <w:sz w:val="17"/>
          <w:szCs w:val="17"/>
        </w:rPr>
        <w:t xml:space="preserve">0.8× </w:t>
      </w:r>
      <w:r>
        <w:rPr>
          <w:rFonts w:ascii="Arial" w:cs="Arial" w:eastAsia="Arial" w:hAnsi="Arial"/>
          <w:color w:val="8A8F99"/>
          <w:sz w:val="17"/>
          <w:szCs w:val="17"/>
        </w:rPr>
        <w:t xml:space="preserve">Low-signal     </w:t>
      </w: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1.0× </w:t>
      </w:r>
      <w:r>
        <w:rPr>
          <w:rFonts w:ascii="Arial" w:cs="Arial" w:eastAsia="Arial" w:hAnsi="Arial"/>
          <w:color w:val="8A8F99"/>
          <w:sz w:val="17"/>
          <w:szCs w:val="17"/>
        </w:rPr>
        <w:t xml:space="preserve">Baseline     </w:t>
      </w:r>
      <w:r>
        <w:rPr>
          <w:rFonts w:ascii="Arial" w:cs="Arial" w:eastAsia="Arial" w:hAnsi="Arial"/>
          <w:b/>
          <w:bCs/>
          <w:color w:val="1A3A6B"/>
          <w:sz w:val="17"/>
          <w:szCs w:val="17"/>
        </w:rPr>
        <w:t xml:space="preserve">1.1–1.2× </w:t>
      </w:r>
      <w:r>
        <w:rPr>
          <w:rFonts w:ascii="Arial" w:cs="Arial" w:eastAsia="Arial" w:hAnsi="Arial"/>
          <w:color w:val="8A8F99"/>
          <w:sz w:val="17"/>
          <w:szCs w:val="17"/>
        </w:rPr>
        <w:t xml:space="preserve">High-signal     </w:t>
      </w:r>
      <w:r>
        <w:rPr>
          <w:rFonts w:ascii="Arial" w:cs="Arial" w:eastAsia="Arial" w:hAnsi="Arial"/>
          <w:b/>
          <w:bCs/>
          <w:color w:val="1A5A3A"/>
          <w:sz w:val="17"/>
          <w:szCs w:val="17"/>
        </w:rPr>
        <w:t xml:space="preserve">1.3–1.4× </w:t>
      </w:r>
      <w:r>
        <w:rPr>
          <w:rFonts w:ascii="Arial" w:cs="Arial" w:eastAsia="Arial" w:hAnsi="Arial"/>
          <w:color w:val="8A8F99"/>
          <w:sz w:val="17"/>
          <w:szCs w:val="17"/>
        </w:rPr>
        <w:t xml:space="preserve">Identity-critical     </w:t>
      </w:r>
      <w:r>
        <w:rPr>
          <w:rFonts w:ascii="Arial" w:cs="Arial" w:eastAsia="Arial" w:hAnsi="Arial"/>
          <w:b/>
          <w:bCs/>
          <w:color w:val="9A4A00"/>
          <w:sz w:val="17"/>
          <w:szCs w:val="17"/>
        </w:rPr>
        <w:t xml:space="preserve">1.5× </w:t>
      </w:r>
      <w:r>
        <w:rPr>
          <w:rFonts w:ascii="Arial" w:cs="Arial" w:eastAsia="Arial" w:hAnsi="Arial"/>
          <w:color w:val="8A8F99"/>
          <w:sz w:val="17"/>
          <w:szCs w:val="17"/>
        </w:rPr>
        <w:t xml:space="preserve">Highest (disabled)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700"/>
        <w:gridCol w:w="400"/>
        <w:gridCol w:w="9700"/>
        <w:gridCol w:w="700"/>
      </w:tblGrid>
      <w:tr>
        <w:tc>
          <w:tcPr>
            <w:tcW w:type="dxa" w:w="9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4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9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Codes</w:t>
            </w:r>
          </w:p>
        </w:tc>
        <w:tc>
          <w:tcPr>
            <w:tcW w:type="dxa" w:w="700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Lexical Richness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1.0×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9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type_token_ratio  ·  hapax_legomena_rate  ·  mean_sentence_length  ·  sentence_length_variance  ·  function_word_ratio  ·  passive_voice_ratio  ·  modal_verb_ratio  ·  stop_word_ratio  ·  avg_word_length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T2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Cohesion &amp; Flow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1.0×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13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discourse_marker_density  ·  additive_ratio  ·  adversative_ratio  ·  causal_ratio  ·  temporal_ratio  ·  thematic_progression_score  ·  pronoun_reference_density  ·  lexical_chain_density  ·  paragraph_topic_position  ·  avg_paragraph_length  ·  sentence_opener_variety  ·  cohesion_device_ratio  ·  transition_density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T3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Rhetorical Register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6B1A"/>
                <w:sz w:val="16"/>
                <w:szCs w:val="16"/>
              </w:rPr>
              <w:t xml:space="preserve">0.8×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12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epistemic_certainty_ratio  ·  hedging_density  ·  assertion_density  ·  source_integration_style  ·  counter_argument_ratio  ·  claim_density  ·  question_ratio  ·  imperative_density  ·  first_person_ratio  ·  appeal_to_authority_density  ·  conclusion_strategy_score  ·  theological_register_score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T4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Punctuation &amp; Typography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6"/>
                <w:szCs w:val="16"/>
              </w:rPr>
              <w:t xml:space="preserve">1.3×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7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char_trigram_entropy  ·  punctuation_diversity  ·  comma_rate  ·  semicolon_colon_rate  ·  parenthetical_rate  ·  dash_rate  ·  quote_rate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T5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Syntactic Patterns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6"/>
                <w:szCs w:val="16"/>
              </w:rPr>
              <w:t xml:space="preserve">1.2×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7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pos_bigram_entropy  ·  pos_trigram_entropy  ·  noun_verb_ratio  ·  adjective_rate  ·  adverb_rate  ·  subordination_ratio  ·  clause_depth_mean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3A9A"/>
                <w:sz w:val="14"/>
                <w:szCs w:val="14"/>
              </w:rPr>
              <w:t xml:space="preserve">Requires spaCy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T6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Idiosyncratic Markers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6"/>
                <w:szCs w:val="16"/>
              </w:rPr>
              <w:t xml:space="preserve">1.4×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6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contraction_rate  ·  sentence_initial_conjunction_rate  ·  that_which_ratio  ·  citation_style_consistency  ·  list_marker_preference  ·  abbreviation_tendency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T7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Lexical Dynamics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1.1×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6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burstiness  ·  perplexity_proxy  ·  repetition_gap_entropy  ·  transition_predictability  ·  vocabulary_introduction_rate  ·  filler_hedge_cluster_rate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T8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Prosodic Rhythm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1.1×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4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stress_entropy_unigram  ·  stress_entropy_bigram  ·  clausulae_consistency  ·  breath_group_variance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T9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Argument Structure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6B1A"/>
                <w:sz w:val="16"/>
                <w:szCs w:val="16"/>
              </w:rPr>
              <w:t xml:space="preserve">0.9×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2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structural_centrist_penalty  ·  argument_sequence_likelihood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AF8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T10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Semantic Gravity Wells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1.0×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2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semantic_field_dispersion  ·  semantic_centroid_proximity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 (TF-IDF)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T11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Error Fingerprint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6"/>
                <w:szCs w:val="16"/>
              </w:rPr>
              <w:t xml:space="preserve">1.4×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3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error_kl_divergence  ·  stumble_rate_consistency  ·  punctuation_error_ratio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T12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Catastrophe Index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6"/>
                <w:szCs w:val="16"/>
              </w:rPr>
              <w:t xml:space="preserve">1.2×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1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catastrophe_index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T13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Clausular Cadence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6"/>
                <w:szCs w:val="16"/>
              </w:rPr>
              <w:t xml:space="preserve">1.3×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6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clausula_type_consistency  ·  breath_group_regularity  ·  vowel_sonority_ratio  ·  arc_resolution_score  ·  metric_flatness_score  ·  clausula_shape_preference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T14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Error Topology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6"/>
                <w:szCs w:val="16"/>
              </w:rPr>
              <w:t xml:space="preserve">1.3×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4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error_topology_consistency  ·  article_omission_rate  ·  pronoun_ambiguity_rate  ·  comma_splice_rate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EF4FB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T15</w:t>
            </w:r>
          </w:p>
        </w:tc>
        <w:tc>
          <w:tcPr>
            <w:tcW w:type="dxa" w:w="20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Rhetorical Devices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6"/>
                <w:szCs w:val="16"/>
              </w:rPr>
              <w:t xml:space="preserve">1.2×</w:t>
            </w:r>
          </w:p>
        </w:tc>
        <w:tc>
          <w:tcPr>
            <w:tcW w:type="dxa" w:w="4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5</w:t>
            </w:r>
          </w:p>
        </w:tc>
        <w:tc>
          <w:tcPr>
            <w:tcW w:type="dxa" w:w="9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semantic_field_concentration  ·  polysyndeton_ratio  ·  chiasmus_rate  ·  latinate_ratio  ·  nominalization_density</w:t>
            </w:r>
          </w:p>
        </w:tc>
        <w:tc>
          <w:tcPr>
            <w:tcW w:type="dxa" w:w="700"/>
            <w:tcBorders>
              <w:top w:val="single" w:color="D0D3DA" w:sz="1"/>
              <w:left w:val="single" w:color="D0D3DA" w:sz="1"/>
              <w:bottom w:val="single" w:color="D0D3DA" w:sz="1"/>
              <w:right w:val="single" w:color="D0D3DA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T16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Citation Fingerprint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6"/>
                <w:szCs w:val="16"/>
              </w:rPr>
              <w:t xml:space="preserve">1.4×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8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signal_verb_entropy  ·  signal_verb_assertiveness  ·  source_loyalty_index  ·  block_quote_rate  ·  citation_density_cv  ·  ibid_usage_rate  ·  citation_position_pref  ·  paraphrase_density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EBF5EE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A"/>
                <w:sz w:val="14"/>
                <w:szCs w:val="14"/>
              </w:rPr>
              <w:t xml:space="preserve">Active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6"/>
                <w:szCs w:val="16"/>
              </w:rPr>
              <w:t xml:space="preserve">T17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6F00"/>
                <w:sz w:val="16"/>
                <w:szCs w:val="16"/>
              </w:rPr>
              <w:t xml:space="preserve">Behavioral Biometrics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6"/>
                <w:szCs w:val="16"/>
              </w:rPr>
              <w:t xml:space="preserve">1.5×</w:t>
            </w:r>
          </w:p>
        </w:tc>
        <w:tc>
          <w:tcPr>
            <w:tcW w:type="dxa" w:w="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F99"/>
                <w:sz w:val="16"/>
                <w:szCs w:val="16"/>
              </w:rPr>
              <w:t xml:space="preserve">6</w:t>
            </w:r>
          </w:p>
        </w:tc>
        <w:tc>
          <w:tcPr>
            <w:tcW w:type="dxa" w:w="9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9A6F00"/>
                <w:sz w:val="15"/>
                <w:szCs w:val="15"/>
              </w:rPr>
              <w:t xml:space="preserve">typing_speed_cv  ·  burst_ratio  ·  deletion_rate  ·  pause_density  ·  paste_event_rate  ·  revision_depth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20" w:lineRule="exac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A6F00"/>
                <w:sz w:val="14"/>
                <w:szCs w:val="14"/>
              </w:rPr>
              <w:t xml:space="preserve">DISABLED — requires live keystroke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/>
          <w:bCs/>
          <w:color w:val="1A2B4A"/>
          <w:sz w:val="16"/>
          <w:szCs w:val="16"/>
        </w:rPr>
        <w:t xml:space="preserve">Notes: 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T4/T7/T11/T16 include comparison features (KL-divergence against baseline profile). 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T10 uses TF-IDF vectors when sentence-transformers/torch is unavailable.  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T17 toggled via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DISABLED_FEATURE_GROUPS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in constants.py — enabled only in Βluebook live-exam context.</w:t>
      </w:r>
    </w:p>
    <w:sectPr>
      <w:headerReference w:type="default" r:id="rId7"/>
      <w:footerReference w:type="default" r:id="rId8"/>
      <w:pgSz w:w="15840" w:h="12240" w:orient="landscape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EA" w:sz="4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A8F99"/>
        <w:sz w:val="16"/>
        <w:szCs w:val="16"/>
      </w:rPr>
      <w:t xml:space="preserve">101 features across 17 tiers  ·  Tier weights: 0.8× – 1.5×  ·  All values normalised to [0, 1]  ·  Comparison features computed against authenticated baseline at scoring time</w:t>
    </w:r>
    <w:r>
      <w:rPr>
        <w:rFonts w:ascii="Arial" w:cs="Arial" w:eastAsia="Arial" w:hAnsi="Arial"/>
        <w:color w:val="8A8F99"/>
        <w:sz w:val="16"/>
        <w:szCs w:val="16"/>
      </w:rPr>
      <w:t xml:space="preserve">	Confidential — Internal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B4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/>
        <w:bCs/>
        <w:color w:val="B8962E"/>
        <w:sz w:val="22"/>
        <w:szCs w:val="22"/>
      </w:rPr>
      <w:t xml:space="preserve">Ωriginal</w:t>
    </w:r>
    <w:r>
      <w:rPr>
        <w:rFonts w:ascii="Arial" w:cs="Arial" w:eastAsia="Arial" w:hAnsi="Arial"/>
        <w:color w:val="1A2B4A"/>
        <w:sz w:val="22"/>
        <w:szCs w:val="22"/>
      </w:rPr>
      <w:t xml:space="preserve">  —  Stylometric Features Reference</w:t>
    </w:r>
    <w:r>
      <w:rPr>
        <w:rFonts w:ascii="Arial" w:cs="Arial" w:eastAsia="Arial" w:hAnsi="Arial"/>
        <w:color w:val="8A8F99"/>
        <w:sz w:val="20"/>
        <w:szCs w:val="20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2026-05-06T04:57:50.660Z</dcterms:created>
  <dcterms:modified xsi:type="dcterms:W3CDTF">2026-05-06T04:57:50.660Z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