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60"/>
          <w:szCs w:val="60"/>
        </w:rPr>
        <w:t xml:space="preserve">ORIGINAL</w:t>
      </w:r>
    </w:p>
    <w:p>
      <w:pPr>
        <w:pBdr>
          <w:bottom w:val="single" w:color="2E75B6" w:sz="8" w:space="4"/>
        </w:pBdr>
        <w:spacing w:after="480" w:before="0"/>
        <w:jc w:val="center"/>
      </w:pPr>
      <w:r>
        <w:rPr>
          <w:rFonts w:ascii="Arial" w:cs="Arial" w:eastAsia="Arial" w:hAnsi="Arial"/>
          <w:b/>
          <w:bCs/>
          <w:color w:val="2E75B6"/>
          <w:sz w:val="26"/>
          <w:szCs w:val="26"/>
        </w:rPr>
        <w:t xml:space="preserve">Competitive Analysis: Original vs. Turnitin, GPTZero, and Originality.ai</w:t>
      </w:r>
    </w:p>
    <w:p>
      <w:pPr>
        <w:spacing w:after="60" w:before="60"/>
      </w:pPr>
      <w:r>
        <w:t xml:space="preserve"/>
      </w:r>
    </w:p>
    <w:p>
      <w:pPr>
        <w:shd w:fill="1F4E79" w:val="clear"/>
        <w:spacing w:after="120" w:before="120"/>
        <w:jc w:val="center"/>
      </w:pPr>
      <w:r>
        <w:rPr>
          <w:rFonts w:ascii="Arial" w:cs="Arial" w:eastAsia="Arial" w:hAnsi="Arial"/>
          <w:b/>
          <w:bCs/>
          <w:color w:val="FFFFFF"/>
          <w:sz w:val="24"/>
          <w:szCs w:val="24"/>
        </w:rPr>
        <w:t xml:space="preserve">Original is the only academic integrity tool that can answer: 'Did this specific student write this specific paper?'</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Weighted Capability Scores (out of 5.0)</w:t>
      </w:r>
    </w:p>
    <w:p>
      <w:pPr>
        <w:spacing w:after="120" w:before="60"/>
      </w:pPr>
      <w:r>
        <w:rPr>
          <w:rFonts w:ascii="Arial" w:cs="Arial" w:eastAsia="Arial" w:hAnsi="Arial"/>
          <w:color w:val="000000"/>
          <w:sz w:val="22"/>
          <w:szCs w:val="22"/>
        </w:rPr>
        <w:t xml:space="preserve">Scores are based on a 9-dimension capability framework weighted by importance to seminary and theological education. Higher is better.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6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 Dimension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Original</w:t>
            </w:r>
          </w:p>
        </w:tc>
        <w:tc>
          <w:tcPr>
            <w:tcW w:type="dxa" w:w="1560"/>
            <w:tcBorders>
              <w:top w:val="single" w:color="CCCCCC" w:sz="1"/>
              <w:left w:val="single" w:color="CCCCCC" w:sz="1"/>
              <w:bottom w:val="single" w:color="CCCCCC" w:sz="1"/>
              <w:right w:val="single" w:color="CCCCCC" w:sz="1"/>
            </w:tcBorders>
            <w:shd w:fill="44444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Turnitin</w:t>
            </w:r>
          </w:p>
        </w:tc>
        <w:tc>
          <w:tcPr>
            <w:tcW w:type="dxa" w:w="1560"/>
            <w:tcBorders>
              <w:top w:val="single" w:color="CCCCCC" w:sz="1"/>
              <w:left w:val="single" w:color="CCCCCC" w:sz="1"/>
              <w:bottom w:val="single" w:color="CCCCCC" w:sz="1"/>
              <w:right w:val="single" w:color="CCCCCC" w:sz="1"/>
            </w:tcBorders>
            <w:shd w:fill="44444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GPTZero</w:t>
            </w:r>
          </w:p>
        </w:tc>
        <w:tc>
          <w:tcPr>
            <w:tcW w:type="dxa" w:w="1680"/>
            <w:tcBorders>
              <w:top w:val="single" w:color="CCCCCC" w:sz="1"/>
              <w:left w:val="single" w:color="CCCCCC" w:sz="1"/>
              <w:bottom w:val="single" w:color="CCCCCC" w:sz="1"/>
              <w:right w:val="single" w:color="CCCCCC" w:sz="1"/>
            </w:tcBorders>
            <w:shd w:fill="44444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Originality.ai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Authorship Verification</w:t>
            </w:r>
          </w:p>
        </w:tc>
        <w:tc>
          <w:tcPr>
            <w:tcW w:type="dxa" w:w="15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F7C3B"/>
                <w:sz w:val="20"/>
                <w:szCs w:val="20"/>
              </w:rPr>
              <w:t xml:space="preserve">5.0/5</w:t>
            </w:r>
          </w:p>
        </w:tc>
        <w:tc>
          <w:tcPr>
            <w:tcW w:type="dxa" w:w="156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1.0/5</w:t>
            </w:r>
          </w:p>
        </w:tc>
        <w:tc>
          <w:tcPr>
            <w:tcW w:type="dxa" w:w="156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1.0/5</w:t>
            </w:r>
          </w:p>
        </w:tc>
        <w:tc>
          <w:tcPr>
            <w:tcW w:type="dxa" w:w="168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1.0/5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Ghostwriting Detection</w:t>
            </w:r>
          </w:p>
        </w:tc>
        <w:tc>
          <w:tcPr>
            <w:tcW w:type="dxa" w:w="15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F7C3B"/>
                <w:sz w:val="20"/>
                <w:szCs w:val="20"/>
              </w:rPr>
              <w:t xml:space="preserve">5.0/5</w:t>
            </w:r>
          </w:p>
        </w:tc>
        <w:tc>
          <w:tcPr>
            <w:tcW w:type="dxa" w:w="156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1.0/5</w:t>
            </w:r>
          </w:p>
        </w:tc>
        <w:tc>
          <w:tcPr>
            <w:tcW w:type="dxa" w:w="156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1.0/5</w:t>
            </w:r>
          </w:p>
        </w:tc>
        <w:tc>
          <w:tcPr>
            <w:tcW w:type="dxa" w:w="168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 Content Detection</w:t>
            </w:r>
          </w:p>
        </w:tc>
        <w:tc>
          <w:tcPr>
            <w:tcW w:type="dxa" w:w="1560"/>
            <w:tcBorders>
              <w:top w:val="single" w:color="CCCCCC" w:sz="1"/>
              <w:left w:val="single" w:color="CCCCCC" w:sz="1"/>
              <w:bottom w:val="single" w:color="CCCCCC" w:sz="1"/>
              <w:right w:val="single" w:color="CCCCCC" w:sz="1"/>
            </w:tcBorders>
            <w:shd w:fill="E3F2FD"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3.5/5</w:t>
            </w:r>
          </w:p>
        </w:tc>
        <w:tc>
          <w:tcPr>
            <w:tcW w:type="dxa" w:w="15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F7C3B"/>
                <w:sz w:val="20"/>
                <w:szCs w:val="20"/>
              </w:rPr>
              <w:t xml:space="preserve">4.5/5</w:t>
            </w:r>
          </w:p>
        </w:tc>
        <w:tc>
          <w:tcPr>
            <w:tcW w:type="dxa" w:w="15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F7C3B"/>
                <w:sz w:val="20"/>
                <w:szCs w:val="20"/>
              </w:rPr>
              <w:t xml:space="preserve">4.0/5</w:t>
            </w:r>
          </w:p>
        </w:tc>
        <w:tc>
          <w:tcPr>
            <w:tcW w:type="dxa" w:w="168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F7C3B"/>
                <w:sz w:val="20"/>
                <w:szCs w:val="20"/>
              </w:rPr>
              <w:t xml:space="preserve">4.0/5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Pedagogical Integration</w:t>
            </w:r>
          </w:p>
        </w:tc>
        <w:tc>
          <w:tcPr>
            <w:tcW w:type="dxa" w:w="15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F7C3B"/>
                <w:sz w:val="20"/>
                <w:szCs w:val="20"/>
              </w:rPr>
              <w:t xml:space="preserve">5.0/5</w:t>
            </w:r>
          </w:p>
        </w:tc>
        <w:tc>
          <w:tcPr>
            <w:tcW w:type="dxa" w:w="1560"/>
            <w:tcBorders>
              <w:top w:val="single" w:color="CCCCCC" w:sz="1"/>
              <w:left w:val="single" w:color="CCCCCC" w:sz="1"/>
              <w:bottom w:val="single" w:color="CCCCCC" w:sz="1"/>
              <w:right w:val="single" w:color="CCCCCC" w:sz="1"/>
            </w:tcBorders>
            <w:shd w:fill="FFF8E1" w:val="clear"/>
            <w:tcMar>
              <w:top w:type="dxa" w:w="80"/>
              <w:left w:type="dxa" w:w="80"/>
              <w:bottom w:type="dxa" w:w="80"/>
              <w:right w:type="dxa" w:w="80"/>
            </w:tcMar>
            <w:vAlign w:val="center"/>
          </w:tcPr>
          <w:p>
            <w:pPr>
              <w:jc w:val="center"/>
            </w:pPr>
            <w:r>
              <w:rPr>
                <w:rFonts w:ascii="Arial" w:cs="Arial" w:eastAsia="Arial" w:hAnsi="Arial"/>
                <w:b/>
                <w:bCs/>
                <w:color w:val="7C4D00"/>
                <w:sz w:val="20"/>
                <w:szCs w:val="20"/>
              </w:rPr>
              <w:t xml:space="preserve">2.5/5</w:t>
            </w:r>
          </w:p>
        </w:tc>
        <w:tc>
          <w:tcPr>
            <w:tcW w:type="dxa" w:w="156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1.5/5</w:t>
            </w:r>
          </w:p>
        </w:tc>
        <w:tc>
          <w:tcPr>
            <w:tcW w:type="dxa" w:w="168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1.5/5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False Positive Handling</w:t>
            </w:r>
          </w:p>
        </w:tc>
        <w:tc>
          <w:tcPr>
            <w:tcW w:type="dxa" w:w="15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F7C3B"/>
                <w:sz w:val="20"/>
                <w:szCs w:val="20"/>
              </w:rPr>
              <w:t xml:space="preserve">4.5/5</w:t>
            </w:r>
          </w:p>
        </w:tc>
        <w:tc>
          <w:tcPr>
            <w:tcW w:type="dxa" w:w="1560"/>
            <w:tcBorders>
              <w:top w:val="single" w:color="CCCCCC" w:sz="1"/>
              <w:left w:val="single" w:color="CCCCCC" w:sz="1"/>
              <w:bottom w:val="single" w:color="CCCCCC" w:sz="1"/>
              <w:right w:val="single" w:color="CCCCCC" w:sz="1"/>
            </w:tcBorders>
            <w:shd w:fill="E3F2FD"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3.0/5</w:t>
            </w:r>
          </w:p>
        </w:tc>
        <w:tc>
          <w:tcPr>
            <w:tcW w:type="dxa" w:w="1560"/>
            <w:tcBorders>
              <w:top w:val="single" w:color="CCCCCC" w:sz="1"/>
              <w:left w:val="single" w:color="CCCCCC" w:sz="1"/>
              <w:bottom w:val="single" w:color="CCCCCC" w:sz="1"/>
              <w:right w:val="single" w:color="CCCCCC" w:sz="1"/>
            </w:tcBorders>
            <w:shd w:fill="FFF8E1" w:val="clear"/>
            <w:tcMar>
              <w:top w:type="dxa" w:w="80"/>
              <w:left w:type="dxa" w:w="80"/>
              <w:bottom w:type="dxa" w:w="80"/>
              <w:right w:type="dxa" w:w="80"/>
            </w:tcMar>
            <w:vAlign w:val="center"/>
          </w:tcPr>
          <w:p>
            <w:pPr>
              <w:jc w:val="center"/>
            </w:pPr>
            <w:r>
              <w:rPr>
                <w:rFonts w:ascii="Arial" w:cs="Arial" w:eastAsia="Arial" w:hAnsi="Arial"/>
                <w:b/>
                <w:bCs/>
                <w:color w:val="7C4D00"/>
                <w:sz w:val="20"/>
                <w:szCs w:val="20"/>
              </w:rPr>
              <w:t xml:space="preserve">2.0/5</w:t>
            </w:r>
          </w:p>
        </w:tc>
        <w:tc>
          <w:tcPr>
            <w:tcW w:type="dxa" w:w="1680"/>
            <w:tcBorders>
              <w:top w:val="single" w:color="CCCCCC" w:sz="1"/>
              <w:left w:val="single" w:color="CCCCCC" w:sz="1"/>
              <w:bottom w:val="single" w:color="CCCCCC" w:sz="1"/>
              <w:right w:val="single" w:color="CCCCCC" w:sz="1"/>
            </w:tcBorders>
            <w:shd w:fill="FFF8E1" w:val="clear"/>
            <w:tcMar>
              <w:top w:type="dxa" w:w="80"/>
              <w:left w:type="dxa" w:w="80"/>
              <w:bottom w:type="dxa" w:w="80"/>
              <w:right w:type="dxa" w:w="80"/>
            </w:tcMar>
            <w:vAlign w:val="center"/>
          </w:tcPr>
          <w:p>
            <w:pPr>
              <w:jc w:val="center"/>
            </w:pPr>
            <w:r>
              <w:rPr>
                <w:rFonts w:ascii="Arial" w:cs="Arial" w:eastAsia="Arial" w:hAnsi="Arial"/>
                <w:b/>
                <w:bCs/>
                <w:color w:val="7C4D00"/>
                <w:sz w:val="20"/>
                <w:szCs w:val="20"/>
              </w:rPr>
              <w:t xml:space="preserve">2.5/5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Longitudinal Tracking</w:t>
            </w:r>
          </w:p>
        </w:tc>
        <w:tc>
          <w:tcPr>
            <w:tcW w:type="dxa" w:w="15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F7C3B"/>
                <w:sz w:val="20"/>
                <w:szCs w:val="20"/>
              </w:rPr>
              <w:t xml:space="preserve">5.0/5</w:t>
            </w:r>
          </w:p>
        </w:tc>
        <w:tc>
          <w:tcPr>
            <w:tcW w:type="dxa" w:w="156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1.5/5</w:t>
            </w:r>
          </w:p>
        </w:tc>
        <w:tc>
          <w:tcPr>
            <w:tcW w:type="dxa" w:w="156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1.0/5</w:t>
            </w:r>
          </w:p>
        </w:tc>
        <w:tc>
          <w:tcPr>
            <w:tcW w:type="dxa" w:w="168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Privacy &amp; Data Sovereignty</w:t>
            </w:r>
          </w:p>
        </w:tc>
        <w:tc>
          <w:tcPr>
            <w:tcW w:type="dxa" w:w="15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F7C3B"/>
                <w:sz w:val="20"/>
                <w:szCs w:val="20"/>
              </w:rPr>
              <w:t xml:space="preserve">5.0/5</w:t>
            </w:r>
          </w:p>
        </w:tc>
        <w:tc>
          <w:tcPr>
            <w:tcW w:type="dxa" w:w="1560"/>
            <w:tcBorders>
              <w:top w:val="single" w:color="CCCCCC" w:sz="1"/>
              <w:left w:val="single" w:color="CCCCCC" w:sz="1"/>
              <w:bottom w:val="single" w:color="CCCCCC" w:sz="1"/>
              <w:right w:val="single" w:color="CCCCCC" w:sz="1"/>
            </w:tcBorders>
            <w:shd w:fill="FFF8E1" w:val="clear"/>
            <w:tcMar>
              <w:top w:type="dxa" w:w="80"/>
              <w:left w:type="dxa" w:w="80"/>
              <w:bottom w:type="dxa" w:w="80"/>
              <w:right w:type="dxa" w:w="80"/>
            </w:tcMar>
            <w:vAlign w:val="center"/>
          </w:tcPr>
          <w:p>
            <w:pPr>
              <w:jc w:val="center"/>
            </w:pPr>
            <w:r>
              <w:rPr>
                <w:rFonts w:ascii="Arial" w:cs="Arial" w:eastAsia="Arial" w:hAnsi="Arial"/>
                <w:b/>
                <w:bCs/>
                <w:color w:val="7C4D00"/>
                <w:sz w:val="20"/>
                <w:szCs w:val="20"/>
              </w:rPr>
              <w:t xml:space="preserve">2.0/5</w:t>
            </w:r>
          </w:p>
        </w:tc>
        <w:tc>
          <w:tcPr>
            <w:tcW w:type="dxa" w:w="1560"/>
            <w:tcBorders>
              <w:top w:val="single" w:color="CCCCCC" w:sz="1"/>
              <w:left w:val="single" w:color="CCCCCC" w:sz="1"/>
              <w:bottom w:val="single" w:color="CCCCCC" w:sz="1"/>
              <w:right w:val="single" w:color="CCCCCC" w:sz="1"/>
            </w:tcBorders>
            <w:shd w:fill="FFF8E1" w:val="clear"/>
            <w:tcMar>
              <w:top w:type="dxa" w:w="80"/>
              <w:left w:type="dxa" w:w="80"/>
              <w:bottom w:type="dxa" w:w="80"/>
              <w:right w:type="dxa" w:w="80"/>
            </w:tcMar>
            <w:vAlign w:val="center"/>
          </w:tcPr>
          <w:p>
            <w:pPr>
              <w:jc w:val="center"/>
            </w:pPr>
            <w:r>
              <w:rPr>
                <w:rFonts w:ascii="Arial" w:cs="Arial" w:eastAsia="Arial" w:hAnsi="Arial"/>
                <w:b/>
                <w:bCs/>
                <w:color w:val="7C4D00"/>
                <w:sz w:val="20"/>
                <w:szCs w:val="20"/>
              </w:rPr>
              <w:t xml:space="preserve">2.5/5</w:t>
            </w:r>
          </w:p>
        </w:tc>
        <w:tc>
          <w:tcPr>
            <w:tcW w:type="dxa" w:w="1680"/>
            <w:tcBorders>
              <w:top w:val="single" w:color="CCCCCC" w:sz="1"/>
              <w:left w:val="single" w:color="CCCCCC" w:sz="1"/>
              <w:bottom w:val="single" w:color="CCCCCC" w:sz="1"/>
              <w:right w:val="single" w:color="CCCCCC" w:sz="1"/>
            </w:tcBorders>
            <w:shd w:fill="FFF8E1" w:val="clear"/>
            <w:tcMar>
              <w:top w:type="dxa" w:w="80"/>
              <w:left w:type="dxa" w:w="80"/>
              <w:bottom w:type="dxa" w:w="80"/>
              <w:right w:type="dxa" w:w="80"/>
            </w:tcMar>
            <w:vAlign w:val="center"/>
          </w:tcPr>
          <w:p>
            <w:pPr>
              <w:jc w:val="center"/>
            </w:pPr>
            <w:r>
              <w:rPr>
                <w:rFonts w:ascii="Arial" w:cs="Arial" w:eastAsia="Arial" w:hAnsi="Arial"/>
                <w:b/>
                <w:bCs/>
                <w:color w:val="7C4D00"/>
                <w:sz w:val="20"/>
                <w:szCs w:val="20"/>
              </w:rPr>
              <w:t xml:space="preserve">2.5/5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LMS Integration Depth</w:t>
            </w:r>
          </w:p>
        </w:tc>
        <w:tc>
          <w:tcPr>
            <w:tcW w:type="dxa" w:w="1560"/>
            <w:tcBorders>
              <w:top w:val="single" w:color="CCCCCC" w:sz="1"/>
              <w:left w:val="single" w:color="CCCCCC" w:sz="1"/>
              <w:bottom w:val="single" w:color="CCCCCC" w:sz="1"/>
              <w:right w:val="single" w:color="CCCCCC" w:sz="1"/>
            </w:tcBorders>
            <w:shd w:fill="E3F2FD"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3.5/5</w:t>
            </w:r>
          </w:p>
        </w:tc>
        <w:tc>
          <w:tcPr>
            <w:tcW w:type="dxa" w:w="15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F7C3B"/>
                <w:sz w:val="20"/>
                <w:szCs w:val="20"/>
              </w:rPr>
              <w:t xml:space="preserve">5.0/5</w:t>
            </w:r>
          </w:p>
        </w:tc>
        <w:tc>
          <w:tcPr>
            <w:tcW w:type="dxa" w:w="1560"/>
            <w:tcBorders>
              <w:top w:val="single" w:color="CCCCCC" w:sz="1"/>
              <w:left w:val="single" w:color="CCCCCC" w:sz="1"/>
              <w:bottom w:val="single" w:color="CCCCCC" w:sz="1"/>
              <w:right w:val="single" w:color="CCCCCC" w:sz="1"/>
            </w:tcBorders>
            <w:shd w:fill="FFF8E1" w:val="clear"/>
            <w:tcMar>
              <w:top w:type="dxa" w:w="80"/>
              <w:left w:type="dxa" w:w="80"/>
              <w:bottom w:type="dxa" w:w="80"/>
              <w:right w:type="dxa" w:w="80"/>
            </w:tcMar>
            <w:vAlign w:val="center"/>
          </w:tcPr>
          <w:p>
            <w:pPr>
              <w:jc w:val="center"/>
            </w:pPr>
            <w:r>
              <w:rPr>
                <w:rFonts w:ascii="Arial" w:cs="Arial" w:eastAsia="Arial" w:hAnsi="Arial"/>
                <w:b/>
                <w:bCs/>
                <w:color w:val="7C4D00"/>
                <w:sz w:val="20"/>
                <w:szCs w:val="20"/>
              </w:rPr>
              <w:t xml:space="preserve">2.5/5</w:t>
            </w:r>
          </w:p>
        </w:tc>
        <w:tc>
          <w:tcPr>
            <w:tcW w:type="dxa" w:w="168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1.5/5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Cost Efficiency</w:t>
            </w:r>
          </w:p>
        </w:tc>
        <w:tc>
          <w:tcPr>
            <w:tcW w:type="dxa" w:w="15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F7C3B"/>
                <w:sz w:val="20"/>
                <w:szCs w:val="20"/>
              </w:rPr>
              <w:t xml:space="preserve">5.0/5</w:t>
            </w:r>
          </w:p>
        </w:tc>
        <w:tc>
          <w:tcPr>
            <w:tcW w:type="dxa" w:w="1560"/>
            <w:tcBorders>
              <w:top w:val="single" w:color="CCCCCC" w:sz="1"/>
              <w:left w:val="single" w:color="CCCCCC" w:sz="1"/>
              <w:bottom w:val="single" w:color="CCCCCC" w:sz="1"/>
              <w:right w:val="single" w:color="CCCCCC" w:sz="1"/>
            </w:tcBorders>
            <w:shd w:fill="FFF8E1" w:val="clear"/>
            <w:tcMar>
              <w:top w:type="dxa" w:w="80"/>
              <w:left w:type="dxa" w:w="80"/>
              <w:bottom w:type="dxa" w:w="80"/>
              <w:right w:type="dxa" w:w="80"/>
            </w:tcMar>
            <w:vAlign w:val="center"/>
          </w:tcPr>
          <w:p>
            <w:pPr>
              <w:jc w:val="center"/>
            </w:pPr>
            <w:r>
              <w:rPr>
                <w:rFonts w:ascii="Arial" w:cs="Arial" w:eastAsia="Arial" w:hAnsi="Arial"/>
                <w:b/>
                <w:bCs/>
                <w:color w:val="7C4D00"/>
                <w:sz w:val="20"/>
                <w:szCs w:val="20"/>
              </w:rPr>
              <w:t xml:space="preserve">2.0/5</w:t>
            </w:r>
          </w:p>
        </w:tc>
        <w:tc>
          <w:tcPr>
            <w:tcW w:type="dxa" w:w="1560"/>
            <w:tcBorders>
              <w:top w:val="single" w:color="CCCCCC" w:sz="1"/>
              <w:left w:val="single" w:color="CCCCCC" w:sz="1"/>
              <w:bottom w:val="single" w:color="CCCCCC" w:sz="1"/>
              <w:right w:val="single" w:color="CCCCCC" w:sz="1"/>
            </w:tcBorders>
            <w:shd w:fill="E3F2FD"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3.5/5</w:t>
            </w:r>
          </w:p>
        </w:tc>
        <w:tc>
          <w:tcPr>
            <w:tcW w:type="dxa" w:w="1680"/>
            <w:tcBorders>
              <w:top w:val="single" w:color="CCCCCC" w:sz="1"/>
              <w:left w:val="single" w:color="CCCCCC" w:sz="1"/>
              <w:bottom w:val="single" w:color="CCCCCC" w:sz="1"/>
              <w:right w:val="single" w:color="CCCCCC" w:sz="1"/>
            </w:tcBorders>
            <w:shd w:fill="E3F2FD" w:val="clear"/>
            <w:tcMar>
              <w:top w:type="dxa" w:w="80"/>
              <w:left w:type="dxa" w:w="80"/>
              <w:bottom w:type="dxa" w:w="80"/>
              <w:right w:type="dxa" w:w="80"/>
            </w:tcMar>
            <w:vAlign w:val="center"/>
          </w:tcPr>
          <w:p>
            <w:pPr>
              <w:jc w:val="center"/>
            </w:pPr>
            <w:r>
              <w:rPr>
                <w:rFonts w:ascii="Arial" w:cs="Arial" w:eastAsia="Arial" w:hAnsi="Arial"/>
                <w:b/>
                <w:bCs/>
                <w:color w:val="2E75B6"/>
                <w:sz w:val="20"/>
                <w:szCs w:val="20"/>
              </w:rPr>
              <w:t xml:space="preserve">3.0/5</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WEIGHTED TOTAL</w:t>
            </w:r>
          </w:p>
        </w:tc>
        <w:tc>
          <w:tcPr>
            <w:tcW w:type="dxa" w:w="15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bCs/>
                <w:color w:val="1F7C3B"/>
                <w:sz w:val="20"/>
                <w:szCs w:val="20"/>
              </w:rPr>
              <w:t xml:space="preserve">4.7/5</w:t>
            </w:r>
          </w:p>
        </w:tc>
        <w:tc>
          <w:tcPr>
            <w:tcW w:type="dxa" w:w="1560"/>
            <w:tcBorders>
              <w:top w:val="single" w:color="CCCCCC" w:sz="1"/>
              <w:left w:val="single" w:color="CCCCCC" w:sz="1"/>
              <w:bottom w:val="single" w:color="CCCCCC" w:sz="1"/>
              <w:right w:val="single" w:color="CCCCCC" w:sz="1"/>
            </w:tcBorders>
            <w:shd w:fill="FFF8E1" w:val="clear"/>
            <w:tcMar>
              <w:top w:type="dxa" w:w="80"/>
              <w:left w:type="dxa" w:w="80"/>
              <w:bottom w:type="dxa" w:w="80"/>
              <w:right w:type="dxa" w:w="80"/>
            </w:tcMar>
            <w:vAlign w:val="center"/>
          </w:tcPr>
          <w:p>
            <w:pPr>
              <w:jc w:val="center"/>
            </w:pPr>
            <w:r>
              <w:rPr>
                <w:rFonts w:ascii="Arial" w:cs="Arial" w:eastAsia="Arial" w:hAnsi="Arial"/>
                <w:b/>
                <w:bCs/>
                <w:color w:val="7C4D00"/>
                <w:sz w:val="20"/>
                <w:szCs w:val="20"/>
              </w:rPr>
              <w:t xml:space="preserve">2.3/5</w:t>
            </w:r>
          </w:p>
        </w:tc>
        <w:tc>
          <w:tcPr>
            <w:tcW w:type="dxa" w:w="156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1.9/5</w:t>
            </w:r>
          </w:p>
        </w:tc>
        <w:tc>
          <w:tcPr>
            <w:tcW w:type="dxa" w:w="168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20"/>
                <w:szCs w:val="20"/>
              </w:rPr>
              <w:t xml:space="preserve">1.9/5</w:t>
            </w:r>
          </w:p>
        </w:tc>
      </w:tr>
    </w:tbl>
    <w:p>
      <w:pPr>
        <w:spacing w:after="60" w:before="60"/>
      </w:pPr>
      <w:r>
        <w:t xml:space="preserve"/>
      </w:r>
    </w:p>
    <w:p>
      <w:pPr>
        <w:spacing w:after="120" w:before="60"/>
      </w:pPr>
      <w:r>
        <w:rPr>
          <w:rFonts w:ascii="Arial" w:cs="Arial" w:eastAsia="Arial" w:hAnsi="Arial"/>
          <w:i/>
          <w:iCs/>
          <w:color w:val="000000"/>
          <w:sz w:val="22"/>
          <w:szCs w:val="22"/>
        </w:rPr>
        <w:t xml:space="preserve">Original outperforms all three competitors in 7 of 9 capability dimensions. The two gaps — AI content detection and LMS integration depth — are known and addressed in the product roadmap.</w:t>
      </w:r>
    </w:p>
    <w:p>
      <w:pPr>
        <w:pageBreakBefore/>
      </w:pPr>
      <w:r>
        <w:t xml:space="preserve"/>
      </w:r>
    </w:p>
    <w:p>
      <w:pPr>
        <w:pStyle w:val="Heading1"/>
        <w:spacing w:after="120" w:before="360"/>
      </w:pPr>
      <w:r>
        <w:rPr>
          <w:rFonts w:ascii="Arial" w:cs="Arial" w:eastAsia="Arial" w:hAnsi="Arial"/>
          <w:b/>
          <w:bCs/>
          <w:color w:val="1F4E79"/>
          <w:sz w:val="32"/>
          <w:szCs w:val="32"/>
        </w:rPr>
        <w:t xml:space="preserve">Dimension-by-Dimension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Original</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Key Gap vs Competitors</w:t>
            </w:r>
          </w:p>
        </w:tc>
      </w:tr>
      <w:tr>
        <w:trPr>
          <w:tblHeader w:val="false"/>
        </w:trP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Authorship Verification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Per-student stylometric baseline. The only tool that can answer: 'Did THIS student write this?'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Competitors cannot verify individual authorship — they detect AI or match text databases.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Ghostwriting Detection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Detects any author change — human or AI. Core differentiator.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Turnitin, GPTZero, and Originality.ai cannot detect human ghostwriting.</w:t>
            </w:r>
          </w:p>
        </w:tc>
      </w:tr>
      <w:tr>
        <w:trPr>
          <w:tblHeader w:val="false"/>
        </w:trP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AI Detection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Tier 7 features + baseline deviation. Functional but not the primary value.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Turnitin AI module and GPTZero are more mature AI detectors. This is a known gap — but AI detectors miss ghostwriting.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Pedagogical Integration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4-tier graduated recommendations: no action → monitor → conversation → escalate.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Competitors provide a score or flag. No pedagogical scaffolding, no recommended actions.</w:t>
            </w:r>
          </w:p>
        </w:tc>
      </w:tr>
      <w:tr>
        <w:trPr>
          <w:tblHeader w:val="false"/>
        </w:trP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False Positives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 FPR at escalation in calibration. Bias analysis embedded.</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GPTZero has documented ESL false positive issues. No competitor provides a bias analysis framework.</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Longitudinal Tracking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Trajectory analysis — tracks whether a student's writing is naturally evolving.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competitor tracks writing development over time.</w:t>
            </w:r>
          </w:p>
        </w:tc>
      </w:tr>
      <w:tr>
        <w:trPr>
          <w:tblHeader w:val="false"/>
        </w:trP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Privacy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Self-hosted option. Institution owns all data. No third-party storage.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competitors send student text to external cloud services. FERPA concerns documented for Turnitin.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Self-hosted: infrastructure cost only. No per-student license.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Turnitin: $3–10/student/year. For a 300-student seminary: $900–$3,000/year.</w:t>
            </w:r>
          </w:p>
        </w:tc>
      </w:tr>
    </w:tbl>
    <w:p>
      <w:pPr>
        <w:spacing w:after="60" w:before="60"/>
      </w:pPr>
      <w:r>
        <w:t xml:space="preserve"/>
      </w:r>
    </w:p>
    <w:p>
      <w:pPr>
        <w:pageBreakBefore/>
      </w:pPr>
      <w:r>
        <w:t xml:space="preserve"/>
      </w:r>
    </w:p>
    <w:p>
      <w:pPr>
        <w:pStyle w:val="Heading1"/>
        <w:spacing w:after="120" w:before="360"/>
      </w:pPr>
      <w:r>
        <w:rPr>
          <w:rFonts w:ascii="Arial" w:cs="Arial" w:eastAsia="Arial" w:hAnsi="Arial"/>
          <w:b/>
          <w:bCs/>
          <w:color w:val="1F4E79"/>
          <w:sz w:val="32"/>
          <w:szCs w:val="32"/>
        </w:rPr>
        <w:t xml:space="preserve">Original's Unique Capabilities</w:t>
      </w:r>
    </w:p>
    <w:p>
      <w:pPr>
        <w:pStyle w:val="Heading2"/>
        <w:spacing w:after="80" w:before="240"/>
      </w:pPr>
      <w:r>
        <w:rPr>
          <w:rFonts w:ascii="Arial" w:cs="Arial" w:eastAsia="Arial" w:hAnsi="Arial"/>
          <w:b/>
          <w:bCs/>
          <w:color w:val="2E75B6"/>
          <w:sz w:val="26"/>
          <w:szCs w:val="26"/>
        </w:rPr>
        <w:t xml:space="preserve">1. Per-Student Authorship Verification — No Competitor Has This</w:t>
      </w:r>
    </w:p>
    <w:p>
      <w:pPr>
        <w:spacing w:after="120" w:before="60"/>
      </w:pPr>
      <w:r>
        <w:rPr>
          <w:rFonts w:ascii="Arial" w:cs="Arial" w:eastAsia="Arial" w:hAnsi="Arial"/>
          <w:color w:val="000000"/>
          <w:sz w:val="22"/>
          <w:szCs w:val="22"/>
        </w:rPr>
        <w:t xml:space="preserve">Turnitin, GPTZero, and Originality.ai all answer a different question than Original. They ask: 'Was this written by AI?' or 'Does this match content in our database?' Original asks: 'Did this student write this?' Only Original builds a per-student writing identity — a mathematical fingerprint derived from 103 stylometric features — and scores new submissions against that specific identity.</w:t>
      </w:r>
    </w:p>
    <w:p>
      <w:pPr>
        <w:spacing w:after="120" w:before="60"/>
      </w:pPr>
      <w:r>
        <w:rPr>
          <w:rFonts w:ascii="Arial" w:cs="Arial" w:eastAsia="Arial" w:hAnsi="Arial"/>
          <w:color w:val="000000"/>
          <w:sz w:val="22"/>
          <w:szCs w:val="22"/>
        </w:rPr>
        <w:t xml:space="preserve">This distinction matters enormously in practice. A student can submit AI-generated text that passes Turnitin's AI detector if the AI writes in a sufficiently 'human-sounding' style. But that same essay will fail Original's authorship check because it doesn't match the student's personal writing profile.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 Ghostwriting Detection — Industry First</w:t>
      </w:r>
    </w:p>
    <w:p>
      <w:pPr>
        <w:spacing w:after="120" w:before="60"/>
      </w:pPr>
      <w:r>
        <w:rPr>
          <w:rFonts w:ascii="Arial" w:cs="Arial" w:eastAsia="Arial" w:hAnsi="Arial"/>
          <w:color w:val="000000"/>
          <w:sz w:val="22"/>
          <w:szCs w:val="22"/>
        </w:rPr>
        <w:t xml:space="preserve">None of the three competitors can detect human ghostwriting. This is a critical gap: a student who hires a professional essay writer will easily pass Turnitin (no AI, no copied text) and GPTZero (human-written). Original detects ghostwriting because it compares against the student's specific writing style, not against a general corpus.</w:t>
      </w:r>
    </w:p>
    <w:p>
      <w:pPr>
        <w:spacing w:after="120" w:before="60"/>
      </w:pPr>
      <w:r>
        <w:rPr>
          <w:rFonts w:ascii="Arial" w:cs="Arial" w:eastAsia="Arial" w:hAnsi="Arial"/>
          <w:color w:val="000000"/>
          <w:sz w:val="22"/>
          <w:szCs w:val="22"/>
        </w:rPr>
        <w:t xml:space="preserve">In calibration testing, Original correctly identified all 5 cross-author ghostwriting cases in the test corpus with 0% false positive rate at the escalation threshold.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 Pastoral Design — Built for Seminaries</w:t>
      </w:r>
    </w:p>
    <w:p>
      <w:pPr>
        <w:spacing w:after="120" w:before="60"/>
      </w:pPr>
      <w:r>
        <w:rPr>
          <w:rFonts w:ascii="Arial" w:cs="Arial" w:eastAsia="Arial" w:hAnsi="Arial"/>
          <w:color w:val="000000"/>
          <w:sz w:val="22"/>
          <w:szCs w:val="22"/>
        </w:rPr>
        <w:t xml:space="preserve">Original was built from the ground up for theological education, where academic integrity is inseparable from character formation. The recommendation engine uses four graduated tiers:</w:t>
      </w:r>
    </w:p>
    <w:p>
      <w:pPr>
        <w:pStyle w:val="ListParagraph"/>
        <w:numPr>
          <w:ilvl w:val="0"/>
          <w:numId w:val="2"/>
        </w:numPr>
        <w:spacing w:after="40" w:before="40"/>
      </w:pPr>
      <w:r>
        <w:rPr>
          <w:rFonts w:ascii="Arial" w:cs="Arial" w:eastAsia="Arial" w:hAnsi="Arial"/>
          <w:color w:val="000000"/>
          <w:sz w:val="22"/>
          <w:szCs w:val="22"/>
        </w:rPr>
        <w:t xml:space="preserve">No action — essay is consistent with the student's established writing style</w:t>
      </w:r>
    </w:p>
    <w:p>
      <w:pPr>
        <w:pStyle w:val="ListParagraph"/>
        <w:numPr>
          <w:ilvl w:val="0"/>
          <w:numId w:val="2"/>
        </w:numPr>
        <w:spacing w:after="40" w:before="40"/>
      </w:pPr>
      <w:r>
        <w:rPr>
          <w:rFonts w:ascii="Arial" w:cs="Arial" w:eastAsia="Arial" w:hAnsi="Arial"/>
          <w:color w:val="000000"/>
          <w:sz w:val="22"/>
          <w:szCs w:val="22"/>
        </w:rPr>
        <w:t xml:space="preserve">Monitor — slight deviation, flag for optional instructor awareness</w:t>
      </w:r>
    </w:p>
    <w:p>
      <w:pPr>
        <w:pStyle w:val="ListParagraph"/>
        <w:numPr>
          <w:ilvl w:val="0"/>
          <w:numId w:val="2"/>
        </w:numPr>
        <w:spacing w:after="40" w:before="40"/>
      </w:pPr>
      <w:r>
        <w:rPr>
          <w:rFonts w:ascii="Arial" w:cs="Arial" w:eastAsia="Arial" w:hAnsi="Arial"/>
          <w:color w:val="000000"/>
          <w:sz w:val="22"/>
          <w:szCs w:val="22"/>
        </w:rPr>
        <w:t xml:space="preserve">Schedule a conversation — moderate deviation, suggest a pastoral dialogue</w:t>
      </w:r>
    </w:p>
    <w:p>
      <w:pPr>
        <w:pStyle w:val="ListParagraph"/>
        <w:numPr>
          <w:ilvl w:val="0"/>
          <w:numId w:val="2"/>
        </w:numPr>
        <w:spacing w:after="40" w:before="40"/>
      </w:pPr>
      <w:r>
        <w:rPr>
          <w:rFonts w:ascii="Arial" w:cs="Arial" w:eastAsia="Arial" w:hAnsi="Arial"/>
          <w:color w:val="000000"/>
          <w:sz w:val="22"/>
          <w:szCs w:val="22"/>
        </w:rPr>
        <w:t xml:space="preserve">Escalate — significant deviation, refer for formal academic integrity review</w:t>
      </w:r>
    </w:p>
    <w:p>
      <w:pPr>
        <w:spacing w:after="120" w:before="60"/>
      </w:pPr>
      <w:r>
        <w:rPr>
          <w:rFonts w:ascii="Arial" w:cs="Arial" w:eastAsia="Arial" w:hAnsi="Arial"/>
          <w:color w:val="000000"/>
          <w:sz w:val="22"/>
          <w:szCs w:val="22"/>
        </w:rPr>
        <w:t xml:space="preserve">Competitors produce a similarity percentage or an AI probability score. They leave all the interpretive work to the instructor. Original's graduated recommendations reduce decision fatigue and focus human attention where it's most needed.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 Zero False Positives at Escalation</w:t>
      </w:r>
    </w:p>
    <w:p>
      <w:pPr>
        <w:spacing w:after="120" w:before="60"/>
      </w:pPr>
      <w:r>
        <w:rPr>
          <w:rFonts w:ascii="Arial" w:cs="Arial" w:eastAsia="Arial" w:hAnsi="Arial"/>
          <w:color w:val="000000"/>
          <w:sz w:val="22"/>
          <w:szCs w:val="22"/>
        </w:rPr>
        <w:t xml:space="preserve">In Phase 4 calibration testing, Original achieved a 0.0% false positive rate at the recommended escalation threshold (deviation score &gt; 0.75). This means no authentic student essay was incorrectly escalated. By comparison, Turnitin's AI detection module has documented false positive rates of 1–15% depending on the text, with particular issues for non-native English speakers.</w:t>
      </w:r>
    </w:p>
    <w:p>
      <w:pPr>
        <w:spacing w:after="120" w:before="60"/>
      </w:pPr>
      <w:r>
        <w:rPr>
          <w:rFonts w:ascii="Arial" w:cs="Arial" w:eastAsia="Arial" w:hAnsi="Arial"/>
          <w:color w:val="000000"/>
          <w:sz w:val="22"/>
          <w:szCs w:val="22"/>
        </w:rPr>
        <w:t xml:space="preserve">AUC (Area Under ROC Curve): 0.88, exceeding the 0.85 target for seminary-appropriate deployment.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 Self-Hosted, Institution Owns All Data</w:t>
      </w:r>
    </w:p>
    <w:p>
      <w:pPr>
        <w:spacing w:after="120" w:before="60"/>
      </w:pPr>
      <w:r>
        <w:rPr>
          <w:rFonts w:ascii="Arial" w:cs="Arial" w:eastAsia="Arial" w:hAnsi="Arial"/>
          <w:color w:val="000000"/>
          <w:sz w:val="22"/>
          <w:szCs w:val="22"/>
        </w:rPr>
        <w:t xml:space="preserve">All three competitors require student text to be transmitted to their external cloud services. Original can be self-hosted on the seminary's own infrastructure. In this configuration, student text never leaves the institution's servers.</w:t>
      </w:r>
    </w:p>
    <w:p>
      <w:pPr>
        <w:spacing w:after="120" w:before="60"/>
      </w:pPr>
      <w:r>
        <w:rPr>
          <w:rFonts w:ascii="Arial" w:cs="Arial" w:eastAsia="Arial" w:hAnsi="Arial"/>
          <w:color w:val="000000"/>
          <w:sz w:val="22"/>
          <w:szCs w:val="22"/>
        </w:rPr>
        <w:t xml:space="preserve">This addresses FERPA concerns that have caused some institutions to avoid cloud-hosted academic integrity tools. It also eliminates the risk that student writing will be used to train third-party AI models — a concern that has been raised with Turnitin's data practices.</w:t>
      </w:r>
    </w:p>
    <w:p>
      <w:pPr>
        <w:pageBreakBefore/>
      </w:pPr>
      <w:r>
        <w:t xml:space="preserve"/>
      </w:r>
    </w:p>
    <w:p>
      <w:pPr>
        <w:pStyle w:val="Heading1"/>
        <w:spacing w:after="120" w:before="360"/>
      </w:pPr>
      <w:r>
        <w:rPr>
          <w:rFonts w:ascii="Arial" w:cs="Arial" w:eastAsia="Arial" w:hAnsi="Arial"/>
          <w:b/>
          <w:bCs/>
          <w:color w:val="1F4E79"/>
          <w:sz w:val="32"/>
          <w:szCs w:val="32"/>
        </w:rPr>
        <w:t xml:space="preserve">Acknowledged Gaps</w:t>
      </w:r>
    </w:p>
    <w:p>
      <w:pPr>
        <w:pStyle w:val="Heading2"/>
        <w:spacing w:after="80" w:before="240"/>
      </w:pPr>
      <w:r>
        <w:rPr>
          <w:rFonts w:ascii="Arial" w:cs="Arial" w:eastAsia="Arial" w:hAnsi="Arial"/>
          <w:b/>
          <w:bCs/>
          <w:color w:val="2E75B6"/>
          <w:sz w:val="26"/>
          <w:szCs w:val="26"/>
        </w:rPr>
        <w:t xml:space="preserve">AI Detection Maturity</w:t>
      </w:r>
    </w:p>
    <w:p>
      <w:pPr>
        <w:spacing w:after="120" w:before="60"/>
      </w:pPr>
      <w:r>
        <w:rPr>
          <w:rFonts w:ascii="Arial" w:cs="Arial" w:eastAsia="Arial" w:hAnsi="Arial"/>
          <w:color w:val="000000"/>
          <w:sz w:val="22"/>
          <w:szCs w:val="22"/>
        </w:rPr>
        <w:t xml:space="preserve">Turnitin's AI Writing Detection module and GPTZero have more mature AI detection pipelines, with larger training datasets and more frequent model updates. Original's Tier 7 features provide AI detection signal, but this is not our primary value proposition and has not been independently benchmarked against the latest AI models.</w:t>
      </w:r>
    </w:p>
    <w:p>
      <w:pPr>
        <w:spacing w:after="120" w:before="60"/>
      </w:pPr>
      <w:r>
        <w:rPr>
          <w:rFonts w:ascii="Arial" w:cs="Arial" w:eastAsia="Arial" w:hAnsi="Arial"/>
          <w:color w:val="000000"/>
          <w:sz w:val="22"/>
          <w:szCs w:val="22"/>
        </w:rPr>
        <w:t xml:space="preserve">Roadmap: Phase 5+ will expand Tier 7 with dedicated AI detection benchmarking. The self-hosted architecture allows institutions to enable sentence-transformer features (when PyTorch is available) for improved cohesion-based AI detection.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LMS Integration Depth</w:t>
      </w:r>
    </w:p>
    <w:p>
      <w:pPr>
        <w:spacing w:after="120" w:before="60"/>
      </w:pPr>
      <w:r>
        <w:rPr>
          <w:rFonts w:ascii="Arial" w:cs="Arial" w:eastAsia="Arial" w:hAnsi="Arial"/>
          <w:color w:val="000000"/>
          <w:sz w:val="22"/>
          <w:szCs w:val="22"/>
        </w:rPr>
        <w:t xml:space="preserve">Turnitin has a decade of investment in Canvas, Blackboard, and Moodle integration. Original's LTI 1.3 Advantage integration is complete and functional but newer. Some advanced Canvas features (Gradebook integration, rubric scoring) are on the roadmap but not yet shipped.</w:t>
      </w:r>
    </w:p>
    <w:p>
      <w:pPr>
        <w:spacing w:after="120" w:before="60"/>
      </w:pPr>
      <w:r>
        <w:rPr>
          <w:rFonts w:ascii="Arial" w:cs="Arial" w:eastAsia="Arial" w:hAnsi="Arial"/>
          <w:color w:val="000000"/>
          <w:sz w:val="22"/>
          <w:szCs w:val="22"/>
        </w:rPr>
        <w:t xml:space="preserve">Roadmap: Full SpeedGrader comment posting and AGS grade passback are implemented. Additional Canvas integration features are prioritized for the post-pilot roadmap.</w:t>
      </w:r>
    </w:p>
    <w:p>
      <w:pPr>
        <w:pageBreakBefore/>
      </w:pPr>
      <w:r>
        <w:t xml:space="preserve"/>
      </w:r>
    </w:p>
    <w:p>
      <w:pPr>
        <w:pStyle w:val="Heading1"/>
        <w:spacing w:after="120" w:before="360"/>
      </w:pPr>
      <w:r>
        <w:rPr>
          <w:rFonts w:ascii="Arial" w:cs="Arial" w:eastAsia="Arial" w:hAnsi="Arial"/>
          <w:b/>
          <w:bCs/>
          <w:color w:val="1F4E79"/>
          <w:sz w:val="32"/>
          <w:szCs w:val="32"/>
        </w:rPr>
        <w:t xml:space="preserve">Pricing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Cost (300 students)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Original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Self-hosted / SaaS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$50–100/mo VPS (self-hosted)
$5–8/student/yr (SaaS)</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No per-student scan fee. Pilot: free 90 days.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Turnitin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Institutional license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$900–3,000/yr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Minimum commitments typical. Requires IT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GPTZero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 paid plans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$120–180/yr (educator)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Limited scans on paid plans. Enterprise pricing not public.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Originality.ai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Pay-per-scan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Variable — ~$0.01/100 words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Hard to budget. Costs scale with submission volume.</w:t>
            </w:r>
          </w:p>
        </w:tc>
      </w:tr>
    </w:tbl>
    <w:p>
      <w:pPr>
        <w:spacing w:after="60" w:before="60"/>
      </w:pPr>
      <w:r>
        <w:t xml:space="preserve"/>
      </w:r>
    </w:p>
    <w:p>
      <w:pPr>
        <w:pageBreakBefore/>
      </w:pPr>
      <w:r>
        <w:t xml:space="preserve"/>
      </w:r>
    </w:p>
    <w:p>
      <w:pPr>
        <w:pStyle w:val="Heading1"/>
        <w:spacing w:after="120" w:before="360"/>
      </w:pPr>
      <w:r>
        <w:rPr>
          <w:rFonts w:ascii="Arial" w:cs="Arial" w:eastAsia="Arial" w:hAnsi="Arial"/>
          <w:b/>
          <w:bCs/>
          <w:color w:val="1F4E79"/>
          <w:sz w:val="32"/>
          <w:szCs w:val="32"/>
        </w:rPr>
        <w:t xml:space="preserve">Sales Positioning Statement</w:t>
      </w:r>
    </w:p>
    <w:p>
      <w:pPr>
        <w:pBdr>
          <w:top w:val="single" w:color="2E75B6" w:sz="4" w:space="4"/>
          <w:bottom w:val="single" w:color="2E75B6" w:sz="4" w:space="4"/>
          <w:left w:val="single" w:color="2E75B6" w:sz="16" w:space="8"/>
          <w:right w:val="single" w:color="2E75B6" w:sz="4" w:space="4"/>
        </w:pBdr>
        <w:spacing w:after="120" w:before="120"/>
      </w:pPr>
      <w:r>
        <w:rPr>
          <w:rFonts w:ascii="Arial" w:cs="Arial" w:eastAsia="Arial" w:hAnsi="Arial"/>
          <w:i/>
          <w:iCs/>
          <w:sz w:val="22"/>
          <w:szCs w:val="22"/>
        </w:rPr>
        <w:t xml:space="preserve">Original is the only academic integrity tool that verifies authorship at the individual student level. While competitors like Turnitin excel at detecting copied text and AI-generated content, none can answer the fundamental question: 'Did this specific student write this specific paper?' Original's 103-feature stylometric engine with quantum density matrix scoring provides a mathematically rigorous answer, with an AUC of 0.88 in calibration testing. For seminary and theological education, where academic integrity is inseparable from character formation, Original offers a pastoral approach with graduated recommendations rather than punitive flags. Weighted capability score: Original 4.65/5.0 vs best competitor (Turnitin) 2.3/5.0.</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Common Objections and Responses</w:t>
      </w:r>
    </w:p>
    <w:p>
      <w:pPr>
        <w:pStyle w:val="Heading2"/>
        <w:spacing w:after="80" w:before="240"/>
      </w:pPr>
      <w:r>
        <w:rPr>
          <w:rFonts w:ascii="Arial" w:cs="Arial" w:eastAsia="Arial" w:hAnsi="Arial"/>
          <w:b/>
          <w:bCs/>
          <w:color w:val="2E75B6"/>
          <w:sz w:val="26"/>
          <w:szCs w:val="26"/>
        </w:rPr>
        <w:t xml:space="preserve">"We already have Turnitin."</w:t>
      </w:r>
    </w:p>
    <w:p>
      <w:pPr>
        <w:spacing w:after="120" w:before="60"/>
      </w:pPr>
      <w:r>
        <w:rPr>
          <w:rFonts w:ascii="Arial" w:cs="Arial" w:eastAsia="Arial" w:hAnsi="Arial"/>
          <w:color w:val="000000"/>
          <w:sz w:val="22"/>
          <w:szCs w:val="22"/>
        </w:rPr>
        <w:t xml:space="preserve">Turnitin detects copied text and AI-generated content. Original detects a different threat: ghostwriting by a different human author. Students who hire ghostwriters pass Turnitin every time. Original is the layer that catches what Turnitin misses.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"How accurate is it really?"</w:t>
      </w:r>
    </w:p>
    <w:p>
      <w:pPr>
        <w:spacing w:after="120" w:before="60"/>
      </w:pPr>
      <w:r>
        <w:rPr>
          <w:rFonts w:ascii="Arial" w:cs="Arial" w:eastAsia="Arial" w:hAnsi="Arial"/>
          <w:color w:val="000000"/>
          <w:sz w:val="22"/>
          <w:szCs w:val="22"/>
        </w:rPr>
        <w:t xml:space="preserve">In calibration testing on modern seminary-style writing: AUC 0.88 (target &gt; 0.85), 0% false positive rate at the escalation threshold, 90.9% detection rate for ghostwritten submissions. We are happy to provide the full calibration report. We also offer a 90-day free pilot so you can evaluate accuracy on your own students' writing.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"What about ESL students or students whose writing is still developing?"</w:t>
      </w:r>
    </w:p>
    <w:p>
      <w:pPr>
        <w:spacing w:after="120" w:before="60"/>
      </w:pPr>
      <w:r>
        <w:rPr>
          <w:rFonts w:ascii="Arial" w:cs="Arial" w:eastAsia="Arial" w:hAnsi="Arial"/>
          <w:color w:val="000000"/>
          <w:sz w:val="22"/>
          <w:szCs w:val="22"/>
        </w:rPr>
        <w:t xml:space="preserve">Original includes built-in bias analysis and fairness monitoring. In calibration testing, native and non-native English speakers had identical 0% false positive rates at the escalation threshold. Writing style evolution is tracked through trajectory analysis — the system expects and accounts for improvement over time. We are transparent about these limitations and committed to ongoing bias monitoring.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"Is it FERPA compliant?"</w:t>
      </w:r>
    </w:p>
    <w:p>
      <w:pPr>
        <w:spacing w:after="120" w:before="60"/>
      </w:pPr>
      <w:r>
        <w:rPr>
          <w:rFonts w:ascii="Arial" w:cs="Arial" w:eastAsia="Arial" w:hAnsi="Arial"/>
          <w:color w:val="000000"/>
          <w:sz w:val="22"/>
          <w:szCs w:val="22"/>
        </w:rPr>
        <w:t xml:space="preserve">Yes. We operate under a FERPA Data Processing Agreement designating Original as a 'school official.' We offer a self-hosted deployment option in which no student data leaves your servers. Our Data Processing Agreement, Privacy Policy, and data inventory documentation are available on request.</w:t>
      </w:r>
    </w:p>
    <w:p>
      <w:pPr>
        <w:spacing w:after="60" w:before="60"/>
      </w:pPr>
      <w:r>
        <w:t xml:space="preserve"/>
      </w:r>
    </w:p>
    <w:p>
      <w:pPr>
        <w:spacing w:after="60" w:before="480"/>
        <w:jc w:val="center"/>
      </w:pPr>
      <w:r>
        <w:rPr>
          <w:rFonts w:ascii="Arial" w:cs="Arial" w:eastAsia="Arial" w:hAnsi="Arial"/>
          <w:i/>
          <w:iCs/>
          <w:color w:val="595959"/>
          <w:sz w:val="20"/>
          <w:szCs w:val="20"/>
        </w:rPr>
        <w:t xml:space="preserve">— End of Competitive Analysis —</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595959"/>
        <w:sz w:val="18"/>
        <w:szCs w:val="18"/>
      </w:rPr>
      <w:t xml:space="preserve">Confidential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20"/>
        <w:szCs w:val="20"/>
      </w:rPr>
      <w:t xml:space="preserve">ORIGINAL</w:t>
    </w:r>
    <w:r>
      <w:rPr>
        <w:rFonts w:ascii="Arial" w:cs="Arial" w:eastAsia="Arial" w:hAnsi="Arial"/>
        <w:color w:val="595959"/>
        <w:sz w:val="18"/>
        <w:szCs w:val="18"/>
      </w:rPr>
      <w:t xml:space="preserve">  |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2026-05-11T05:05:26.962Z</dcterms:created>
  <dcterms:modified xsi:type="dcterms:W3CDTF">2026-05-11T05:05:26.962Z</dcterms:modified>
</cp:coreProperties>
</file>

<file path=docProps/custom.xml><?xml version="1.0" encoding="utf-8"?>
<Properties xmlns="http://schemas.openxmlformats.org/officeDocument/2006/custom-properties" xmlns:vt="http://schemas.openxmlformats.org/officeDocument/2006/docPropsVTypes"/>
</file>