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1F3A5F"/>
          <w:sz w:val="52"/>
          <w:szCs w:val="52"/>
        </w:rPr>
        <w:t xml:space="preserve">RETAIL SALES ANALYSIS</w:t>
      </w:r>
    </w:p>
    <w:p>
      <w:pPr>
        <w:spacing w:after="60"/>
      </w:pPr>
      <w:r>
        <w:rPr>
          <w:rFonts w:ascii="Calibri" w:cs="Calibri" w:eastAsia="Calibri" w:hAnsi="Calibri"/>
          <w:color w:val="2A9D8F"/>
          <w:sz w:val="28"/>
          <w:szCs w:val="28"/>
        </w:rPr>
        <w:t xml:space="preserve">Exploratory Data Analysis of the Sample Superstore Dataset</w:t>
      </w:r>
    </w:p>
    <w:p>
      <w:pPr>
        <w:pBdr>
          <w:bottom w:val="single" w:color="1F3A5F" w:sz="12" w:space="6"/>
        </w:pBdr>
        <w:spacing w:after="240"/>
      </w:pPr>
      <w:r>
        <w:rPr>
          <w:rFonts w:ascii="Calibri" w:cs="Calibri" w:eastAsia="Calibri" w:hAnsi="Calibri"/>
          <w:color w:val="5A6572"/>
          <w:sz w:val="21"/>
          <w:szCs w:val="21"/>
        </w:rPr>
        <w:t xml:space="preserve">Project Report  |  Python  •  Pandas  •  Matplotlib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A5F" w:sz="18"/>
              <w:left w:val="single" w:color="FFFFFF" w:sz="12"/>
              <w:bottom w:val="single" w:color="D0D7DE" w:sz="4"/>
              <w:right w:val="single" w:color="FFFFFF" w:sz="12"/>
            </w:tcBorders>
            <w:shd w:fill="EEF3F8" w:val="clear"/>
            <w:tcMar>
              <w:top w:type="dxa" w:w="140"/>
              <w:left w:type="dxa" w:w="120"/>
              <w:bottom w:type="dxa" w:w="140"/>
              <w:right w:type="dxa" w:w="120"/>
            </w:tcMar>
          </w:tcPr>
          <w:p>
            <w:pPr>
              <w:jc w:val="center"/>
            </w:pPr>
            <w:r>
              <w:rPr>
                <w:rFonts w:ascii="Calibri" w:cs="Calibri" w:eastAsia="Calibri" w:hAnsi="Calibri"/>
                <w:b/>
                <w:bCs/>
                <w:color w:val="1F3A5F"/>
                <w:sz w:val="34"/>
                <w:szCs w:val="34"/>
              </w:rPr>
              <w:t xml:space="preserve">$2.30M</w:t>
            </w:r>
          </w:p>
          <w:p>
            <w:pPr>
              <w:jc w:val="center"/>
            </w:pPr>
            <w:r>
              <w:rPr>
                <w:rFonts w:ascii="Calibri" w:cs="Calibri" w:eastAsia="Calibri" w:hAnsi="Calibri"/>
                <w:color w:val="5A6572"/>
                <w:sz w:val="18"/>
                <w:szCs w:val="18"/>
              </w:rPr>
              <w:t xml:space="preserve">Total Sales</w:t>
            </w:r>
          </w:p>
        </w:tc>
        <w:tc>
          <w:tcPr>
            <w:tcW w:type="dxa" w:w="2340"/>
            <w:tcBorders>
              <w:top w:val="single" w:color="1F3A5F" w:sz="18"/>
              <w:left w:val="single" w:color="FFFFFF" w:sz="12"/>
              <w:bottom w:val="single" w:color="D0D7DE" w:sz="4"/>
              <w:right w:val="single" w:color="FFFFFF" w:sz="12"/>
            </w:tcBorders>
            <w:shd w:fill="EEF3F8" w:val="clear"/>
            <w:tcMar>
              <w:top w:type="dxa" w:w="140"/>
              <w:left w:type="dxa" w:w="120"/>
              <w:bottom w:type="dxa" w:w="140"/>
              <w:right w:type="dxa" w:w="120"/>
            </w:tcMar>
          </w:tcPr>
          <w:p>
            <w:pPr>
              <w:jc w:val="center"/>
            </w:pPr>
            <w:r>
              <w:rPr>
                <w:rFonts w:ascii="Calibri" w:cs="Calibri" w:eastAsia="Calibri" w:hAnsi="Calibri"/>
                <w:b/>
                <w:bCs/>
                <w:color w:val="1F3A5F"/>
                <w:sz w:val="34"/>
                <w:szCs w:val="34"/>
              </w:rPr>
              <w:t xml:space="preserve">$286.4K</w:t>
            </w:r>
          </w:p>
          <w:p>
            <w:pPr>
              <w:jc w:val="center"/>
            </w:pPr>
            <w:r>
              <w:rPr>
                <w:rFonts w:ascii="Calibri" w:cs="Calibri" w:eastAsia="Calibri" w:hAnsi="Calibri"/>
                <w:color w:val="5A6572"/>
                <w:sz w:val="18"/>
                <w:szCs w:val="18"/>
              </w:rPr>
              <w:t xml:space="preserve">Total Profit</w:t>
            </w:r>
          </w:p>
        </w:tc>
        <w:tc>
          <w:tcPr>
            <w:tcW w:type="dxa" w:w="2340"/>
            <w:tcBorders>
              <w:top w:val="single" w:color="1F3A5F" w:sz="18"/>
              <w:left w:val="single" w:color="FFFFFF" w:sz="12"/>
              <w:bottom w:val="single" w:color="D0D7DE" w:sz="4"/>
              <w:right w:val="single" w:color="FFFFFF" w:sz="12"/>
            </w:tcBorders>
            <w:shd w:fill="EEF3F8" w:val="clear"/>
            <w:tcMar>
              <w:top w:type="dxa" w:w="140"/>
              <w:left w:type="dxa" w:w="120"/>
              <w:bottom w:type="dxa" w:w="140"/>
              <w:right w:type="dxa" w:w="120"/>
            </w:tcMar>
          </w:tcPr>
          <w:p>
            <w:pPr>
              <w:jc w:val="center"/>
            </w:pPr>
            <w:r>
              <w:rPr>
                <w:rFonts w:ascii="Calibri" w:cs="Calibri" w:eastAsia="Calibri" w:hAnsi="Calibri"/>
                <w:b/>
                <w:bCs/>
                <w:color w:val="1F3A5F"/>
                <w:sz w:val="34"/>
                <w:szCs w:val="34"/>
              </w:rPr>
              <w:t xml:space="preserve">12.5%</w:t>
            </w:r>
          </w:p>
          <w:p>
            <w:pPr>
              <w:jc w:val="center"/>
            </w:pPr>
            <w:r>
              <w:rPr>
                <w:rFonts w:ascii="Calibri" w:cs="Calibri" w:eastAsia="Calibri" w:hAnsi="Calibri"/>
                <w:color w:val="5A6572"/>
                <w:sz w:val="18"/>
                <w:szCs w:val="18"/>
              </w:rPr>
              <w:t xml:space="preserve">Overall Profit Margin</w:t>
            </w:r>
          </w:p>
        </w:tc>
        <w:tc>
          <w:tcPr>
            <w:tcW w:type="dxa" w:w="2340"/>
            <w:tcBorders>
              <w:top w:val="single" w:color="1F3A5F" w:sz="18"/>
              <w:left w:val="single" w:color="FFFFFF" w:sz="12"/>
              <w:bottom w:val="single" w:color="D0D7DE" w:sz="4"/>
              <w:right w:val="single" w:color="FFFFFF" w:sz="12"/>
            </w:tcBorders>
            <w:shd w:fill="EEF3F8" w:val="clear"/>
            <w:tcMar>
              <w:top w:type="dxa" w:w="140"/>
              <w:left w:type="dxa" w:w="120"/>
              <w:bottom w:type="dxa" w:w="140"/>
              <w:right w:type="dxa" w:w="120"/>
            </w:tcMar>
          </w:tcPr>
          <w:p>
            <w:pPr>
              <w:jc w:val="center"/>
            </w:pPr>
            <w:r>
              <w:rPr>
                <w:rFonts w:ascii="Calibri" w:cs="Calibri" w:eastAsia="Calibri" w:hAnsi="Calibri"/>
                <w:b/>
                <w:bCs/>
                <w:color w:val="1F3A5F"/>
                <w:sz w:val="34"/>
                <w:szCs w:val="34"/>
              </w:rPr>
              <w:t xml:space="preserve">5,009</w:t>
            </w:r>
          </w:p>
          <w:p>
            <w:pPr>
              <w:jc w:val="center"/>
            </w:pPr>
            <w:r>
              <w:rPr>
                <w:rFonts w:ascii="Calibri" w:cs="Calibri" w:eastAsia="Calibri" w:hAnsi="Calibri"/>
                <w:color w:val="5A6572"/>
                <w:sz w:val="18"/>
                <w:szCs w:val="18"/>
              </w:rPr>
              <w:t xml:space="preserve">Unique Orders</w:t>
            </w:r>
          </w:p>
        </w:tc>
      </w:tr>
    </w:tbl>
    <w:p>
      <w:pPr>
        <w:spacing w:after="80"/>
      </w:pPr>
    </w:p>
    <w:p>
      <w:r>
        <w:br w:type="page"/>
      </w:r>
    </w:p>
    <w:p>
      <w:pPr>
        <w:pStyle w:val="Heading1"/>
      </w:pPr>
      <w:r>
        <w:t xml:space="preserve">1. Executive Summary</w:t>
      </w:r>
    </w:p>
    <w:p>
      <w:pPr>
        <w:spacing w:after="120" w:line="300"/>
      </w:pPr>
      <w:r>
        <w:rPr>
          <w:rFonts w:ascii="Calibri" w:cs="Calibri" w:eastAsia="Calibri" w:hAnsi="Calibri"/>
          <w:sz w:val="22"/>
          <w:szCs w:val="22"/>
        </w:rPr>
        <w:t xml:space="preserve">This project explores the Sample Superstore retail dataset (9,994 rows, 21 columns) to understand sales and profit performance across categories, regions, sub-categories and months, and to test how discounting relates to profitability.</w:t>
      </w:r>
    </w:p>
    <w:p>
      <w:pPr>
        <w:pStyle w:val="ListParagraph"/>
        <w:numPr>
          <w:ilvl w:val="0"/>
          <w:numId w:val="2"/>
        </w:numPr>
        <w:spacing w:after="80" w:line="290"/>
      </w:pPr>
      <w:r>
        <w:rPr>
          <w:rFonts w:ascii="Calibri" w:cs="Calibri" w:eastAsia="Calibri" w:hAnsi="Calibri"/>
          <w:b/>
          <w:bCs/>
          <w:sz w:val="22"/>
          <w:szCs w:val="22"/>
        </w:rPr>
        <w:t xml:space="preserve">Scale:</w:t>
      </w:r>
      <w:r>
        <w:rPr>
          <w:rFonts w:ascii="Calibri" w:cs="Calibri" w:eastAsia="Calibri" w:hAnsi="Calibri"/>
          <w:sz w:val="22"/>
          <w:szCs w:val="22"/>
        </w:rPr>
        <w:t xml:space="preserve"> $2.30 million in sales and $286.40 thousand in profit, a 12.5% overall margin, across 37,873 units and 5,009 unique orders.</w:t>
      </w:r>
    </w:p>
    <w:p>
      <w:pPr>
        <w:pStyle w:val="ListParagraph"/>
        <w:numPr>
          <w:ilvl w:val="0"/>
          <w:numId w:val="2"/>
        </w:numPr>
        <w:spacing w:after="80" w:line="290"/>
      </w:pPr>
      <w:r>
        <w:rPr>
          <w:rFonts w:ascii="Calibri" w:cs="Calibri" w:eastAsia="Calibri" w:hAnsi="Calibri"/>
          <w:b/>
          <w:bCs/>
          <w:sz w:val="22"/>
          <w:szCs w:val="22"/>
        </w:rPr>
        <w:t xml:space="preserve">Category:</w:t>
      </w:r>
      <w:r>
        <w:rPr>
          <w:rFonts w:ascii="Calibri" w:cs="Calibri" w:eastAsia="Calibri" w:hAnsi="Calibri"/>
          <w:sz w:val="22"/>
          <w:szCs w:val="22"/>
        </w:rPr>
        <w:t xml:space="preserve"> Technology led in both sales ($836K) and profit ($145K). Furniture earned only $18K profit on $742K of sales, a margin of about 2.5%.</w:t>
      </w:r>
    </w:p>
    <w:p>
      <w:pPr>
        <w:pStyle w:val="ListParagraph"/>
        <w:numPr>
          <w:ilvl w:val="0"/>
          <w:numId w:val="2"/>
        </w:numPr>
        <w:spacing w:after="80" w:line="290"/>
      </w:pPr>
      <w:r>
        <w:rPr>
          <w:rFonts w:ascii="Calibri" w:cs="Calibri" w:eastAsia="Calibri" w:hAnsi="Calibri"/>
          <w:b/>
          <w:bCs/>
          <w:sz w:val="22"/>
          <w:szCs w:val="22"/>
        </w:rPr>
        <w:t xml:space="preserve">Discounting:</w:t>
      </w:r>
      <w:r>
        <w:rPr>
          <w:rFonts w:ascii="Calibri" w:cs="Calibri" w:eastAsia="Calibri" w:hAnsi="Calibri"/>
          <w:sz w:val="22"/>
          <w:szCs w:val="22"/>
        </w:rPr>
        <w:t xml:space="preserve"> High discounts (roughly 0.5 to 0.8) were often associated with negative profit.</w:t>
      </w:r>
    </w:p>
    <w:p>
      <w:pPr>
        <w:pStyle w:val="ListParagraph"/>
        <w:numPr>
          <w:ilvl w:val="0"/>
          <w:numId w:val="2"/>
        </w:numPr>
        <w:spacing w:after="80" w:line="290"/>
      </w:pPr>
      <w:r>
        <w:rPr>
          <w:rFonts w:ascii="Calibri" w:cs="Calibri" w:eastAsia="Calibri" w:hAnsi="Calibri"/>
          <w:b/>
          <w:bCs/>
          <w:sz w:val="22"/>
          <w:szCs w:val="22"/>
        </w:rPr>
        <w:t xml:space="preserve">Sales vs profit:</w:t>
      </w:r>
      <w:r>
        <w:rPr>
          <w:rFonts w:ascii="Calibri" w:cs="Calibri" w:eastAsia="Calibri" w:hAnsi="Calibri"/>
          <w:sz w:val="22"/>
          <w:szCs w:val="22"/>
        </w:rPr>
        <w:t xml:space="preserve"> Sales and profit show a moderate positive correlation (0.479), so higher sales do not guarantee higher profit.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9D8F" w:sz="24"/>
              <w:bottom w:val="none" w:color="FFFFFF" w:sz="0"/>
              <w:right w:val="none" w:color="FFFFFF" w:sz="0"/>
            </w:tcBorders>
            <w:shd w:fill="EEF3F8" w:val="clear"/>
            <w:tcMar>
              <w:top w:type="dxa" w:w="120"/>
              <w:left w:type="dxa" w:w="200"/>
              <w:bottom w:type="dxa" w:w="120"/>
              <w:right w:type="dxa" w:w="200"/>
            </w:tcMar>
          </w:tcPr>
          <w:p>
            <w:r>
              <w:rPr>
                <w:rFonts w:ascii="Calibri" w:cs="Calibri" w:eastAsia="Calibri" w:hAnsi="Calibri"/>
                <w:b/>
                <w:bCs/>
                <w:color w:val="2A9D8F"/>
                <w:sz w:val="22"/>
                <w:szCs w:val="22"/>
              </w:rPr>
              <w:t xml:space="preserve">Key takeaway  </w:t>
            </w:r>
            <w:r>
              <w:rPr>
                <w:rFonts w:ascii="Calibri" w:cs="Calibri" w:eastAsia="Calibri" w:hAnsi="Calibri"/>
                <w:sz w:val="22"/>
                <w:szCs w:val="22"/>
              </w:rPr>
              <w:t xml:space="preserve">Revenue growth alone does not drive profitability. Discount control and Furniture pricing are the clearest levers for improving profit.</w:t>
            </w:r>
          </w:p>
        </w:tc>
      </w:tr>
    </w:tbl>
    <w:p>
      <w:pPr>
        <w:pStyle w:val="Heading1"/>
      </w:pPr>
      <w:r>
        <w:t xml:space="preserve">2. Project Objectives</w:t>
      </w:r>
    </w:p>
    <w:p>
      <w:pPr>
        <w:pStyle w:val="ListParagraph"/>
        <w:numPr>
          <w:ilvl w:val="0"/>
          <w:numId w:val="2"/>
        </w:numPr>
        <w:spacing w:after="80" w:line="290"/>
      </w:pPr>
      <w:r>
        <w:rPr>
          <w:rFonts w:ascii="Calibri" w:cs="Calibri" w:eastAsia="Calibri" w:hAnsi="Calibri"/>
          <w:sz w:val="22"/>
          <w:szCs w:val="22"/>
        </w:rPr>
        <w:t xml:space="preserve">Understand the structure and basic statistics of the retail dataset.</w:t>
      </w:r>
    </w:p>
    <w:p>
      <w:pPr>
        <w:pStyle w:val="ListParagraph"/>
        <w:numPr>
          <w:ilvl w:val="0"/>
          <w:numId w:val="2"/>
        </w:numPr>
        <w:spacing w:after="80" w:line="290"/>
      </w:pPr>
      <w:r>
        <w:rPr>
          <w:rFonts w:ascii="Calibri" w:cs="Calibri" w:eastAsia="Calibri" w:hAnsi="Calibri"/>
          <w:sz w:val="22"/>
          <w:szCs w:val="22"/>
        </w:rPr>
        <w:t xml:space="preserve">Measure overall sales, profit, quantity sold and number of orders.</w:t>
      </w:r>
    </w:p>
    <w:p>
      <w:pPr>
        <w:pStyle w:val="ListParagraph"/>
        <w:numPr>
          <w:ilvl w:val="0"/>
          <w:numId w:val="2"/>
        </w:numPr>
        <w:spacing w:after="80" w:line="290"/>
      </w:pPr>
      <w:r>
        <w:rPr>
          <w:rFonts w:ascii="Calibri" w:cs="Calibri" w:eastAsia="Calibri" w:hAnsi="Calibri"/>
          <w:sz w:val="22"/>
          <w:szCs w:val="22"/>
        </w:rPr>
        <w:t xml:space="preserve">Compare sales and profit across product categories and regions.</w:t>
      </w:r>
    </w:p>
    <w:p>
      <w:pPr>
        <w:pStyle w:val="ListParagraph"/>
        <w:numPr>
          <w:ilvl w:val="0"/>
          <w:numId w:val="2"/>
        </w:numPr>
        <w:spacing w:after="80" w:line="290"/>
      </w:pPr>
      <w:r>
        <w:rPr>
          <w:rFonts w:ascii="Calibri" w:cs="Calibri" w:eastAsia="Calibri" w:hAnsi="Calibri"/>
          <w:sz w:val="22"/>
          <w:szCs w:val="22"/>
        </w:rPr>
        <w:t xml:space="preserve">Explore sub-category and monthly performance.</w:t>
      </w:r>
    </w:p>
    <w:p>
      <w:pPr>
        <w:pStyle w:val="ListParagraph"/>
        <w:numPr>
          <w:ilvl w:val="0"/>
          <w:numId w:val="2"/>
        </w:numPr>
        <w:spacing w:after="80" w:line="290"/>
      </w:pPr>
      <w:r>
        <w:rPr>
          <w:rFonts w:ascii="Calibri" w:cs="Calibri" w:eastAsia="Calibri" w:hAnsi="Calibri"/>
          <w:sz w:val="22"/>
          <w:szCs w:val="22"/>
        </w:rPr>
        <w:t xml:space="preserve">Examine the relationship between sales and profit, and between discount and profit.</w:t>
      </w:r>
    </w:p>
    <w:p>
      <w:pPr>
        <w:pStyle w:val="ListParagraph"/>
        <w:numPr>
          <w:ilvl w:val="0"/>
          <w:numId w:val="2"/>
        </w:numPr>
        <w:spacing w:after="80" w:line="290"/>
      </w:pPr>
      <w:r>
        <w:rPr>
          <w:rFonts w:ascii="Calibri" w:cs="Calibri" w:eastAsia="Calibri" w:hAnsi="Calibri"/>
          <w:sz w:val="22"/>
          <w:szCs w:val="22"/>
        </w:rPr>
        <w:t xml:space="preserve">Translate the findings into practical business recommendations.</w:t>
      </w:r>
    </w:p>
    <w:p>
      <w:pPr>
        <w:pStyle w:val="Heading1"/>
      </w:pPr>
      <w:r>
        <w:t xml:space="preserve">3. Dataset and Methods</w:t>
      </w:r>
    </w:p>
    <w:p>
      <w:pPr>
        <w:spacing w:after="120" w:line="300"/>
      </w:pPr>
      <w:r>
        <w:rPr>
          <w:rFonts w:ascii="Calibri" w:cs="Calibri" w:eastAsia="Calibri" w:hAnsi="Calibri"/>
          <w:sz w:val="22"/>
          <w:szCs w:val="22"/>
        </w:rPr>
        <w:t xml:space="preserve">The analysis used Sample - Superstore.csv, which includes order dates, customer segments, regions, product categories and sub-categories, sales, quantity, discount and profit. The file was loaded with Pandas using Latin-1 encoding after a Unicode decoding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left"/>
            </w:pPr>
            <w:r>
              <w:rPr>
                <w:rFonts w:ascii="Calibri" w:cs="Calibri" w:eastAsia="Calibri" w:hAnsi="Calibri"/>
                <w:b/>
                <w:bCs/>
                <w:color w:val="FFFFFF"/>
                <w:sz w:val="21"/>
                <w:szCs w:val="21"/>
              </w:rPr>
              <w:t xml:space="preserve">Item</w:t>
            </w:r>
          </w:p>
        </w:tc>
        <w:tc>
          <w:tcPr>
            <w:tcW w:type="dxa" w:w="696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left"/>
            </w:pPr>
            <w:r>
              <w:rPr>
                <w:rFonts w:ascii="Calibri" w:cs="Calibri" w:eastAsia="Calibri" w:hAnsi="Calibri"/>
                <w:b/>
                <w:bCs/>
                <w:color w:val="FFFFFF"/>
                <w:sz w:val="21"/>
                <w:szCs w:val="21"/>
              </w:rPr>
              <w:t xml:space="preserve">Details</w:t>
            </w:r>
          </w:p>
        </w:tc>
      </w:tr>
      <w:tr>
        <w:tc>
          <w:tcPr>
            <w:tcW w:type="dxa" w:w="24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bCs/>
                <w:sz w:val="21"/>
                <w:szCs w:val="21"/>
              </w:rPr>
              <w:t xml:space="preserve">Environment</w:t>
            </w:r>
          </w:p>
        </w:tc>
        <w:tc>
          <w:tcPr>
            <w:tcW w:type="dxa" w:w="69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Python in Google Colab</w:t>
            </w:r>
          </w:p>
        </w:tc>
      </w:tr>
      <w:tr>
        <w:tc>
          <w:tcPr>
            <w:tcW w:type="dxa" w:w="24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bCs/>
                <w:sz w:val="21"/>
                <w:szCs w:val="21"/>
              </w:rPr>
              <w:t xml:space="preserve">Libraries</w:t>
            </w:r>
          </w:p>
        </w:tc>
        <w:tc>
          <w:tcPr>
            <w:tcW w:type="dxa" w:w="696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Pandas (loading, cleaning, grouping, summaries); Matplotlib (scatter plots and trends)</w:t>
            </w:r>
          </w:p>
        </w:tc>
      </w:tr>
      <w:tr>
        <w:tc>
          <w:tcPr>
            <w:tcW w:type="dxa" w:w="24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bCs/>
                <w:sz w:val="21"/>
                <w:szCs w:val="21"/>
              </w:rPr>
              <w:t xml:space="preserve">Technique</w:t>
            </w:r>
          </w:p>
        </w:tc>
        <w:tc>
          <w:tcPr>
            <w:tcW w:type="dxa" w:w="69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Exploratory Data Analysis: shape, head, info, grouped summaries, scatter plots</w:t>
            </w:r>
          </w:p>
        </w:tc>
      </w:tr>
      <w:tr>
        <w:tc>
          <w:tcPr>
            <w:tcW w:type="dxa" w:w="24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bCs/>
                <w:sz w:val="21"/>
                <w:szCs w:val="21"/>
              </w:rPr>
              <w:t xml:space="preserve">Key columns</w:t>
            </w:r>
          </w:p>
        </w:tc>
        <w:tc>
          <w:tcPr>
            <w:tcW w:type="dxa" w:w="696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Order Date, Category, Sub-Category, Region, Product Name, Sales, Profit, Quantity, Discount, Segment</w:t>
            </w:r>
          </w:p>
        </w:tc>
      </w:tr>
    </w:tbl>
    <w:p>
      <w:pPr>
        <w:pStyle w:val="Heading1"/>
      </w:pPr>
      <w:r>
        <w:t xml:space="preserve">4. Overall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left"/>
            </w:pPr>
            <w:r>
              <w:rPr>
                <w:rFonts w:ascii="Calibri" w:cs="Calibri" w:eastAsia="Calibri" w:hAnsi="Calibri"/>
                <w:b/>
                <w:bCs/>
                <w:color w:val="FFFFFF"/>
                <w:sz w:val="21"/>
                <w:szCs w:val="21"/>
              </w:rPr>
              <w:t xml:space="preserve">Metric</w:t>
            </w:r>
          </w:p>
        </w:tc>
        <w:tc>
          <w:tcPr>
            <w:tcW w:type="dxa" w:w="516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right"/>
            </w:pPr>
            <w:r>
              <w:rPr>
                <w:rFonts w:ascii="Calibri" w:cs="Calibri" w:eastAsia="Calibri" w:hAnsi="Calibri"/>
                <w:b/>
                <w:bCs/>
                <w:color w:val="FFFFFF"/>
                <w:sz w:val="21"/>
                <w:szCs w:val="21"/>
              </w:rPr>
              <w:t xml:space="preserve">Result</w:t>
            </w:r>
          </w:p>
        </w:tc>
      </w:tr>
      <w:tr>
        <w:tc>
          <w:tcPr>
            <w:tcW w:type="dxa" w:w="42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bCs/>
                <w:sz w:val="21"/>
                <w:szCs w:val="21"/>
              </w:rPr>
              <w:t xml:space="preserve">Total Sales</w:t>
            </w:r>
          </w:p>
        </w:tc>
        <w:tc>
          <w:tcPr>
            <w:tcW w:type="dxa" w:w="51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$2,297,200.86</w:t>
            </w:r>
          </w:p>
        </w:tc>
      </w:tr>
      <w:tr>
        <w:tc>
          <w:tcPr>
            <w:tcW w:type="dxa" w:w="42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bCs/>
                <w:sz w:val="21"/>
                <w:szCs w:val="21"/>
              </w:rPr>
              <w:t xml:space="preserve">Total Profit</w:t>
            </w:r>
          </w:p>
        </w:tc>
        <w:tc>
          <w:tcPr>
            <w:tcW w:type="dxa" w:w="516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$286,397.02</w:t>
            </w:r>
          </w:p>
        </w:tc>
      </w:tr>
      <w:tr>
        <w:tc>
          <w:tcPr>
            <w:tcW w:type="dxa" w:w="42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bCs/>
                <w:sz w:val="21"/>
                <w:szCs w:val="21"/>
              </w:rPr>
              <w:t xml:space="preserve">Overall Profit Margin</w:t>
            </w:r>
          </w:p>
        </w:tc>
        <w:tc>
          <w:tcPr>
            <w:tcW w:type="dxa" w:w="51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12.47%</w:t>
            </w:r>
          </w:p>
        </w:tc>
      </w:tr>
      <w:tr>
        <w:tc>
          <w:tcPr>
            <w:tcW w:type="dxa" w:w="42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bCs/>
                <w:sz w:val="21"/>
                <w:szCs w:val="21"/>
              </w:rPr>
              <w:t xml:space="preserve">Total Quantity Sold</w:t>
            </w:r>
          </w:p>
        </w:tc>
        <w:tc>
          <w:tcPr>
            <w:tcW w:type="dxa" w:w="516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37,873</w:t>
            </w:r>
          </w:p>
        </w:tc>
      </w:tr>
      <w:tr>
        <w:tc>
          <w:tcPr>
            <w:tcW w:type="dxa" w:w="42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bCs/>
                <w:sz w:val="21"/>
                <w:szCs w:val="21"/>
              </w:rPr>
              <w:t xml:space="preserve">Unique Orders</w:t>
            </w:r>
          </w:p>
        </w:tc>
        <w:tc>
          <w:tcPr>
            <w:tcW w:type="dxa" w:w="51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5,009</w:t>
            </w:r>
          </w:p>
        </w:tc>
      </w:tr>
      <w:tr>
        <w:tc>
          <w:tcPr>
            <w:tcW w:type="dxa" w:w="42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bCs/>
                <w:sz w:val="21"/>
                <w:szCs w:val="21"/>
              </w:rPr>
              <w:t xml:space="preserve">Sales–Profit Correlation</w:t>
            </w:r>
          </w:p>
        </w:tc>
        <w:tc>
          <w:tcPr>
            <w:tcW w:type="dxa" w:w="516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0.479 (moderate positive)</w:t>
            </w:r>
          </w:p>
        </w:tc>
      </w:tr>
    </w:tbl>
    <w:p>
      <w:pPr>
        <w:pStyle w:val="Heading1"/>
      </w:pPr>
      <w:r>
        <w:t xml:space="preserve">5. Category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left"/>
            </w:pPr>
            <w:r>
              <w:rPr>
                <w:rFonts w:ascii="Calibri" w:cs="Calibri" w:eastAsia="Calibri" w:hAnsi="Calibri"/>
                <w:b/>
                <w:bCs/>
                <w:color w:val="FFFFFF"/>
                <w:sz w:val="21"/>
                <w:szCs w:val="21"/>
              </w:rPr>
              <w:t xml:space="preserve">Category</w:t>
            </w:r>
          </w:p>
        </w:tc>
        <w:tc>
          <w:tcPr>
            <w:tcW w:type="dxa" w:w="232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right"/>
            </w:pPr>
            <w:r>
              <w:rPr>
                <w:rFonts w:ascii="Calibri" w:cs="Calibri" w:eastAsia="Calibri" w:hAnsi="Calibri"/>
                <w:b/>
                <w:bCs/>
                <w:color w:val="FFFFFF"/>
                <w:sz w:val="21"/>
                <w:szCs w:val="21"/>
              </w:rPr>
              <w:t xml:space="preserve">Total Sales</w:t>
            </w:r>
          </w:p>
        </w:tc>
        <w:tc>
          <w:tcPr>
            <w:tcW w:type="dxa" w:w="232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right"/>
            </w:pPr>
            <w:r>
              <w:rPr>
                <w:rFonts w:ascii="Calibri" w:cs="Calibri" w:eastAsia="Calibri" w:hAnsi="Calibri"/>
                <w:b/>
                <w:bCs/>
                <w:color w:val="FFFFFF"/>
                <w:sz w:val="21"/>
                <w:szCs w:val="21"/>
              </w:rPr>
              <w:t xml:space="preserve">Total Profit</w:t>
            </w:r>
          </w:p>
        </w:tc>
        <w:tc>
          <w:tcPr>
            <w:tcW w:type="dxa" w:w="232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right"/>
            </w:pPr>
            <w:r>
              <w:rPr>
                <w:rFonts w:ascii="Calibri" w:cs="Calibri" w:eastAsia="Calibri" w:hAnsi="Calibri"/>
                <w:b/>
                <w:bCs/>
                <w:color w:val="FFFFFF"/>
                <w:sz w:val="21"/>
                <w:szCs w:val="21"/>
              </w:rPr>
              <w:t xml:space="preserve">Profit Margin</w:t>
            </w:r>
          </w:p>
        </w:tc>
      </w:tr>
      <w:tr>
        <w:tc>
          <w:tcPr>
            <w:tcW w:type="dxa" w:w="24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bCs/>
                <w:sz w:val="21"/>
                <w:szCs w:val="21"/>
              </w:rPr>
              <w:t xml:space="preserve">Furniture</w:t>
            </w:r>
          </w:p>
        </w:tc>
        <w:tc>
          <w:tcPr>
            <w:tcW w:type="dxa" w:w="232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$741,999.80</w:t>
            </w:r>
          </w:p>
        </w:tc>
        <w:tc>
          <w:tcPr>
            <w:tcW w:type="dxa" w:w="232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$18,451.27</w:t>
            </w:r>
          </w:p>
        </w:tc>
        <w:tc>
          <w:tcPr>
            <w:tcW w:type="dxa" w:w="232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2.5%</w:t>
            </w:r>
          </w:p>
        </w:tc>
      </w:tr>
      <w:tr>
        <w:tc>
          <w:tcPr>
            <w:tcW w:type="dxa" w:w="24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bCs/>
                <w:sz w:val="21"/>
                <w:szCs w:val="21"/>
              </w:rPr>
              <w:t xml:space="preserve">Office Supplies</w:t>
            </w:r>
          </w:p>
        </w:tc>
        <w:tc>
          <w:tcPr>
            <w:tcW w:type="dxa" w:w="232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$719,047.03</w:t>
            </w:r>
          </w:p>
        </w:tc>
        <w:tc>
          <w:tcPr>
            <w:tcW w:type="dxa" w:w="232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$122,490.80</w:t>
            </w:r>
          </w:p>
        </w:tc>
        <w:tc>
          <w:tcPr>
            <w:tcW w:type="dxa" w:w="232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17.0%</w:t>
            </w:r>
          </w:p>
        </w:tc>
      </w:tr>
      <w:tr>
        <w:tc>
          <w:tcPr>
            <w:tcW w:type="dxa" w:w="24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bCs/>
                <w:sz w:val="21"/>
                <w:szCs w:val="21"/>
              </w:rPr>
              <w:t xml:space="preserve">Technology</w:t>
            </w:r>
          </w:p>
        </w:tc>
        <w:tc>
          <w:tcPr>
            <w:tcW w:type="dxa" w:w="232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$836,154.03</w:t>
            </w:r>
          </w:p>
        </w:tc>
        <w:tc>
          <w:tcPr>
            <w:tcW w:type="dxa" w:w="232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$145,454.95</w:t>
            </w:r>
          </w:p>
        </w:tc>
        <w:tc>
          <w:tcPr>
            <w:tcW w:type="dxa" w:w="232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right"/>
            </w:pPr>
            <w:r>
              <w:rPr>
                <w:rFonts w:ascii="Calibri" w:cs="Calibri" w:eastAsia="Calibri" w:hAnsi="Calibri"/>
                <w:b w:val="false"/>
                <w:bCs w:val="false"/>
                <w:sz w:val="21"/>
                <w:szCs w:val="21"/>
              </w:rPr>
              <w:t xml:space="preserve">17.4%</w:t>
            </w:r>
          </w:p>
        </w:tc>
      </w:tr>
    </w:tbl>
    <w:p>
      <w:pPr>
        <w:spacing w:after="60" w:before="120"/>
        <w:jc w:val="center"/>
      </w:pPr>
      <w:r>
        <w:drawing>
          <wp:inline distT="0" distB="0" distL="0" distR="0">
            <wp:extent cx="5334000" cy="2590800"/>
            <wp:effectExtent t="0" r="0" b="0" l="0"/>
            <wp:docPr id="1" name="cat.png" descr="cat.png" title="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rFonts w:ascii="Calibri" w:cs="Calibri" w:eastAsia="Calibri" w:hAnsi="Calibri"/>
          <w:i/>
          <w:iCs/>
          <w:color w:val="5A6572"/>
          <w:sz w:val="18"/>
          <w:szCs w:val="18"/>
        </w:rPr>
        <w:t xml:space="preserve">Figure 1. Sales and profit by category (USD thousands)</w:t>
      </w:r>
    </w:p>
    <w:p>
      <w:pPr>
        <w:spacing w:after="60" w:before="120"/>
        <w:jc w:val="center"/>
      </w:pPr>
      <w:r>
        <w:drawing>
          <wp:inline distT="0" distB="0" distL="0" distR="0">
            <wp:extent cx="5334000" cy="1981200"/>
            <wp:effectExtent t="0" r="0" b="0" l="0"/>
            <wp:docPr id="1" name="margin.png" descr="margin.png" title="mar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81200"/>
                    </a:xfrm>
                    <a:prstGeom prst="rect">
                      <a:avLst/>
                    </a:prstGeom>
                  </pic:spPr>
                </pic:pic>
              </a:graphicData>
            </a:graphic>
          </wp:inline>
        </w:drawing>
      </w:r>
    </w:p>
    <w:p>
      <w:pPr>
        <w:spacing w:after="200"/>
        <w:jc w:val="center"/>
      </w:pPr>
      <w:r>
        <w:rPr>
          <w:rFonts w:ascii="Calibri" w:cs="Calibri" w:eastAsia="Calibri" w:hAnsi="Calibri"/>
          <w:i/>
          <w:iCs/>
          <w:color w:val="5A6572"/>
          <w:sz w:val="18"/>
          <w:szCs w:val="18"/>
        </w:rPr>
        <w:t xml:space="preserve">Figure 2. Profit margin by category, calculated as total profit ÷ total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553D" w:sz="24"/>
              <w:bottom w:val="none" w:color="FFFFFF" w:sz="0"/>
              <w:right w:val="none" w:color="FFFFFF" w:sz="0"/>
            </w:tcBorders>
            <w:shd w:fill="EEF3F8" w:val="clear"/>
            <w:tcMar>
              <w:top w:type="dxa" w:w="120"/>
              <w:left w:type="dxa" w:w="200"/>
              <w:bottom w:type="dxa" w:w="120"/>
              <w:right w:type="dxa" w:w="200"/>
            </w:tcMar>
          </w:tcPr>
          <w:p>
            <w:r>
              <w:rPr>
                <w:rFonts w:ascii="Calibri" w:cs="Calibri" w:eastAsia="Calibri" w:hAnsi="Calibri"/>
                <w:b/>
                <w:bCs/>
                <w:color w:val="C8553D"/>
                <w:sz w:val="22"/>
                <w:szCs w:val="22"/>
              </w:rPr>
              <w:t xml:space="preserve">Finding  </w:t>
            </w:r>
            <w:r>
              <w:rPr>
                <w:rFonts w:ascii="Calibri" w:cs="Calibri" w:eastAsia="Calibri" w:hAnsi="Calibri"/>
                <w:sz w:val="22"/>
                <w:szCs w:val="22"/>
              </w:rPr>
              <w:t xml:space="preserve">Technology had the highest sales and profit. Office Supplies earned about six times Furniture's profit on slightly lower sales. Furniture's pricing, discounting and product-level performance deserve further investigation.</w:t>
            </w:r>
          </w:p>
        </w:tc>
      </w:tr>
    </w:tbl>
    <w:p>
      <w:pPr>
        <w:pStyle w:val="Heading1"/>
      </w:pPr>
      <w:r>
        <w:t xml:space="preserve">6. Regional, Sub-Category and Monthly Analysis</w:t>
      </w:r>
    </w:p>
    <w:p>
      <w:pPr>
        <w:pStyle w:val="Heading2"/>
      </w:pPr>
      <w:r>
        <w:t xml:space="preserve">Regional sales</w:t>
      </w:r>
    </w:p>
    <w:p>
      <w:pPr>
        <w:spacing w:after="120" w:line="300"/>
      </w:pPr>
      <w:r>
        <w:rPr>
          <w:rFonts w:ascii="Calibri" w:cs="Calibri" w:eastAsia="Calibri" w:hAnsi="Calibri"/>
          <w:sz w:val="22"/>
          <w:szCs w:val="22"/>
        </w:rPr>
        <w:t xml:space="preserve">West had the highest regional sales and South the lowest, so demand is not evenly distributed. Regional profit should be reviewed before drawing conclusions from sales alone.</w:t>
      </w:r>
    </w:p>
    <w:p>
      <w:pPr>
        <w:pStyle w:val="Heading2"/>
      </w:pPr>
      <w:r>
        <w:t xml:space="preserve">Sub-category profit</w:t>
      </w:r>
    </w:p>
    <w:p>
      <w:pPr>
        <w:spacing w:after="120" w:line="300"/>
      </w:pPr>
      <w:r>
        <w:rPr>
          <w:rFonts w:ascii="Calibri" w:cs="Calibri" w:eastAsia="Calibri" w:hAnsi="Calibri"/>
          <w:sz w:val="22"/>
          <w:szCs w:val="22"/>
        </w:rPr>
        <w:t xml:space="preserve">Copiers had the highest profit and Envelopes the lowest; Chairs sat near the middle of the observed range. Comparing sales and margin by sub-category is a useful next step, since high sales do not always mean high profit.</w:t>
      </w:r>
    </w:p>
    <w:p>
      <w:pPr>
        <w:pStyle w:val="Heading2"/>
      </w:pPr>
      <w:r>
        <w:t xml:space="preserve">Monthly patterns</w:t>
      </w:r>
    </w:p>
    <w:p>
      <w:pPr>
        <w:spacing w:after="120" w:line="300"/>
      </w:pPr>
      <w:r>
        <w:rPr>
          <w:rFonts w:ascii="Calibri" w:cs="Calibri" w:eastAsia="Calibri" w:hAnsi="Calibri"/>
          <w:sz w:val="22"/>
          <w:szCs w:val="22"/>
        </w:rPr>
        <w:t xml:space="preserve">Sales were highest in November and lowest in February, with May to August moderate. Profit peaked in December, was low in January and February, and was mid-range in 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6572" w:sz="24"/>
              <w:bottom w:val="none" w:color="FFFFFF" w:sz="0"/>
              <w:right w:val="none" w:color="FFFFFF" w:sz="0"/>
            </w:tcBorders>
            <w:shd w:fill="EEF3F8" w:val="clear"/>
            <w:tcMar>
              <w:top w:type="dxa" w:w="120"/>
              <w:left w:type="dxa" w:w="200"/>
              <w:bottom w:type="dxa" w:w="120"/>
              <w:right w:type="dxa" w:w="200"/>
            </w:tcMar>
          </w:tcPr>
          <w:p>
            <w:r>
              <w:rPr>
                <w:rFonts w:ascii="Calibri" w:cs="Calibri" w:eastAsia="Calibri" w:hAnsi="Calibri"/>
                <w:b/>
                <w:bCs/>
                <w:color w:val="5A6572"/>
                <w:sz w:val="22"/>
                <w:szCs w:val="22"/>
              </w:rPr>
              <w:t xml:space="preserve">Note  </w:t>
            </w:r>
            <w:r>
              <w:rPr>
                <w:rFonts w:ascii="Calibri" w:cs="Calibri" w:eastAsia="Calibri" w:hAnsi="Calibri"/>
                <w:sz w:val="22"/>
                <w:szCs w:val="22"/>
              </w:rPr>
              <w:t xml:space="preserve">Grouping by month number combines the same month across years. For a true chronological trend, build a Year-Month field from Order Date and group by that.</w:t>
            </w:r>
          </w:p>
        </w:tc>
      </w:tr>
    </w:tbl>
    <w:p>
      <w:pPr>
        <w:pStyle w:val="Heading1"/>
      </w:pPr>
      <w:r>
        <w:t xml:space="preserve">7. Sales, Discount and Profit</w:t>
      </w:r>
    </w:p>
    <w:p>
      <w:pPr>
        <w:pStyle w:val="Heading2"/>
      </w:pPr>
      <w:r>
        <w:t xml:space="preserve">Sales vs profit</w:t>
      </w:r>
    </w:p>
    <w:p>
      <w:pPr>
        <w:spacing w:after="120" w:line="300"/>
      </w:pPr>
      <w:r>
        <w:rPr>
          <w:rFonts w:ascii="Calibri" w:cs="Calibri" w:eastAsia="Calibri" w:hAnsi="Calibri"/>
          <w:sz w:val="22"/>
          <w:szCs w:val="22"/>
        </w:rPr>
        <w:t xml:space="preserve">The scatter plot shows a moderate positive correlation of about 0.479. Higher sales tend to come with higher profit, but some high-sales orders still have low or negative profit, so both metrics should be read together.</w:t>
      </w:r>
    </w:p>
    <w:p>
      <w:pPr>
        <w:pStyle w:val="Heading2"/>
      </w:pPr>
      <w:r>
        <w:t xml:space="preserve">Discount vs profit</w:t>
      </w:r>
    </w:p>
    <w:p>
      <w:pPr>
        <w:spacing w:after="120" w:line="300"/>
      </w:pPr>
      <w:r>
        <w:rPr>
          <w:rFonts w:ascii="Calibri" w:cs="Calibri" w:eastAsia="Calibri" w:hAnsi="Calibri"/>
          <w:sz w:val="22"/>
          <w:szCs w:val="22"/>
        </w:rPr>
        <w:t xml:space="preserve">High discounts, especially around 0.5 to 0.8, were often associated with negative profit, while low-discount orders included many profitable ones with wide variation. This is an observed association, not proof of causation; category, product and order size may also contribute.</w:t>
      </w:r>
    </w:p>
    <w:p>
      <w:pPr>
        <w:pStyle w:val="Heading2"/>
      </w:pPr>
      <w:r>
        <w:t xml:space="preserve">Profit margin</w:t>
      </w:r>
    </w:p>
    <w:p>
      <w:pPr>
        <w:spacing w:after="120" w:line="300"/>
      </w:pPr>
      <w:r>
        <w:rPr>
          <w:rFonts w:ascii="Calibri" w:cs="Calibri" w:eastAsia="Calibri" w:hAnsi="Calibri"/>
          <w:sz w:val="22"/>
          <w:szCs w:val="22"/>
        </w:rPr>
        <w:t xml:space="preserve">Margin is (Profit ÷ Sales) × 100. The row-level Profit_Margin column gives each transaction's margin, with negative values indicating a loss. For category comparisons, divide each category's summed profit by its summed sales rather than averaging row-level percentages.</w:t>
      </w:r>
    </w:p>
    <w:p>
      <w:pPr>
        <w:pStyle w:val="Heading1"/>
      </w:pPr>
      <w:r>
        <w:t xml:space="preserve">8. Key Findings</w:t>
      </w:r>
    </w:p>
    <w:p>
      <w:pPr>
        <w:pStyle w:val="ListParagraph"/>
        <w:numPr>
          <w:ilvl w:val="0"/>
          <w:numId w:val="2"/>
        </w:numPr>
        <w:spacing w:after="80" w:line="290"/>
      </w:pPr>
      <w:r>
        <w:rPr>
          <w:rFonts w:ascii="Calibri" w:cs="Calibri" w:eastAsia="Calibri" w:hAnsi="Calibri"/>
          <w:sz w:val="22"/>
          <w:szCs w:val="22"/>
        </w:rPr>
        <w:t xml:space="preserve">Total sales were about $2.30M and total profit about $286.4K (12.5% margin).</w:t>
      </w:r>
    </w:p>
    <w:p>
      <w:pPr>
        <w:pStyle w:val="ListParagraph"/>
        <w:numPr>
          <w:ilvl w:val="0"/>
          <w:numId w:val="2"/>
        </w:numPr>
        <w:spacing w:after="80" w:line="290"/>
      </w:pPr>
      <w:r>
        <w:rPr>
          <w:rFonts w:ascii="Calibri" w:cs="Calibri" w:eastAsia="Calibri" w:hAnsi="Calibri"/>
          <w:sz w:val="22"/>
          <w:szCs w:val="22"/>
        </w:rPr>
        <w:t xml:space="preserve">Technology led the categories in both sales and profit.</w:t>
      </w:r>
    </w:p>
    <w:p>
      <w:pPr>
        <w:pStyle w:val="ListParagraph"/>
        <w:numPr>
          <w:ilvl w:val="0"/>
          <w:numId w:val="2"/>
        </w:numPr>
        <w:spacing w:after="80" w:line="290"/>
      </w:pPr>
      <w:r>
        <w:rPr>
          <w:rFonts w:ascii="Calibri" w:cs="Calibri" w:eastAsia="Calibri" w:hAnsi="Calibri"/>
          <w:sz w:val="22"/>
          <w:szCs w:val="22"/>
        </w:rPr>
        <w:t xml:space="preserve">Furniture's margin (about 2.5%) is far below Office Supplies (17.0%) and Technology (17.4%).</w:t>
      </w:r>
    </w:p>
    <w:p>
      <w:pPr>
        <w:pStyle w:val="ListParagraph"/>
        <w:numPr>
          <w:ilvl w:val="0"/>
          <w:numId w:val="2"/>
        </w:numPr>
        <w:spacing w:after="80" w:line="290"/>
      </w:pPr>
      <w:r>
        <w:rPr>
          <w:rFonts w:ascii="Calibri" w:cs="Calibri" w:eastAsia="Calibri" w:hAnsi="Calibri"/>
          <w:sz w:val="22"/>
          <w:szCs w:val="22"/>
        </w:rPr>
        <w:t xml:space="preserve">West had the highest regional sales; South had the lowest.</w:t>
      </w:r>
    </w:p>
    <w:p>
      <w:pPr>
        <w:pStyle w:val="ListParagraph"/>
        <w:numPr>
          <w:ilvl w:val="0"/>
          <w:numId w:val="2"/>
        </w:numPr>
        <w:spacing w:after="80" w:line="290"/>
      </w:pPr>
      <w:r>
        <w:rPr>
          <w:rFonts w:ascii="Calibri" w:cs="Calibri" w:eastAsia="Calibri" w:hAnsi="Calibri"/>
          <w:sz w:val="22"/>
          <w:szCs w:val="22"/>
        </w:rPr>
        <w:t xml:space="preserve">November was the strongest month for sales and February the weakest.</w:t>
      </w:r>
    </w:p>
    <w:p>
      <w:pPr>
        <w:pStyle w:val="ListParagraph"/>
        <w:numPr>
          <w:ilvl w:val="0"/>
          <w:numId w:val="2"/>
        </w:numPr>
        <w:spacing w:after="80" w:line="290"/>
      </w:pPr>
      <w:r>
        <w:rPr>
          <w:rFonts w:ascii="Calibri" w:cs="Calibri" w:eastAsia="Calibri" w:hAnsi="Calibri"/>
          <w:sz w:val="22"/>
          <w:szCs w:val="22"/>
        </w:rPr>
        <w:t xml:space="preserve">Higher discounts were frequently associated with losses.</w:t>
      </w:r>
    </w:p>
    <w:p>
      <w:pPr>
        <w:pStyle w:val="ListParagraph"/>
        <w:numPr>
          <w:ilvl w:val="0"/>
          <w:numId w:val="2"/>
        </w:numPr>
        <w:spacing w:after="80" w:line="290"/>
      </w:pPr>
      <w:r>
        <w:rPr>
          <w:rFonts w:ascii="Calibri" w:cs="Calibri" w:eastAsia="Calibri" w:hAnsi="Calibri"/>
          <w:sz w:val="22"/>
          <w:szCs w:val="22"/>
        </w:rPr>
        <w:t xml:space="preserve">A moderate sales–profit correlation means sales volume alone does not explain profitability.</w:t>
      </w:r>
    </w:p>
    <w:p>
      <w:pPr>
        <w:pStyle w:val="Heading1"/>
      </w:pPr>
      <w:r>
        <w:t xml:space="preserve">9. Business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tblHeader/>
        </w:trPr>
        <w:tc>
          <w:tcPr>
            <w:tcW w:type="dxa" w:w="60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center"/>
            </w:pPr>
            <w:r>
              <w:rPr>
                <w:rFonts w:ascii="Calibri" w:cs="Calibri" w:eastAsia="Calibri" w:hAnsi="Calibri"/>
                <w:b/>
                <w:bCs/>
                <w:color w:val="FFFFFF"/>
                <w:sz w:val="21"/>
                <w:szCs w:val="21"/>
              </w:rPr>
              <w:t xml:space="preserve">#</w:t>
            </w:r>
          </w:p>
        </w:tc>
        <w:tc>
          <w:tcPr>
            <w:tcW w:type="dxa" w:w="330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left"/>
            </w:pPr>
            <w:r>
              <w:rPr>
                <w:rFonts w:ascii="Calibri" w:cs="Calibri" w:eastAsia="Calibri" w:hAnsi="Calibri"/>
                <w:b/>
                <w:bCs/>
                <w:color w:val="FFFFFF"/>
                <w:sz w:val="21"/>
                <w:szCs w:val="21"/>
              </w:rPr>
              <w:t xml:space="preserve">Action</w:t>
            </w:r>
          </w:p>
        </w:tc>
        <w:tc>
          <w:tcPr>
            <w:tcW w:type="dxa" w:w="5460"/>
            <w:tcBorders>
              <w:top w:val="single" w:color="D0D7DE" w:sz="4"/>
              <w:left w:val="single" w:color="D0D7DE" w:sz="4"/>
              <w:bottom w:val="single" w:color="D0D7DE" w:sz="4"/>
              <w:right w:val="single" w:color="D0D7DE" w:sz="4"/>
            </w:tcBorders>
            <w:shd w:fill="1F3A5F" w:val="clear"/>
            <w:tcMar>
              <w:top w:type="dxa" w:w="90"/>
              <w:left w:type="dxa" w:w="120"/>
              <w:bottom w:type="dxa" w:w="90"/>
              <w:right w:type="dxa" w:w="120"/>
            </w:tcMar>
            <w:vAlign w:val="center"/>
          </w:tcPr>
          <w:p>
            <w:pPr>
              <w:jc w:val="left"/>
            </w:pPr>
            <w:r>
              <w:rPr>
                <w:rFonts w:ascii="Calibri" w:cs="Calibri" w:eastAsia="Calibri" w:hAnsi="Calibri"/>
                <w:b/>
                <w:bCs/>
                <w:color w:val="FFFFFF"/>
                <w:sz w:val="21"/>
                <w:szCs w:val="21"/>
              </w:rPr>
              <w:t xml:space="preserve">Rationale</w:t>
            </w:r>
          </w:p>
        </w:tc>
      </w:tr>
      <w:tr>
        <w:tc>
          <w:tcPr>
            <w:tcW w:type="dxa" w:w="6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center"/>
            </w:pPr>
            <w:r>
              <w:rPr>
                <w:rFonts w:ascii="Calibri" w:cs="Calibri" w:eastAsia="Calibri" w:hAnsi="Calibri"/>
                <w:b/>
                <w:bCs/>
                <w:sz w:val="21"/>
                <w:szCs w:val="21"/>
              </w:rPr>
              <w:t xml:space="preserve">1</w:t>
            </w:r>
          </w:p>
        </w:tc>
        <w:tc>
          <w:tcPr>
            <w:tcW w:type="dxa" w:w="33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Set discount limits</w:t>
            </w:r>
          </w:p>
        </w:tc>
        <w:tc>
          <w:tcPr>
            <w:tcW w:type="dxa" w:w="54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Review high-discount transactions and cap discounts where profit turns negative.</w:t>
            </w:r>
          </w:p>
        </w:tc>
      </w:tr>
      <w:tr>
        <w:tc>
          <w:tcPr>
            <w:tcW w:type="dxa" w:w="6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center"/>
            </w:pPr>
            <w:r>
              <w:rPr>
                <w:rFonts w:ascii="Calibri" w:cs="Calibri" w:eastAsia="Calibri" w:hAnsi="Calibri"/>
                <w:b/>
                <w:bCs/>
                <w:sz w:val="21"/>
                <w:szCs w:val="21"/>
              </w:rPr>
              <w:t xml:space="preserve">2</w:t>
            </w:r>
          </w:p>
        </w:tc>
        <w:tc>
          <w:tcPr>
            <w:tcW w:type="dxa" w:w="33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Fix Furniture profitability</w:t>
            </w:r>
          </w:p>
        </w:tc>
        <w:tc>
          <w:tcPr>
            <w:tcW w:type="dxa" w:w="546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Investigate low or negative-profit products; review pricing, costs and discounts.</w:t>
            </w:r>
          </w:p>
        </w:tc>
      </w:tr>
      <w:tr>
        <w:tc>
          <w:tcPr>
            <w:tcW w:type="dxa" w:w="6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center"/>
            </w:pPr>
            <w:r>
              <w:rPr>
                <w:rFonts w:ascii="Calibri" w:cs="Calibri" w:eastAsia="Calibri" w:hAnsi="Calibri"/>
                <w:b/>
                <w:bCs/>
                <w:sz w:val="21"/>
                <w:szCs w:val="21"/>
              </w:rPr>
              <w:t xml:space="preserve">3</w:t>
            </w:r>
          </w:p>
        </w:tc>
        <w:tc>
          <w:tcPr>
            <w:tcW w:type="dxa" w:w="33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Learn from Technology</w:t>
            </w:r>
          </w:p>
        </w:tc>
        <w:tc>
          <w:tcPr>
            <w:tcW w:type="dxa" w:w="54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Identify which product groups contribute most to profit and replicate the pattern.</w:t>
            </w:r>
          </w:p>
        </w:tc>
      </w:tr>
      <w:tr>
        <w:tc>
          <w:tcPr>
            <w:tcW w:type="dxa" w:w="6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center"/>
            </w:pPr>
            <w:r>
              <w:rPr>
                <w:rFonts w:ascii="Calibri" w:cs="Calibri" w:eastAsia="Calibri" w:hAnsi="Calibri"/>
                <w:b/>
                <w:bCs/>
                <w:sz w:val="21"/>
                <w:szCs w:val="21"/>
              </w:rPr>
              <w:t xml:space="preserve">4</w:t>
            </w:r>
          </w:p>
        </w:tc>
        <w:tc>
          <w:tcPr>
            <w:tcW w:type="dxa" w:w="33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Track profit with sales</w:t>
            </w:r>
          </w:p>
        </w:tc>
        <w:tc>
          <w:tcPr>
            <w:tcW w:type="dxa" w:w="546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Evaluate regions, categories and products on profit as well as revenue.</w:t>
            </w:r>
          </w:p>
        </w:tc>
      </w:tr>
      <w:tr>
        <w:tc>
          <w:tcPr>
            <w:tcW w:type="dxa" w:w="6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center"/>
            </w:pPr>
            <w:r>
              <w:rPr>
                <w:rFonts w:ascii="Calibri" w:cs="Calibri" w:eastAsia="Calibri" w:hAnsi="Calibri"/>
                <w:b/>
                <w:bCs/>
                <w:sz w:val="21"/>
                <w:szCs w:val="21"/>
              </w:rPr>
              <w:t xml:space="preserve">5</w:t>
            </w:r>
          </w:p>
        </w:tc>
        <w:tc>
          <w:tcPr>
            <w:tcW w:type="dxa" w:w="33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Use a Year-Month timeline</w:t>
            </w:r>
          </w:p>
        </w:tc>
        <w:tc>
          <w:tcPr>
            <w:tcW w:type="dxa" w:w="54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Analyse seasonality and compare trends across years.</w:t>
            </w:r>
          </w:p>
        </w:tc>
      </w:tr>
      <w:tr>
        <w:tc>
          <w:tcPr>
            <w:tcW w:type="dxa" w:w="6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center"/>
            </w:pPr>
            <w:r>
              <w:rPr>
                <w:rFonts w:ascii="Calibri" w:cs="Calibri" w:eastAsia="Calibri" w:hAnsi="Calibri"/>
                <w:b/>
                <w:bCs/>
                <w:sz w:val="21"/>
                <w:szCs w:val="21"/>
              </w:rPr>
              <w:t xml:space="preserve">6</w:t>
            </w:r>
          </w:p>
        </w:tc>
        <w:tc>
          <w:tcPr>
            <w:tcW w:type="dxa" w:w="330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Reprice high-sales, low-profit items</w:t>
            </w:r>
          </w:p>
        </w:tc>
        <w:tc>
          <w:tcPr>
            <w:tcW w:type="dxa" w:w="5460"/>
            <w:tcBorders>
              <w:top w:val="single" w:color="D0D7DE" w:sz="4"/>
              <w:left w:val="single" w:color="D0D7DE" w:sz="4"/>
              <w:bottom w:val="single" w:color="D0D7DE" w:sz="4"/>
              <w:right w:val="single" w:color="D0D7DE" w:sz="4"/>
            </w:tcBorders>
            <w:shd w:fill="F6F8FA" w:val="clear"/>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Consider pricing or promotion changes for these products.</w:t>
            </w:r>
          </w:p>
        </w:tc>
      </w:tr>
      <w:tr>
        <w:tc>
          <w:tcPr>
            <w:tcW w:type="dxa" w:w="6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center"/>
            </w:pPr>
            <w:r>
              <w:rPr>
                <w:rFonts w:ascii="Calibri" w:cs="Calibri" w:eastAsia="Calibri" w:hAnsi="Calibri"/>
                <w:b/>
                <w:bCs/>
                <w:sz w:val="21"/>
                <w:szCs w:val="21"/>
              </w:rPr>
              <w:t xml:space="preserve">7</w:t>
            </w:r>
          </w:p>
        </w:tc>
        <w:tc>
          <w:tcPr>
            <w:tcW w:type="dxa" w:w="330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Validate outliers</w:t>
            </w:r>
          </w:p>
        </w:tc>
        <w:tc>
          <w:tcPr>
            <w:tcW w:type="dxa" w:w="5460"/>
            <w:tcBorders>
              <w:top w:val="single" w:color="D0D7DE" w:sz="4"/>
              <w:left w:val="single" w:color="D0D7DE" w:sz="4"/>
              <w:bottom w:val="single" w:color="D0D7DE" w:sz="4"/>
              <w:right w:val="single" w:color="D0D7DE" w:sz="4"/>
            </w:tcBorders>
            <w:tcMar>
              <w:top w:type="dxa" w:w="90"/>
              <w:left w:type="dxa" w:w="120"/>
              <w:bottom w:type="dxa" w:w="90"/>
              <w:right w:type="dxa" w:w="120"/>
            </w:tcMar>
            <w:vAlign w:val="center"/>
          </w:tcPr>
          <w:p>
            <w:pPr>
              <w:jc w:val="left"/>
            </w:pPr>
            <w:r>
              <w:rPr>
                <w:rFonts w:ascii="Calibri" w:cs="Calibri" w:eastAsia="Calibri" w:hAnsi="Calibri"/>
                <w:b w:val="false"/>
                <w:bCs w:val="false"/>
                <w:sz w:val="21"/>
                <w:szCs w:val="21"/>
              </w:rPr>
              <w:t xml:space="preserve">Check unusual and negative-profit orders before operational decisions.</w:t>
            </w:r>
          </w:p>
        </w:tc>
      </w:tr>
    </w:tbl>
    <w:p>
      <w:pPr>
        <w:pStyle w:val="Heading1"/>
      </w:pPr>
      <w:r>
        <w:t xml:space="preserve">10. Limitations and Further Work</w:t>
      </w:r>
    </w:p>
    <w:p>
      <w:pPr>
        <w:spacing w:after="120" w:line="300"/>
      </w:pPr>
      <w:r>
        <w:rPr>
          <w:rFonts w:ascii="Calibri" w:cs="Calibri" w:eastAsia="Calibri" w:hAnsi="Calibri"/>
          <w:sz w:val="22"/>
          <w:szCs w:val="22"/>
        </w:rPr>
        <w:t xml:space="preserve">This report covers the results produced during the analysis. Exact top-10 products, segment totals, shipping-mode results and per-category margins from the code were not part of those results, so only the category margins derived from the reported totals are included. The discount relationship is descriptive, not causal.</w:t>
      </w:r>
    </w:p>
    <w:p>
      <w:pPr>
        <w:spacing w:after="120" w:line="300"/>
      </w:pPr>
      <w:r>
        <w:rPr>
          <w:rFonts w:ascii="Calibri" w:cs="Calibri" w:eastAsia="Calibri" w:hAnsi="Calibri"/>
          <w:sz w:val="22"/>
          <w:szCs w:val="22"/>
        </w:rPr>
        <w:t xml:space="preserve">Suggested next steps: data-quality checks, segment and shipping-mode analysis, top-product ranking, Year-Month trend charts, and an interactive dashboard in Power BI or Tableau.</w:t>
      </w:r>
    </w:p>
    <w:p>
      <w:pPr>
        <w:pStyle w:val="Heading1"/>
      </w:pPr>
      <w:r>
        <w:t xml:space="preserve">11. Conclusion</w:t>
      </w:r>
    </w:p>
    <w:p>
      <w:pPr>
        <w:spacing w:after="120" w:line="300"/>
      </w:pPr>
      <w:r>
        <w:rPr>
          <w:rFonts w:ascii="Calibri" w:cs="Calibri" w:eastAsia="Calibri" w:hAnsi="Calibri"/>
          <w:sz w:val="22"/>
          <w:szCs w:val="22"/>
        </w:rPr>
        <w:t xml:space="preserve">The analysis gives a clear overview of Superstore performance. Technology is a strong contributor to both sales and profit, while Furniture and heavily discounted transactions warrant closer attention. The central lesson is to evaluate profitability alongside sales, since more revenue does not automatically mean more profit.</w:t>
      </w:r>
    </w:p>
    <w:p>
      <w:r>
        <w:br w:type="page"/>
      </w:r>
    </w:p>
    <w:p>
      <w:pPr>
        <w:pStyle w:val="Heading1"/>
      </w:pPr>
      <w:r>
        <w:t xml:space="preserve">Appendix: Main Python Code</w:t>
      </w:r>
    </w:p>
    <w:p>
      <w:pPr>
        <w:pStyle w:val="Heading2"/>
      </w:pPr>
      <w:r>
        <w:t xml:space="preserve">Overall metrics</w:t>
      </w:r>
    </w:p>
    <w:p>
      <w:pPr>
        <w:shd w:fill="F3F4F6" w:val="clear"/>
        <w:spacing w:after="0" w:line="260"/>
        <w:ind w:left="120" w:right="120"/>
      </w:pPr>
      <w:r>
        <w:rPr>
          <w:rFonts w:ascii="Consolas" w:cs="Consolas" w:eastAsia="Consolas" w:hAnsi="Consolas"/>
          <w:sz w:val="18"/>
          <w:szCs w:val="18"/>
        </w:rPr>
        <w:t xml:space="preserve">print("Total Sales:", df["Sales"].sum())</w:t>
      </w:r>
    </w:p>
    <w:p>
      <w:pPr>
        <w:shd w:fill="F3F4F6" w:val="clear"/>
        <w:spacing w:after="0" w:line="260"/>
        <w:ind w:left="120" w:right="120"/>
      </w:pPr>
      <w:r>
        <w:rPr>
          <w:rFonts w:ascii="Consolas" w:cs="Consolas" w:eastAsia="Consolas" w:hAnsi="Consolas"/>
          <w:sz w:val="18"/>
          <w:szCs w:val="18"/>
        </w:rPr>
        <w:t xml:space="preserve">print("Total Profit:", df["Profit"].sum())</w:t>
      </w:r>
    </w:p>
    <w:p>
      <w:pPr>
        <w:shd w:fill="F3F4F6" w:val="clear"/>
        <w:spacing w:after="0" w:line="260"/>
        <w:ind w:left="120" w:right="120"/>
      </w:pPr>
      <w:r>
        <w:rPr>
          <w:rFonts w:ascii="Consolas" w:cs="Consolas" w:eastAsia="Consolas" w:hAnsi="Consolas"/>
          <w:sz w:val="18"/>
          <w:szCs w:val="18"/>
        </w:rPr>
        <w:t xml:space="preserve">print("Total Quantity:", df["Quantity"].sum())</w:t>
      </w:r>
    </w:p>
    <w:p>
      <w:pPr>
        <w:shd w:fill="F3F4F6" w:val="clear"/>
        <w:spacing w:after="0" w:line="260"/>
        <w:ind w:left="120" w:right="120"/>
      </w:pPr>
      <w:r>
        <w:rPr>
          <w:rFonts w:ascii="Consolas" w:cs="Consolas" w:eastAsia="Consolas" w:hAnsi="Consolas"/>
          <w:sz w:val="18"/>
          <w:szCs w:val="18"/>
        </w:rPr>
        <w:t xml:space="preserve">print("Unique Orders:", df["Order ID"].nunique())</w:t>
      </w:r>
    </w:p>
    <w:p>
      <w:pPr>
        <w:spacing w:after="80"/>
      </w:pPr>
    </w:p>
    <w:p>
      <w:pPr>
        <w:pStyle w:val="Heading2"/>
      </w:pPr>
      <w:r>
        <w:t xml:space="preserve">Category sales and profit</w:t>
      </w:r>
    </w:p>
    <w:p>
      <w:pPr>
        <w:shd w:fill="F3F4F6" w:val="clear"/>
        <w:spacing w:after="0" w:line="260"/>
        <w:ind w:left="120" w:right="120"/>
      </w:pPr>
      <w:r>
        <w:rPr>
          <w:rFonts w:ascii="Consolas" w:cs="Consolas" w:eastAsia="Consolas" w:hAnsi="Consolas"/>
          <w:sz w:val="18"/>
          <w:szCs w:val="18"/>
        </w:rPr>
        <w:t xml:space="preserve">print(df.groupby("Category")[["Sales", "Profit"]].sum())</w:t>
      </w:r>
    </w:p>
    <w:p>
      <w:pPr>
        <w:spacing w:after="80"/>
      </w:pPr>
    </w:p>
    <w:p>
      <w:pPr>
        <w:pStyle w:val="Heading2"/>
      </w:pPr>
      <w:r>
        <w:t xml:space="preserve">Top 10 products by sales</w:t>
      </w:r>
    </w:p>
    <w:p>
      <w:pPr>
        <w:shd w:fill="F3F4F6" w:val="clear"/>
        <w:spacing w:after="0" w:line="260"/>
        <w:ind w:left="120" w:right="120"/>
      </w:pPr>
      <w:r>
        <w:rPr>
          <w:rFonts w:ascii="Consolas" w:cs="Consolas" w:eastAsia="Consolas" w:hAnsi="Consolas"/>
          <w:sz w:val="18"/>
          <w:szCs w:val="18"/>
        </w:rPr>
        <w:t xml:space="preserve">print(df.groupby("Product Name")["Sales"].sum()</w:t>
      </w:r>
    </w:p>
    <w:p>
      <w:pPr>
        <w:shd w:fill="F3F4F6" w:val="clear"/>
        <w:spacing w:after="0" w:line="260"/>
        <w:ind w:left="120" w:right="120"/>
      </w:pPr>
      <w:r>
        <w:rPr>
          <w:rFonts w:ascii="Consolas" w:cs="Consolas" w:eastAsia="Consolas" w:hAnsi="Consolas"/>
          <w:sz w:val="18"/>
          <w:szCs w:val="18"/>
        </w:rPr>
        <w:t xml:space="preserve">      .sort_values(ascending=False).head(10))</w:t>
      </w:r>
    </w:p>
    <w:p>
      <w:pPr>
        <w:spacing w:after="80"/>
      </w:pPr>
    </w:p>
    <w:p>
      <w:pPr>
        <w:pStyle w:val="Heading2"/>
      </w:pPr>
      <w:r>
        <w:t xml:space="preserve">Profit margin per row</w:t>
      </w:r>
    </w:p>
    <w:p>
      <w:pPr>
        <w:shd w:fill="F3F4F6" w:val="clear"/>
        <w:spacing w:after="0" w:line="260"/>
        <w:ind w:left="120" w:right="120"/>
      </w:pPr>
      <w:r>
        <w:rPr>
          <w:rFonts w:ascii="Consolas" w:cs="Consolas" w:eastAsia="Consolas" w:hAnsi="Consolas"/>
          <w:sz w:val="18"/>
          <w:szCs w:val="18"/>
        </w:rPr>
        <w:t xml:space="preserve">df["Profit_Margin"] = (df["Profit"] / df["Sales"]) * 100</w:t>
      </w:r>
    </w:p>
    <w:p>
      <w:pPr>
        <w:spacing w:after="80"/>
      </w:pPr>
    </w:p>
    <w:p>
      <w:pPr>
        <w:pStyle w:val="Heading2"/>
      </w:pPr>
      <w:r>
        <w:t xml:space="preserve">Discount vs profit plot</w:t>
      </w:r>
    </w:p>
    <w:p>
      <w:pPr>
        <w:shd w:fill="F3F4F6" w:val="clear"/>
        <w:spacing w:after="0" w:line="260"/>
        <w:ind w:left="120" w:right="120"/>
      </w:pPr>
      <w:r>
        <w:rPr>
          <w:rFonts w:ascii="Consolas" w:cs="Consolas" w:eastAsia="Consolas" w:hAnsi="Consolas"/>
          <w:sz w:val="18"/>
          <w:szCs w:val="18"/>
        </w:rPr>
        <w:t xml:space="preserve">import matplotlib.pyplot as plt</w:t>
      </w:r>
    </w:p>
    <w:p>
      <w:pPr>
        <w:shd w:fill="F3F4F6" w:val="clear"/>
        <w:spacing w:after="0" w:line="260"/>
        <w:ind w:left="120" w:right="120"/>
      </w:pPr>
      <w:r>
        <w:rPr>
          <w:rFonts w:ascii="Consolas" w:cs="Consolas" w:eastAsia="Consolas" w:hAnsi="Consolas"/>
          <w:sz w:val="18"/>
          <w:szCs w:val="18"/>
        </w:rPr>
        <w:t xml:space="preserve">plt.scatter(df["Discount"], df["Profit"])</w:t>
      </w:r>
    </w:p>
    <w:p>
      <w:pPr>
        <w:shd w:fill="F3F4F6" w:val="clear"/>
        <w:spacing w:after="0" w:line="260"/>
        <w:ind w:left="120" w:right="120"/>
      </w:pPr>
      <w:r>
        <w:rPr>
          <w:rFonts w:ascii="Consolas" w:cs="Consolas" w:eastAsia="Consolas" w:hAnsi="Consolas"/>
          <w:sz w:val="18"/>
          <w:szCs w:val="18"/>
        </w:rPr>
        <w:t xml:space="preserve">plt.xlabel("Discount")</w:t>
      </w:r>
    </w:p>
    <w:p>
      <w:pPr>
        <w:shd w:fill="F3F4F6" w:val="clear"/>
        <w:spacing w:after="0" w:line="260"/>
        <w:ind w:left="120" w:right="120"/>
      </w:pPr>
      <w:r>
        <w:rPr>
          <w:rFonts w:ascii="Consolas" w:cs="Consolas" w:eastAsia="Consolas" w:hAnsi="Consolas"/>
          <w:sz w:val="18"/>
          <w:szCs w:val="18"/>
        </w:rPr>
        <w:t xml:space="preserve">plt.ylabel("Profit")</w:t>
      </w:r>
    </w:p>
    <w:p>
      <w:pPr>
        <w:shd w:fill="F3F4F6" w:val="clear"/>
        <w:spacing w:after="0" w:line="260"/>
        <w:ind w:left="120" w:right="120"/>
      </w:pPr>
      <w:r>
        <w:rPr>
          <w:rFonts w:ascii="Consolas" w:cs="Consolas" w:eastAsia="Consolas" w:hAnsi="Consolas"/>
          <w:sz w:val="18"/>
          <w:szCs w:val="18"/>
        </w:rPr>
        <w:t xml:space="preserve">plt.title("Discount vs Profit")</w:t>
      </w:r>
    </w:p>
    <w:p>
      <w:pPr>
        <w:shd w:fill="F3F4F6" w:val="clear"/>
        <w:spacing w:after="0" w:line="260"/>
        <w:ind w:left="120" w:right="120"/>
      </w:pPr>
      <w:r>
        <w:rPr>
          <w:rFonts w:ascii="Consolas" w:cs="Consolas" w:eastAsia="Consolas" w:hAnsi="Consolas"/>
          <w:sz w:val="18"/>
          <w:szCs w:val="18"/>
        </w:rPr>
        <w:t xml:space="preserve">plt.show()</w:t>
      </w:r>
    </w:p>
    <w:p>
      <w:pPr>
        <w:spacing w:after="80"/>
      </w:pPr>
    </w:p>
    <w:p>
      <w:pPr>
        <w:pStyle w:val="Heading2"/>
      </w:pPr>
      <w:r>
        <w:t xml:space="preserve">Chronological monthly sales</w:t>
      </w:r>
    </w:p>
    <w:p>
      <w:pPr>
        <w:shd w:fill="F3F4F6" w:val="clear"/>
        <w:spacing w:after="0" w:line="260"/>
        <w:ind w:left="120" w:right="120"/>
      </w:pPr>
      <w:r>
        <w:rPr>
          <w:rFonts w:ascii="Consolas" w:cs="Consolas" w:eastAsia="Consolas" w:hAnsi="Consolas"/>
          <w:sz w:val="18"/>
          <w:szCs w:val="18"/>
        </w:rPr>
        <w:t xml:space="preserve">df["Year_Month"] = df["Order Date"].dt.to_period("M")</w:t>
      </w:r>
    </w:p>
    <w:p>
      <w:pPr>
        <w:shd w:fill="F3F4F6" w:val="clear"/>
        <w:spacing w:after="0" w:line="260"/>
        <w:ind w:left="120" w:right="120"/>
      </w:pPr>
      <w:r>
        <w:rPr>
          <w:rFonts w:ascii="Consolas" w:cs="Consolas" w:eastAsia="Consolas" w:hAnsi="Consolas"/>
          <w:sz w:val="18"/>
          <w:szCs w:val="18"/>
        </w:rPr>
        <w:t xml:space="preserve">monthly_sales = df.groupby("Year_Month")["Sales"].sum()</w:t>
      </w:r>
    </w:p>
    <w:p>
      <w:pPr>
        <w:spacing w:after="80"/>
      </w:pP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2"/>
        <w:sz w:val="18"/>
        <w:szCs w:val="18"/>
      </w:rPr>
      <w:t xml:space="preserve">Page </w:t>
    </w:r>
    <w:r>
      <w:rPr>
        <w:rFonts w:ascii="Calibri" w:cs="Calibri" w:eastAsia="Calibri" w:hAnsi="Calibri"/>
        <w:color w:val="5A65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572"/>
        <w:sz w:val="18"/>
        <w:szCs w:val="18"/>
      </w:rPr>
      <w:t xml:space="preserve">Retail Sales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6" w:space="3"/>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c99214055951559f92e5776937b200f008f049.png"/><Relationship Id="rId10" Type="http://schemas.openxmlformats.org/officeDocument/2006/relationships/image" Target="media/ae1b5f55e0e391996fa6c8af576f8d10e973a23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Analysis</dc:title>
  <dc:creator>Pari</dc:creator>
  <cp:lastModifiedBy>Un-named</cp:lastModifiedBy>
  <cp:revision>1</cp:revision>
  <dcterms:created xsi:type="dcterms:W3CDTF">2026-10-11T07:17:03.157Z</dcterms:created>
  <dcterms:modified xsi:type="dcterms:W3CDTF">2026-10-11T07:17:03.157Z</dcterms:modified>
</cp:coreProperties>
</file>

<file path=docProps/custom.xml><?xml version="1.0" encoding="utf-8"?>
<Properties xmlns="http://schemas.openxmlformats.org/officeDocument/2006/custom-properties" xmlns:vt="http://schemas.openxmlformats.org/officeDocument/2006/docPropsVTypes"/>
</file>