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p>
    <w:p>
      <w:pPr>
        <w:spacing w:after="160"/>
      </w:pPr>
      <w:r>
        <w:rPr>
          <w:rFonts w:ascii="Calibri" w:hAnsi="Calibri"/>
          <w:b/>
          <w:color w:val="2E74B5"/>
          <w:sz w:val="20"/>
        </w:rPr>
        <w:t>TECHNICAL PRODUCT EVALUATION</w:t>
      </w:r>
    </w:p>
    <w:p>
      <w:pPr>
        <w:pStyle w:val="Title"/>
      </w:pPr>
      <w:r>
        <w:t>OPedu AR Platform Evaluation</w:t>
      </w:r>
    </w:p>
    <w:p>
      <w:pPr>
        <w:pStyle w:val="Subtitle"/>
        <w:spacing w:after="440"/>
      </w:pPr>
      <w:r>
        <w:t>Assessment against the low-bandwidth WebAR e-learning research framework in 25093891 AR ELearning Dissertation</w:t>
      </w:r>
    </w:p>
    <w:tbl>
      <w:tblPr>
        <w:tblStyle w:val="TableGrid"/>
        <w:tblW w:type="dxa" w:w="9360"/>
        <w:tblLayout w:type="fixed"/>
        <w:tblLook w:firstColumn="1" w:firstRow="1" w:lastColumn="0" w:lastRow="0" w:noHBand="0" w:noVBand="1" w:val="04A0"/>
        <w:jc w:val="left"/>
        <w:tblInd w:w="120" w:type="dxa"/>
        <w:tblBorders>
          <w:top w:val="single" w:sz="5" w:color="C7CDD4"/>
          <w:left w:val="single" w:sz="5" w:color="C7CDD4"/>
          <w:bottom w:val="single" w:sz="5" w:color="C7CDD4"/>
          <w:right w:val="single" w:sz="5" w:color="C7CDD4"/>
          <w:insideH w:val="single" w:sz="5" w:color="C7CDD4"/>
          <w:insideV w:val="single" w:sz="5" w:color="C7CDD4"/>
        </w:tblBorders>
      </w:tblPr>
      <w:tblGrid>
        <w:gridCol w:w="2200"/>
        <w:gridCol w:w="7160"/>
      </w:tblGrid>
      <w:tr>
        <w:trPr>
          <w:tblHeader w:val="true"/>
        </w:trPr>
        <w:tc>
          <w:tcPr>
            <w:tcW w:type="dxa" w:w="2200"/>
            <w:vAlign w:val="center"/>
            <w:tcMar>
              <w:top w:w="90" w:type="dxa"/>
              <w:start w:w="120" w:type="dxa"/>
              <w:bottom w:w="90" w:type="dxa"/>
              <w:end w:w="120" w:type="dxa"/>
            </w:tcMar>
            <w:shd w:fill="17365D"/>
          </w:tcPr>
          <w:p>
            <w:pPr>
              <w:spacing w:after="0"/>
              <w:jc w:val="left"/>
            </w:pPr>
            <w:r>
              <w:rPr>
                <w:rFonts w:ascii="Calibri" w:hAnsi="Calibri"/>
                <w:b/>
                <w:color w:val="FFFFFF"/>
                <w:sz w:val="20"/>
              </w:rPr>
              <w:t>Evaluation item</w:t>
            </w:r>
          </w:p>
        </w:tc>
        <w:tc>
          <w:tcPr>
            <w:tcW w:type="dxa" w:w="7160"/>
            <w:vAlign w:val="center"/>
            <w:tcMar>
              <w:top w:w="90" w:type="dxa"/>
              <w:start w:w="120" w:type="dxa"/>
              <w:bottom w:w="90" w:type="dxa"/>
              <w:end w:w="120" w:type="dxa"/>
            </w:tcMar>
            <w:shd w:fill="17365D"/>
          </w:tcPr>
          <w:p>
            <w:pPr>
              <w:spacing w:after="0"/>
              <w:jc w:val="left"/>
            </w:pPr>
            <w:r>
              <w:rPr>
                <w:rFonts w:ascii="Calibri" w:hAnsi="Calibri"/>
                <w:b/>
                <w:color w:val="FFFFFF"/>
                <w:sz w:val="20"/>
              </w:rPr>
              <w:t>Detail</w:t>
            </w:r>
          </w:p>
        </w:tc>
      </w:tr>
      <w:tr>
        <w:trPr>
          <w:cantSplit w:val="true"/>
        </w:trPr>
        <w:tc>
          <w:tcPr>
            <w:tcW w:type="dxa" w:w="2200"/>
            <w:vAlign w:val="center"/>
            <w:tcMar>
              <w:top w:w="90" w:type="dxa"/>
              <w:start w:w="120" w:type="dxa"/>
              <w:bottom w:w="90" w:type="dxa"/>
              <w:end w:w="120" w:type="dxa"/>
            </w:tcMar>
          </w:tcPr>
          <w:p>
            <w:pPr>
              <w:spacing w:after="0" w:line="252" w:lineRule="auto"/>
            </w:pPr>
            <w:r>
              <w:rPr>
                <w:rFonts w:ascii="Calibri" w:hAnsi="Calibri"/>
                <w:sz w:val="20"/>
              </w:rPr>
              <w:t>Platform</w:t>
            </w:r>
          </w:p>
        </w:tc>
        <w:tc>
          <w:tcPr>
            <w:tcW w:type="dxa" w:w="7160"/>
            <w:vAlign w:val="center"/>
            <w:tcMar>
              <w:top w:w="90" w:type="dxa"/>
              <w:start w:w="120" w:type="dxa"/>
              <w:bottom w:w="90" w:type="dxa"/>
              <w:end w:w="120" w:type="dxa"/>
            </w:tcMar>
          </w:tcPr>
          <w:p>
            <w:pPr>
              <w:spacing w:after="0" w:line="252" w:lineRule="auto"/>
            </w:pPr>
            <w:r>
              <w:rPr>
                <w:rFonts w:ascii="Calibri" w:hAnsi="Calibri"/>
                <w:sz w:val="20"/>
              </w:rPr>
              <w:t>OPedu technical learning platform</w:t>
            </w:r>
          </w:p>
        </w:tc>
      </w:tr>
      <w:tr>
        <w:trPr>
          <w:cantSplit w:val="true"/>
        </w:trPr>
        <w:tc>
          <w:tcPr>
            <w:tcW w:type="dxa" w:w="2200"/>
            <w:shd w:fill="FAFBFC"/>
            <w:vAlign w:val="center"/>
            <w:tcMar>
              <w:top w:w="90" w:type="dxa"/>
              <w:start w:w="120" w:type="dxa"/>
              <w:bottom w:w="90" w:type="dxa"/>
              <w:end w:w="120" w:type="dxa"/>
            </w:tcMar>
          </w:tcPr>
          <w:p>
            <w:pPr>
              <w:spacing w:after="0" w:line="252" w:lineRule="auto"/>
            </w:pPr>
            <w:r>
              <w:rPr>
                <w:rFonts w:ascii="Calibri" w:hAnsi="Calibri"/>
                <w:sz w:val="20"/>
              </w:rPr>
              <w:t>Evidence date</w:t>
            </w:r>
          </w:p>
        </w:tc>
        <w:tc>
          <w:tcPr>
            <w:tcW w:type="dxa" w:w="7160"/>
            <w:shd w:fill="FAFBFC"/>
            <w:vAlign w:val="center"/>
            <w:tcMar>
              <w:top w:w="90" w:type="dxa"/>
              <w:start w:w="120" w:type="dxa"/>
              <w:bottom w:w="90" w:type="dxa"/>
              <w:end w:w="120" w:type="dxa"/>
            </w:tcMar>
          </w:tcPr>
          <w:p>
            <w:pPr>
              <w:spacing w:after="0" w:line="252" w:lineRule="auto"/>
            </w:pPr>
            <w:r>
              <w:rPr>
                <w:rFonts w:ascii="Calibri" w:hAnsi="Calibri"/>
                <w:sz w:val="20"/>
              </w:rPr>
              <w:t>22 August 2026</w:t>
            </w:r>
          </w:p>
        </w:tc>
      </w:tr>
      <w:tr>
        <w:trPr>
          <w:cantSplit w:val="true"/>
        </w:trPr>
        <w:tc>
          <w:tcPr>
            <w:tcW w:type="dxa" w:w="2200"/>
            <w:vAlign w:val="center"/>
            <w:tcMar>
              <w:top w:w="90" w:type="dxa"/>
              <w:start w:w="120" w:type="dxa"/>
              <w:bottom w:w="90" w:type="dxa"/>
              <w:end w:w="120" w:type="dxa"/>
            </w:tcMar>
          </w:tcPr>
          <w:p>
            <w:pPr>
              <w:spacing w:after="0" w:line="252" w:lineRule="auto"/>
            </w:pPr>
            <w:r>
              <w:rPr>
                <w:rFonts w:ascii="Calibri" w:hAnsi="Calibri"/>
                <w:sz w:val="20"/>
              </w:rPr>
              <w:t>Scope</w:t>
            </w:r>
          </w:p>
        </w:tc>
        <w:tc>
          <w:tcPr>
            <w:tcW w:type="dxa" w:w="7160"/>
            <w:vAlign w:val="center"/>
            <w:tcMar>
              <w:top w:w="90" w:type="dxa"/>
              <w:start w:w="120" w:type="dxa"/>
              <w:bottom w:w="90" w:type="dxa"/>
              <w:end w:w="120" w:type="dxa"/>
            </w:tcMar>
          </w:tcPr>
          <w:p>
            <w:pPr>
              <w:spacing w:after="0" w:line="252" w:lineRule="auto"/>
            </w:pPr>
            <w:r>
              <w:rPr>
                <w:rFonts w:ascii="Calibri" w:hAnsi="Calibri"/>
                <w:sz w:val="20"/>
              </w:rPr>
              <w:t>Current repository, dissertation requirements, AR readiness, and pilot pathway</w:t>
            </w:r>
          </w:p>
        </w:tc>
      </w:tr>
      <w:tr>
        <w:trPr>
          <w:cantSplit w:val="true"/>
        </w:trPr>
        <w:tc>
          <w:tcPr>
            <w:tcW w:type="dxa" w:w="2200"/>
            <w:shd w:fill="FAFBFC"/>
            <w:vAlign w:val="center"/>
            <w:tcMar>
              <w:top w:w="90" w:type="dxa"/>
              <w:start w:w="120" w:type="dxa"/>
              <w:bottom w:w="90" w:type="dxa"/>
              <w:end w:w="120" w:type="dxa"/>
            </w:tcMar>
          </w:tcPr>
          <w:p>
            <w:pPr>
              <w:spacing w:after="0" w:line="252" w:lineRule="auto"/>
            </w:pPr>
            <w:r>
              <w:rPr>
                <w:rFonts w:ascii="Calibri" w:hAnsi="Calibri"/>
                <w:sz w:val="20"/>
              </w:rPr>
              <w:t>Decision requested</w:t>
            </w:r>
          </w:p>
        </w:tc>
        <w:tc>
          <w:tcPr>
            <w:tcW w:type="dxa" w:w="7160"/>
            <w:shd w:fill="FAFBFC"/>
            <w:vAlign w:val="center"/>
            <w:tcMar>
              <w:top w:w="90" w:type="dxa"/>
              <w:start w:w="120" w:type="dxa"/>
              <w:bottom w:w="90" w:type="dxa"/>
              <w:end w:w="120" w:type="dxa"/>
            </w:tcMar>
          </w:tcPr>
          <w:p>
            <w:pPr>
              <w:spacing w:after="0" w:line="252" w:lineRule="auto"/>
            </w:pPr>
            <w:r>
              <w:rPr>
                <w:rFonts w:ascii="Calibri" w:hAnsi="Calibri"/>
                <w:sz w:val="20"/>
              </w:rPr>
              <w:t>Prioritize the work that converts the desktop 3D learning system into a defensible WebAR platform</w:t>
            </w:r>
          </w:p>
        </w:tc>
      </w:tr>
    </w:tbl>
    <w:p>
      <w:pPr>
        <w:spacing w:after="0"/>
      </w:pPr>
    </w:p>
    <w:p>
      <w:pPr>
        <w:spacing w:after="240"/>
      </w:pPr>
    </w:p>
    <w:tbl>
      <w:tblPr>
        <w:tblW w:type="dxa" w:w="9360"/>
        <w:jc w:val="left"/>
        <w:tblLayout w:type="fixed"/>
        <w:tblLook w:firstColumn="1" w:firstRow="1" w:lastColumn="0" w:lastRow="0" w:noHBand="0" w:noVBand="1" w:val="04A0"/>
        <w:tblInd w:w="120" w:type="dxa"/>
        <w:tblBorders>
          <w:top w:val="single" w:sz="4" w:color="FFF4D6"/>
          <w:left w:val="single" w:sz="4" w:color="FFF4D6"/>
          <w:bottom w:val="single" w:sz="4" w:color="FFF4D6"/>
          <w:right w:val="single" w:sz="4" w:color="FFF4D6"/>
          <w:insideH w:val="single" w:sz="4" w:color="FFF4D6"/>
          <w:insideV w:val="single" w:sz="4" w:color="FFF4D6"/>
        </w:tblBorders>
      </w:tblPr>
      <w:tblGrid>
        <w:gridCol w:w="9360"/>
      </w:tblGrid>
      <w:tr>
        <w:trPr>
          <w:tblHeader w:val="true"/>
          <w:cantSplit w:val="true"/>
        </w:trPr>
        <w:tc>
          <w:tcPr>
            <w:tcW w:type="dxa" w:w="9360"/>
            <w:vAlign w:val="center"/>
            <w:tcMar>
              <w:top w:w="90" w:type="dxa"/>
              <w:start w:w="120" w:type="dxa"/>
              <w:bottom w:w="90" w:type="dxa"/>
              <w:end w:w="120" w:type="dxa"/>
            </w:tcMar>
            <w:shd w:fill="FFF4D6"/>
          </w:tcPr>
          <w:p>
            <w:pPr>
              <w:spacing w:after="0"/>
            </w:pPr>
            <w:r>
              <w:rPr>
                <w:rFonts w:ascii="Calibri" w:hAnsi="Calibri"/>
                <w:b/>
                <w:color w:val="17365D"/>
              </w:rPr>
              <w:t xml:space="preserve">Headline verdict: </w:t>
            </w:r>
            <w:r>
              <w:rPr>
                <w:rFonts w:ascii="Calibri" w:hAnsi="Calibri"/>
                <w:color w:val="1A1A1A"/>
              </w:rPr>
              <w:t>OPedu is already a credible secure learning and 3D assessment foundation. It is not yet an augmented-reality platform. The shortest responsible path is to preserve the existing curriculum, evidence, and grading core while adding a shared WebAR renderer, capability-aware fallback, low-bandwidth delivery, xAPI-compatible events, rules-based adaptation, and a measured school pilot.</w:t>
            </w:r>
          </w:p>
        </w:tc>
      </w:tr>
    </w:tbl>
    <w:p>
      <w:pPr>
        <w:spacing w:after="0"/>
      </w:pPr>
    </w:p>
    <w:p>
      <w:r>
        <w:br w:type="page"/>
      </w:r>
    </w:p>
    <w:p>
      <w:pPr>
        <w:pStyle w:val="Heading1"/>
      </w:pPr>
      <w:r>
        <w:t>Executive evaluation</w:t>
      </w:r>
    </w:p>
    <w:p>
      <w:r>
        <w:rPr>
          <w:rFonts w:ascii="Calibri" w:hAnsi="Calibri"/>
        </w:rPr>
        <w:t>The dissertation proposes a browser-delivered, low-bandwidth AR learning system that combines WebAR, adaptive content sequencing, standardized learning analytics, accessible fallback, content authoring, and empirical evaluation. OPedu now implements much of the non-AR platform beneath that concept: React delivery, Django APIs, PostgreSQL learning records, institutional roles, versioned course and simulation content, a desktop 3D battery procedure, deterministic scoring, immutable evidence, competency results, and instructor review.</w:t>
      </w:r>
    </w:p>
    <w:p>
      <w:r>
        <w:rPr>
          <w:rFonts w:ascii="Calibri" w:hAnsi="Calibri"/>
        </w:rPr>
        <w:t>The central gap is categorical, not cosmetic: the current Three.js scene is a virtual workshop on a screen. It does not overlay content on a live camera view, recognize markers or surfaces, create spatial anchors, or enter a WebXR immersive-AR session. Calling the current product an AR platform would therefore be premature.</w:t>
      </w:r>
    </w:p>
    <w:tbl>
      <w:tblPr>
        <w:tblW w:type="dxa" w:w="9360"/>
        <w:jc w:val="left"/>
        <w:tblLayout w:type="fixed"/>
        <w:tblLook w:firstColumn="1" w:firstRow="1" w:lastColumn="0" w:lastRow="0" w:noHBand="0" w:noVBand="1" w:val="04A0"/>
        <w:tblInd w:w="120" w:type="dxa"/>
        <w:tblBorders>
          <w:top w:val="single" w:sz="4" w:color="E8EEF5"/>
          <w:left w:val="single" w:sz="4" w:color="E8EEF5"/>
          <w:bottom w:val="single" w:sz="4" w:color="E8EEF5"/>
          <w:right w:val="single" w:sz="4" w:color="E8EEF5"/>
          <w:insideH w:val="single" w:sz="4" w:color="E8EEF5"/>
          <w:insideV w:val="single" w:sz="4" w:color="E8EEF5"/>
        </w:tblBorders>
      </w:tblPr>
      <w:tblGrid>
        <w:gridCol w:w="9360"/>
      </w:tblGrid>
      <w:tr>
        <w:trPr>
          <w:tblHeader w:val="true"/>
          <w:cantSplit w:val="true"/>
        </w:trPr>
        <w:tc>
          <w:tcPr>
            <w:tcW w:type="dxa" w:w="9360"/>
            <w:vAlign w:val="center"/>
            <w:tcMar>
              <w:top w:w="90" w:type="dxa"/>
              <w:start w:w="120" w:type="dxa"/>
              <w:bottom w:w="90" w:type="dxa"/>
              <w:end w:w="120" w:type="dxa"/>
            </w:tcMar>
            <w:shd w:fill="E8EEF5"/>
          </w:tcPr>
          <w:p>
            <w:pPr>
              <w:spacing w:after="0"/>
            </w:pPr>
            <w:r>
              <w:rPr>
                <w:rFonts w:ascii="Calibri" w:hAnsi="Calibri"/>
                <w:b/>
                <w:color w:val="17365D"/>
              </w:rPr>
              <w:t xml:space="preserve">Recommended product position now: </w:t>
            </w:r>
            <w:r>
              <w:rPr>
                <w:rFonts w:ascii="Calibri" w:hAnsi="Calibri"/>
                <w:color w:val="1A1A1A"/>
              </w:rPr>
              <w:t>Describe OPedu as a competency-based technical learning platform with a browser 3D simulation prototype and an AR-ready data model. Reserve 'WebAR platform' for the release that passes the AR qualification gate in Section 6.</w:t>
            </w:r>
          </w:p>
        </w:tc>
      </w:tr>
    </w:tbl>
    <w:p>
      <w:pPr>
        <w:spacing w:after="0"/>
      </w:pPr>
    </w:p>
    <w:p>
      <w:pPr>
        <w:pStyle w:val="Heading2"/>
      </w:pPr>
      <w:r>
        <w:t>Indicative maturity</w:t>
      </w:r>
    </w:p>
    <w:p>
      <w:r>
        <w:rPr>
          <w:rFonts w:ascii="Calibri" w:hAnsi="Calibri"/>
        </w:rPr>
        <w:t>Scores below are an evaluation judgment, not a statistical measure: 0 = absent, 1 = planned, 2 = working foundation, 3 = pilot-capable, and 4 = validated in real use.</w:t>
      </w:r>
    </w:p>
    <w:tbl>
      <w:tblPr>
        <w:tblStyle w:val="TableGrid"/>
        <w:tblW w:type="dxa" w:w="9360"/>
        <w:tblLayout w:type="fixed"/>
        <w:tblLook w:firstColumn="1" w:firstRow="1" w:lastColumn="0" w:lastRow="0" w:noHBand="0" w:noVBand="1" w:val="04A0"/>
        <w:jc w:val="left"/>
        <w:tblInd w:w="120" w:type="dxa"/>
        <w:tblBorders>
          <w:top w:val="single" w:sz="5" w:color="C7CDD4"/>
          <w:left w:val="single" w:sz="5" w:color="C7CDD4"/>
          <w:bottom w:val="single" w:sz="5" w:color="C7CDD4"/>
          <w:right w:val="single" w:sz="5" w:color="C7CDD4"/>
          <w:insideH w:val="single" w:sz="5" w:color="C7CDD4"/>
          <w:insideV w:val="single" w:sz="5" w:color="C7CDD4"/>
        </w:tblBorders>
      </w:tblPr>
      <w:tblGrid>
        <w:gridCol w:w="2500"/>
        <w:gridCol w:w="950"/>
        <w:gridCol w:w="5910"/>
      </w:tblGrid>
      <w:tr>
        <w:trPr>
          <w:tblHeader w:val="true"/>
        </w:trPr>
        <w:tc>
          <w:tcPr>
            <w:tcW w:type="dxa" w:w="2500"/>
            <w:vAlign w:val="center"/>
            <w:tcMar>
              <w:top w:w="90" w:type="dxa"/>
              <w:start w:w="120" w:type="dxa"/>
              <w:bottom w:w="90" w:type="dxa"/>
              <w:end w:w="120" w:type="dxa"/>
            </w:tcMar>
            <w:shd w:fill="17365D"/>
          </w:tcPr>
          <w:p>
            <w:pPr>
              <w:spacing w:after="0"/>
              <w:jc w:val="left"/>
            </w:pPr>
            <w:r>
              <w:rPr>
                <w:rFonts w:ascii="Calibri" w:hAnsi="Calibri"/>
                <w:b/>
                <w:color w:val="FFFFFF"/>
                <w:sz w:val="17"/>
              </w:rPr>
              <w:t>Capability</w:t>
            </w:r>
          </w:p>
        </w:tc>
        <w:tc>
          <w:tcPr>
            <w:tcW w:type="dxa" w:w="950"/>
            <w:vAlign w:val="center"/>
            <w:tcMar>
              <w:top w:w="90" w:type="dxa"/>
              <w:start w:w="120" w:type="dxa"/>
              <w:bottom w:w="90" w:type="dxa"/>
              <w:end w:w="120" w:type="dxa"/>
            </w:tcMar>
            <w:shd w:fill="17365D"/>
          </w:tcPr>
          <w:p>
            <w:pPr>
              <w:spacing w:after="0"/>
              <w:jc w:val="left"/>
            </w:pPr>
            <w:r>
              <w:rPr>
                <w:rFonts w:ascii="Calibri" w:hAnsi="Calibri"/>
                <w:b/>
                <w:color w:val="FFFFFF"/>
                <w:sz w:val="17"/>
              </w:rPr>
              <w:t>Score</w:t>
            </w:r>
          </w:p>
        </w:tc>
        <w:tc>
          <w:tcPr>
            <w:tcW w:type="dxa" w:w="5910"/>
            <w:vAlign w:val="center"/>
            <w:tcMar>
              <w:top w:w="90" w:type="dxa"/>
              <w:start w:w="120" w:type="dxa"/>
              <w:bottom w:w="90" w:type="dxa"/>
              <w:end w:w="120" w:type="dxa"/>
            </w:tcMar>
            <w:shd w:fill="17365D"/>
          </w:tcPr>
          <w:p>
            <w:pPr>
              <w:spacing w:after="0"/>
              <w:jc w:val="left"/>
            </w:pPr>
            <w:r>
              <w:rPr>
                <w:rFonts w:ascii="Calibri" w:hAnsi="Calibri"/>
                <w:b/>
                <w:color w:val="FFFFFF"/>
                <w:sz w:val="17"/>
              </w:rPr>
              <w:t>Evaluation</w:t>
            </w:r>
          </w:p>
        </w:tc>
      </w:tr>
      <w:tr>
        <w:trPr>
          <w:cantSplit w:val="true"/>
        </w:trPr>
        <w:tc>
          <w:tcPr>
            <w:tcW w:type="dxa" w:w="2500"/>
            <w:vAlign w:val="center"/>
            <w:tcMar>
              <w:top w:w="90" w:type="dxa"/>
              <w:start w:w="120" w:type="dxa"/>
              <w:bottom w:w="90" w:type="dxa"/>
              <w:end w:w="120" w:type="dxa"/>
            </w:tcMar>
          </w:tcPr>
          <w:p>
            <w:pPr>
              <w:spacing w:after="0" w:line="252" w:lineRule="auto"/>
            </w:pPr>
            <w:r>
              <w:rPr>
                <w:rFonts w:ascii="Calibri" w:hAnsi="Calibri"/>
                <w:sz w:val="17"/>
              </w:rPr>
              <w:t>Secure learning-platform foundation</w:t>
            </w:r>
          </w:p>
        </w:tc>
        <w:tc>
          <w:tcPr>
            <w:tcW w:type="dxa" w:w="950"/>
            <w:vAlign w:val="center"/>
            <w:tcMar>
              <w:top w:w="90" w:type="dxa"/>
              <w:start w:w="120" w:type="dxa"/>
              <w:bottom w:w="90" w:type="dxa"/>
              <w:end w:w="120" w:type="dxa"/>
            </w:tcMar>
          </w:tcPr>
          <w:p>
            <w:pPr>
              <w:spacing w:after="0" w:line="252" w:lineRule="auto"/>
            </w:pPr>
            <w:r>
              <w:rPr>
                <w:rFonts w:ascii="Calibri" w:hAnsi="Calibri"/>
                <w:sz w:val="17"/>
              </w:rPr>
              <w:t>3 / 4</w:t>
            </w:r>
          </w:p>
        </w:tc>
        <w:tc>
          <w:tcPr>
            <w:tcW w:type="dxa" w:w="5910"/>
            <w:vAlign w:val="center"/>
            <w:tcMar>
              <w:top w:w="90" w:type="dxa"/>
              <w:start w:w="120" w:type="dxa"/>
              <w:bottom w:w="90" w:type="dxa"/>
              <w:end w:w="120" w:type="dxa"/>
            </w:tcMar>
          </w:tcPr>
          <w:p>
            <w:pPr>
              <w:spacing w:after="0" w:line="252" w:lineRule="auto"/>
            </w:pPr>
            <w:r>
              <w:rPr>
                <w:rFonts w:ascii="Calibri" w:hAnsi="Calibri"/>
                <w:sz w:val="17"/>
              </w:rPr>
              <w:t>Working roles, school isolation, curriculum, assignments, attempts, evidence, and administration.</w:t>
            </w:r>
          </w:p>
        </w:tc>
      </w:tr>
      <w:tr>
        <w:trPr>
          <w:cantSplit w:val="true"/>
        </w:trPr>
        <w:tc>
          <w:tcPr>
            <w:tcW w:type="dxa" w:w="2500"/>
            <w:shd w:fill="FAFBFC"/>
            <w:vAlign w:val="center"/>
            <w:tcMar>
              <w:top w:w="90" w:type="dxa"/>
              <w:start w:w="120" w:type="dxa"/>
              <w:bottom w:w="90" w:type="dxa"/>
              <w:end w:w="120" w:type="dxa"/>
            </w:tcMar>
          </w:tcPr>
          <w:p>
            <w:pPr>
              <w:spacing w:after="0" w:line="252" w:lineRule="auto"/>
            </w:pPr>
            <w:r>
              <w:rPr>
                <w:rFonts w:ascii="Calibri" w:hAnsi="Calibri"/>
                <w:sz w:val="17"/>
              </w:rPr>
              <w:t>Desktop 3D technical simulation</w:t>
            </w:r>
          </w:p>
        </w:tc>
        <w:tc>
          <w:tcPr>
            <w:tcW w:type="dxa" w:w="950"/>
            <w:shd w:fill="FAFBFC"/>
            <w:vAlign w:val="center"/>
            <w:tcMar>
              <w:top w:w="90" w:type="dxa"/>
              <w:start w:w="120" w:type="dxa"/>
              <w:bottom w:w="90" w:type="dxa"/>
              <w:end w:w="120" w:type="dxa"/>
            </w:tcMar>
          </w:tcPr>
          <w:p>
            <w:pPr>
              <w:spacing w:after="0" w:line="252" w:lineRule="auto"/>
            </w:pPr>
            <w:r>
              <w:rPr>
                <w:rFonts w:ascii="Calibri" w:hAnsi="Calibri"/>
                <w:sz w:val="17"/>
              </w:rPr>
              <w:t>2 / 4</w:t>
            </w:r>
          </w:p>
        </w:tc>
        <w:tc>
          <w:tcPr>
            <w:tcW w:type="dxa" w:w="5910"/>
            <w:shd w:fill="FAFBFC"/>
            <w:vAlign w:val="center"/>
            <w:tcMar>
              <w:top w:w="90" w:type="dxa"/>
              <w:start w:w="120" w:type="dxa"/>
              <w:bottom w:w="90" w:type="dxa"/>
              <w:end w:w="120" w:type="dxa"/>
            </w:tcMar>
          </w:tcPr>
          <w:p>
            <w:pPr>
              <w:spacing w:after="0" w:line="252" w:lineRule="auto"/>
            </w:pPr>
            <w:r>
              <w:rPr>
                <w:rFonts w:ascii="Calibri" w:hAnsi="Calibri"/>
                <w:sz w:val="17"/>
              </w:rPr>
              <w:t>A guided battery scene works, but assets and interactions are still prototype-grade.</w:t>
            </w:r>
          </w:p>
        </w:tc>
      </w:tr>
      <w:tr>
        <w:trPr>
          <w:cantSplit w:val="true"/>
        </w:trPr>
        <w:tc>
          <w:tcPr>
            <w:tcW w:type="dxa" w:w="2500"/>
            <w:vAlign w:val="center"/>
            <w:tcMar>
              <w:top w:w="90" w:type="dxa"/>
              <w:start w:w="120" w:type="dxa"/>
              <w:bottom w:w="90" w:type="dxa"/>
              <w:end w:w="120" w:type="dxa"/>
            </w:tcMar>
          </w:tcPr>
          <w:p>
            <w:pPr>
              <w:spacing w:after="0" w:line="252" w:lineRule="auto"/>
            </w:pPr>
            <w:r>
              <w:rPr>
                <w:rFonts w:ascii="Calibri" w:hAnsi="Calibri"/>
                <w:sz w:val="17"/>
              </w:rPr>
              <w:t>True WebAR delivery</w:t>
            </w:r>
          </w:p>
        </w:tc>
        <w:tc>
          <w:tcPr>
            <w:tcW w:type="dxa" w:w="950"/>
            <w:vAlign w:val="center"/>
            <w:tcMar>
              <w:top w:w="90" w:type="dxa"/>
              <w:start w:w="120" w:type="dxa"/>
              <w:bottom w:w="90" w:type="dxa"/>
              <w:end w:w="120" w:type="dxa"/>
            </w:tcMar>
          </w:tcPr>
          <w:p>
            <w:pPr>
              <w:spacing w:after="0" w:line="252" w:lineRule="auto"/>
            </w:pPr>
            <w:r>
              <w:rPr>
                <w:rFonts w:ascii="Calibri" w:hAnsi="Calibri"/>
                <w:sz w:val="17"/>
              </w:rPr>
              <w:t>0 / 4</w:t>
            </w:r>
          </w:p>
        </w:tc>
        <w:tc>
          <w:tcPr>
            <w:tcW w:type="dxa" w:w="5910"/>
            <w:vAlign w:val="center"/>
            <w:tcMar>
              <w:top w:w="90" w:type="dxa"/>
              <w:start w:w="120" w:type="dxa"/>
              <w:bottom w:w="90" w:type="dxa"/>
              <w:end w:w="120" w:type="dxa"/>
            </w:tcMar>
          </w:tcPr>
          <w:p>
            <w:pPr>
              <w:spacing w:after="0" w:line="252" w:lineRule="auto"/>
            </w:pPr>
            <w:r>
              <w:rPr>
                <w:rFonts w:ascii="Calibri" w:hAnsi="Calibri"/>
                <w:sz w:val="17"/>
              </w:rPr>
              <w:t>No camera overlay, spatial tracking, anchors, hit testing, or immersive-AR session.</w:t>
            </w:r>
          </w:p>
        </w:tc>
      </w:tr>
      <w:tr>
        <w:trPr>
          <w:cantSplit w:val="true"/>
        </w:trPr>
        <w:tc>
          <w:tcPr>
            <w:tcW w:type="dxa" w:w="2500"/>
            <w:shd w:fill="FAFBFC"/>
            <w:vAlign w:val="center"/>
            <w:tcMar>
              <w:top w:w="90" w:type="dxa"/>
              <w:start w:w="120" w:type="dxa"/>
              <w:bottom w:w="90" w:type="dxa"/>
              <w:end w:w="120" w:type="dxa"/>
            </w:tcMar>
          </w:tcPr>
          <w:p>
            <w:pPr>
              <w:spacing w:after="0" w:line="252" w:lineRule="auto"/>
            </w:pPr>
            <w:r>
              <w:rPr>
                <w:rFonts w:ascii="Calibri" w:hAnsi="Calibri"/>
                <w:sz w:val="17"/>
              </w:rPr>
              <w:t>Low-bandwidth and offline operation</w:t>
            </w:r>
          </w:p>
        </w:tc>
        <w:tc>
          <w:tcPr>
            <w:tcW w:type="dxa" w:w="950"/>
            <w:shd w:fill="FAFBFC"/>
            <w:vAlign w:val="center"/>
            <w:tcMar>
              <w:top w:w="90" w:type="dxa"/>
              <w:start w:w="120" w:type="dxa"/>
              <w:bottom w:w="90" w:type="dxa"/>
              <w:end w:w="120" w:type="dxa"/>
            </w:tcMar>
          </w:tcPr>
          <w:p>
            <w:pPr>
              <w:spacing w:after="0" w:line="252" w:lineRule="auto"/>
            </w:pPr>
            <w:r>
              <w:rPr>
                <w:rFonts w:ascii="Calibri" w:hAnsi="Calibri"/>
                <w:sz w:val="17"/>
              </w:rPr>
              <w:t>1 / 4</w:t>
            </w:r>
          </w:p>
        </w:tc>
        <w:tc>
          <w:tcPr>
            <w:tcW w:type="dxa" w:w="5910"/>
            <w:shd w:fill="FAFBFC"/>
            <w:vAlign w:val="center"/>
            <w:tcMar>
              <w:top w:w="90" w:type="dxa"/>
              <w:start w:w="120" w:type="dxa"/>
              <w:bottom w:w="90" w:type="dxa"/>
              <w:end w:w="120" w:type="dxa"/>
            </w:tcMar>
          </w:tcPr>
          <w:p>
            <w:pPr>
              <w:spacing w:after="0" w:line="252" w:lineRule="auto"/>
            </w:pPr>
            <w:r>
              <w:rPr>
                <w:rFonts w:ascii="Calibri" w:hAnsi="Calibri"/>
                <w:sz w:val="17"/>
              </w:rPr>
              <w:t>Browser delivery and route splitting help; caching, offline evidence, optimized assets, and network gates remain.</w:t>
            </w:r>
          </w:p>
        </w:tc>
      </w:tr>
      <w:tr>
        <w:trPr>
          <w:cantSplit w:val="true"/>
        </w:trPr>
        <w:tc>
          <w:tcPr>
            <w:tcW w:type="dxa" w:w="2500"/>
            <w:vAlign w:val="center"/>
            <w:tcMar>
              <w:top w:w="90" w:type="dxa"/>
              <w:start w:w="120" w:type="dxa"/>
              <w:bottom w:w="90" w:type="dxa"/>
              <w:end w:w="120" w:type="dxa"/>
            </w:tcMar>
          </w:tcPr>
          <w:p>
            <w:pPr>
              <w:spacing w:after="0" w:line="252" w:lineRule="auto"/>
            </w:pPr>
            <w:r>
              <w:rPr>
                <w:rFonts w:ascii="Calibri" w:hAnsi="Calibri"/>
                <w:sz w:val="17"/>
              </w:rPr>
              <w:t>Adaptive sequencing</w:t>
            </w:r>
          </w:p>
        </w:tc>
        <w:tc>
          <w:tcPr>
            <w:tcW w:type="dxa" w:w="950"/>
            <w:vAlign w:val="center"/>
            <w:tcMar>
              <w:top w:w="90" w:type="dxa"/>
              <w:start w:w="120" w:type="dxa"/>
              <w:bottom w:w="90" w:type="dxa"/>
              <w:end w:w="120" w:type="dxa"/>
            </w:tcMar>
          </w:tcPr>
          <w:p>
            <w:pPr>
              <w:spacing w:after="0" w:line="252" w:lineRule="auto"/>
            </w:pPr>
            <w:r>
              <w:rPr>
                <w:rFonts w:ascii="Calibri" w:hAnsi="Calibri"/>
                <w:sz w:val="17"/>
              </w:rPr>
              <w:t>1 / 4</w:t>
            </w:r>
          </w:p>
        </w:tc>
        <w:tc>
          <w:tcPr>
            <w:tcW w:type="dxa" w:w="5910"/>
            <w:vAlign w:val="center"/>
            <w:tcMar>
              <w:top w:w="90" w:type="dxa"/>
              <w:start w:w="120" w:type="dxa"/>
              <w:bottom w:w="90" w:type="dxa"/>
              <w:end w:w="120" w:type="dxa"/>
            </w:tcMar>
          </w:tcPr>
          <w:p>
            <w:pPr>
              <w:spacing w:after="0" w:line="252" w:lineRule="auto"/>
            </w:pPr>
            <w:r>
              <w:rPr>
                <w:rFonts w:ascii="Calibri" w:hAnsi="Calibri"/>
                <w:sz w:val="17"/>
              </w:rPr>
              <w:t>Prerequisites and deterministic next steps exist; learner-specific recommendation logic does not.</w:t>
            </w:r>
          </w:p>
        </w:tc>
      </w:tr>
      <w:tr>
        <w:trPr>
          <w:cantSplit w:val="true"/>
        </w:trPr>
        <w:tc>
          <w:tcPr>
            <w:tcW w:type="dxa" w:w="2500"/>
            <w:shd w:fill="FAFBFC"/>
            <w:vAlign w:val="center"/>
            <w:tcMar>
              <w:top w:w="90" w:type="dxa"/>
              <w:start w:w="120" w:type="dxa"/>
              <w:bottom w:w="90" w:type="dxa"/>
              <w:end w:w="120" w:type="dxa"/>
            </w:tcMar>
          </w:tcPr>
          <w:p>
            <w:pPr>
              <w:spacing w:after="0" w:line="252" w:lineRule="auto"/>
            </w:pPr>
            <w:r>
              <w:rPr>
                <w:rFonts w:ascii="Calibri" w:hAnsi="Calibri"/>
                <w:sz w:val="17"/>
              </w:rPr>
              <w:t>xAPI/LRS analytics</w:t>
            </w:r>
          </w:p>
        </w:tc>
        <w:tc>
          <w:tcPr>
            <w:tcW w:type="dxa" w:w="950"/>
            <w:shd w:fill="FAFBFC"/>
            <w:vAlign w:val="center"/>
            <w:tcMar>
              <w:top w:w="90" w:type="dxa"/>
              <w:start w:w="120" w:type="dxa"/>
              <w:bottom w:w="90" w:type="dxa"/>
              <w:end w:w="120" w:type="dxa"/>
            </w:tcMar>
          </w:tcPr>
          <w:p>
            <w:pPr>
              <w:spacing w:after="0" w:line="252" w:lineRule="auto"/>
            </w:pPr>
            <w:r>
              <w:rPr>
                <w:rFonts w:ascii="Calibri" w:hAnsi="Calibri"/>
                <w:sz w:val="17"/>
              </w:rPr>
              <w:t>1 / 4</w:t>
            </w:r>
          </w:p>
        </w:tc>
        <w:tc>
          <w:tcPr>
            <w:tcW w:type="dxa" w:w="5910"/>
            <w:shd w:fill="FAFBFC"/>
            <w:vAlign w:val="center"/>
            <w:tcMar>
              <w:top w:w="90" w:type="dxa"/>
              <w:start w:w="120" w:type="dxa"/>
              <w:bottom w:w="90" w:type="dxa"/>
              <w:end w:w="120" w:type="dxa"/>
            </w:tcMar>
          </w:tcPr>
          <w:p>
            <w:pPr>
              <w:spacing w:after="0" w:line="252" w:lineRule="auto"/>
            </w:pPr>
            <w:r>
              <w:rPr>
                <w:rFonts w:ascii="Calibri" w:hAnsi="Calibri"/>
                <w:sz w:val="17"/>
              </w:rPr>
              <w:t>Ordered immutable events exist, but stable xAPI identifiers, statements, export, and LRS integration do not.</w:t>
            </w:r>
          </w:p>
        </w:tc>
      </w:tr>
      <w:tr>
        <w:trPr>
          <w:cantSplit w:val="true"/>
        </w:trPr>
        <w:tc>
          <w:tcPr>
            <w:tcW w:type="dxa" w:w="2500"/>
            <w:vAlign w:val="center"/>
            <w:tcMar>
              <w:top w:w="90" w:type="dxa"/>
              <w:start w:w="120" w:type="dxa"/>
              <w:bottom w:w="90" w:type="dxa"/>
              <w:end w:w="120" w:type="dxa"/>
            </w:tcMar>
          </w:tcPr>
          <w:p>
            <w:pPr>
              <w:spacing w:after="0" w:line="252" w:lineRule="auto"/>
            </w:pPr>
            <w:r>
              <w:rPr>
                <w:rFonts w:ascii="Calibri" w:hAnsi="Calibri"/>
                <w:sz w:val="17"/>
              </w:rPr>
              <w:t>Research and pilot readiness</w:t>
            </w:r>
          </w:p>
        </w:tc>
        <w:tc>
          <w:tcPr>
            <w:tcW w:type="dxa" w:w="950"/>
            <w:vAlign w:val="center"/>
            <w:tcMar>
              <w:top w:w="90" w:type="dxa"/>
              <w:start w:w="120" w:type="dxa"/>
              <w:bottom w:w="90" w:type="dxa"/>
              <w:end w:w="120" w:type="dxa"/>
            </w:tcMar>
          </w:tcPr>
          <w:p>
            <w:pPr>
              <w:spacing w:after="0" w:line="252" w:lineRule="auto"/>
            </w:pPr>
            <w:r>
              <w:rPr>
                <w:rFonts w:ascii="Calibri" w:hAnsi="Calibri"/>
                <w:sz w:val="17"/>
              </w:rPr>
              <w:t>1 / 4</w:t>
            </w:r>
          </w:p>
        </w:tc>
        <w:tc>
          <w:tcPr>
            <w:tcW w:type="dxa" w:w="5910"/>
            <w:vAlign w:val="center"/>
            <w:tcMar>
              <w:top w:w="90" w:type="dxa"/>
              <w:start w:w="120" w:type="dxa"/>
              <w:bottom w:w="90" w:type="dxa"/>
              <w:end w:w="120" w:type="dxa"/>
            </w:tcMar>
          </w:tcPr>
          <w:p>
            <w:pPr>
              <w:spacing w:after="0" w:line="252" w:lineRule="auto"/>
            </w:pPr>
            <w:r>
              <w:rPr>
                <w:rFonts w:ascii="Calibri" w:hAnsi="Calibri"/>
                <w:sz w:val="17"/>
              </w:rPr>
              <w:t>A roadmap exists; instruments, consent workflow, device study, field pilot, and actual outcome data remain.</w:t>
            </w:r>
          </w:p>
        </w:tc>
      </w:tr>
    </w:tbl>
    <w:p>
      <w:pPr>
        <w:spacing w:after="0"/>
      </w:pPr>
    </w:p>
    <w:p>
      <w:pPr>
        <w:pStyle w:val="Heading1"/>
      </w:pPr>
      <w:r>
        <w:t>1. Scope, method, and evidence quality</w:t>
      </w:r>
    </w:p>
    <w:p>
      <w:r>
        <w:rPr>
          <w:rFonts w:ascii="Calibri" w:hAnsi="Calibri"/>
        </w:rPr>
        <w:t>This report treats the attached dissertation as research evidence and the repository as implementation evidence. Instructions found inside the dissertation were not treated as user instructions. No product code was changed for this evaluation.</w:t>
      </w:r>
    </w:p>
    <w:p>
      <w:pPr>
        <w:pStyle w:val="Heading2"/>
      </w:pPr>
      <w:r>
        <w:t>Evidence reviewed</w:t>
      </w:r>
    </w:p>
    <w:p>
      <w:pPr>
        <w:numPr>
          <w:ilvl w:val="0"/>
          <w:numId w:val="10"/>
        </w:numPr>
      </w:pPr>
      <w:r>
        <w:rPr>
          <w:rFonts w:ascii="Calibri" w:hAnsi="Calibri"/>
        </w:rPr>
        <w:t>The complete 48-page dissertation, including its literature review, conceptual framework, methodology, architecture, proposed implementation stack, planned evaluation, limitations, recommendations, and appendices.</w:t>
      </w:r>
    </w:p>
    <w:p>
      <w:pPr>
        <w:numPr>
          <w:ilvl w:val="0"/>
          <w:numId w:val="10"/>
        </w:numPr>
      </w:pPr>
      <w:r>
        <w:rPr>
          <w:rFonts w:ascii="Calibri" w:hAnsi="Calibri"/>
        </w:rPr>
        <w:t>The current OPedu README, architecture decisions, assessment/content-versioning documentation, pilot notes, and execution backlog.</w:t>
      </w:r>
    </w:p>
    <w:p>
      <w:pPr>
        <w:numPr>
          <w:ilvl w:val="0"/>
          <w:numId w:val="10"/>
        </w:numPr>
      </w:pPr>
      <w:r>
        <w:rPr>
          <w:rFonts w:ascii="Calibri" w:hAnsi="Calibri"/>
        </w:rPr>
        <w:t>The current frontend package and core learner simulation implementation, including the React Three Fiber battery workshop and accessible HTML action controls.</w:t>
      </w:r>
    </w:p>
    <w:p>
      <w:pPr>
        <w:numPr>
          <w:ilvl w:val="0"/>
          <w:numId w:val="10"/>
        </w:numPr>
      </w:pPr>
      <w:r>
        <w:rPr>
          <w:rFonts w:ascii="Calibri" w:hAnsi="Calibri"/>
        </w:rPr>
        <w:t>The current Django learning-domain models and API surfaces for curriculum, content governance, attempts, events, grading, step results, competency results, auditing, and school roles.</w:t>
      </w:r>
    </w:p>
    <w:p>
      <w:pPr>
        <w:pStyle w:val="Heading2"/>
      </w:pPr>
      <w:r>
        <w:t>Important research caveat</w:t>
      </w:r>
    </w:p>
    <w:p>
      <w:r>
        <w:rPr>
          <w:rFonts w:ascii="Calibri" w:hAnsi="Calibri"/>
        </w:rPr>
        <w:t>The dissertation is explicit that its pilot had not been conducted at the time of writing. Its Chapters Four and Five provide a prototype specification and planned reporting structure, not measured evidence that the proposed system is usable, accepted, accurate, or educationally effective in Rwanda. Its value is therefore strongest as a requirements and evaluation framework. Product claims must wait for actual field results.</w:t>
      </w:r>
    </w:p>
    <w:p>
      <w:pPr>
        <w:pStyle w:val="Heading1"/>
      </w:pPr>
      <w:r>
        <w:t>2. The target described by the dissertation</w:t>
      </w:r>
    </w:p>
    <w:p>
      <w:r>
        <w:rPr>
          <w:rFonts w:ascii="Calibri" w:hAnsi="Calibri"/>
        </w:rPr>
        <w:t>The study's target is broader than a camera-enabled 3D viewer. It is a five-layer learning system in which AR delivery, authoring, assessment, adaptive sequencing, analytics, institutional integration, and fallback modes share one data model.</w:t>
      </w:r>
    </w:p>
    <w:tbl>
      <w:tblPr>
        <w:tblStyle w:val="TableGrid"/>
        <w:tblW w:type="dxa" w:w="9360"/>
        <w:tblLayout w:type="fixed"/>
        <w:tblLook w:firstColumn="1" w:firstRow="1" w:lastColumn="0" w:lastRow="0" w:noHBand="0" w:noVBand="1" w:val="04A0"/>
        <w:jc w:val="left"/>
        <w:tblInd w:w="120" w:type="dxa"/>
        <w:tblBorders>
          <w:top w:val="single" w:sz="5" w:color="C7CDD4"/>
          <w:left w:val="single" w:sz="5" w:color="C7CDD4"/>
          <w:bottom w:val="single" w:sz="5" w:color="C7CDD4"/>
          <w:right w:val="single" w:sz="5" w:color="C7CDD4"/>
          <w:insideH w:val="single" w:sz="5" w:color="C7CDD4"/>
          <w:insideV w:val="single" w:sz="5" w:color="C7CDD4"/>
        </w:tblBorders>
      </w:tblPr>
      <w:tblGrid>
        <w:gridCol w:w="2500"/>
        <w:gridCol w:w="6860"/>
      </w:tblGrid>
      <w:tr>
        <w:trPr>
          <w:tblHeader w:val="true"/>
        </w:trPr>
        <w:tc>
          <w:tcPr>
            <w:tcW w:type="dxa" w:w="2500"/>
            <w:vAlign w:val="center"/>
            <w:tcMar>
              <w:top w:w="90" w:type="dxa"/>
              <w:start w:w="120" w:type="dxa"/>
              <w:bottom w:w="90" w:type="dxa"/>
              <w:end w:w="120" w:type="dxa"/>
            </w:tcMar>
            <w:shd w:fill="17365D"/>
          </w:tcPr>
          <w:p>
            <w:pPr>
              <w:spacing w:after="0"/>
              <w:jc w:val="left"/>
            </w:pPr>
            <w:r>
              <w:rPr>
                <w:rFonts w:ascii="Calibri" w:hAnsi="Calibri"/>
                <w:b/>
                <w:color w:val="FFFFFF"/>
                <w:sz w:val="19"/>
              </w:rPr>
              <w:t>Research requirement</w:t>
            </w:r>
          </w:p>
        </w:tc>
        <w:tc>
          <w:tcPr>
            <w:tcW w:type="dxa" w:w="6860"/>
            <w:vAlign w:val="center"/>
            <w:tcMar>
              <w:top w:w="90" w:type="dxa"/>
              <w:start w:w="120" w:type="dxa"/>
              <w:bottom w:w="90" w:type="dxa"/>
              <w:end w:w="120" w:type="dxa"/>
            </w:tcMar>
            <w:shd w:fill="17365D"/>
          </w:tcPr>
          <w:p>
            <w:pPr>
              <w:spacing w:after="0"/>
              <w:jc w:val="left"/>
            </w:pPr>
            <w:r>
              <w:rPr>
                <w:rFonts w:ascii="Calibri" w:hAnsi="Calibri"/>
                <w:b/>
                <w:color w:val="FFFFFF"/>
                <w:sz w:val="19"/>
              </w:rPr>
              <w:t>Meaning for OPedu</w:t>
            </w:r>
          </w:p>
        </w:tc>
      </w:tr>
      <w:tr>
        <w:trPr>
          <w:cantSplit w:val="true"/>
        </w:trPr>
        <w:tc>
          <w:tcPr>
            <w:tcW w:type="dxa" w:w="2500"/>
            <w:vAlign w:val="center"/>
            <w:tcMar>
              <w:top w:w="90" w:type="dxa"/>
              <w:start w:w="120" w:type="dxa"/>
              <w:bottom w:w="90" w:type="dxa"/>
              <w:end w:w="120" w:type="dxa"/>
            </w:tcMar>
          </w:tcPr>
          <w:p>
            <w:pPr>
              <w:spacing w:after="0" w:line="252" w:lineRule="auto"/>
            </w:pPr>
            <w:r>
              <w:rPr>
                <w:rFonts w:ascii="Calibri" w:hAnsi="Calibri"/>
                <w:sz w:val="19"/>
              </w:rPr>
              <w:t>Browser-based WebAR</w:t>
            </w:r>
          </w:p>
        </w:tc>
        <w:tc>
          <w:tcPr>
            <w:tcW w:type="dxa" w:w="6860"/>
            <w:vAlign w:val="center"/>
            <w:tcMar>
              <w:top w:w="90" w:type="dxa"/>
              <w:start w:w="120" w:type="dxa"/>
              <w:bottom w:w="90" w:type="dxa"/>
              <w:end w:w="120" w:type="dxa"/>
            </w:tcMar>
          </w:tcPr>
          <w:p>
            <w:pPr>
              <w:spacing w:after="0" w:line="252" w:lineRule="auto"/>
            </w:pPr>
            <w:r>
              <w:rPr>
                <w:rFonts w:ascii="Calibri" w:hAnsi="Calibri"/>
                <w:sz w:val="19"/>
              </w:rPr>
              <w:t>Run through a standard mobile browser and overlay digital guidance on a real object or workspace without a native app install.</w:t>
            </w:r>
          </w:p>
        </w:tc>
      </w:tr>
      <w:tr>
        <w:trPr>
          <w:cantSplit w:val="true"/>
        </w:trPr>
        <w:tc>
          <w:tcPr>
            <w:tcW w:type="dxa" w:w="2500"/>
            <w:shd w:fill="FAFBFC"/>
            <w:vAlign w:val="center"/>
            <w:tcMar>
              <w:top w:w="90" w:type="dxa"/>
              <w:start w:w="120" w:type="dxa"/>
              <w:bottom w:w="90" w:type="dxa"/>
              <w:end w:w="120" w:type="dxa"/>
            </w:tcMar>
          </w:tcPr>
          <w:p>
            <w:pPr>
              <w:spacing w:after="0" w:line="252" w:lineRule="auto"/>
            </w:pPr>
            <w:r>
              <w:rPr>
                <w:rFonts w:ascii="Calibri" w:hAnsi="Calibri"/>
                <w:sz w:val="19"/>
              </w:rPr>
              <w:t>Low-bandwidth delivery</w:t>
            </w:r>
          </w:p>
        </w:tc>
        <w:tc>
          <w:tcPr>
            <w:tcW w:type="dxa" w:w="6860"/>
            <w:shd w:fill="FAFBFC"/>
            <w:vAlign w:val="center"/>
            <w:tcMar>
              <w:top w:w="90" w:type="dxa"/>
              <w:start w:w="120" w:type="dxa"/>
              <w:bottom w:w="90" w:type="dxa"/>
              <w:end w:w="120" w:type="dxa"/>
            </w:tcMar>
          </w:tcPr>
          <w:p>
            <w:pPr>
              <w:spacing w:after="0" w:line="252" w:lineRule="auto"/>
            </w:pPr>
            <w:r>
              <w:rPr>
                <w:rFonts w:ascii="Calibri" w:hAnsi="Calibri"/>
                <w:sz w:val="19"/>
              </w:rPr>
              <w:t>Use small, cacheable assets, quality tiers, resilient retries, offline progress, and tests under realistic 3G/4G conditions.</w:t>
            </w:r>
          </w:p>
        </w:tc>
      </w:tr>
      <w:tr>
        <w:trPr>
          <w:cantSplit w:val="true"/>
        </w:trPr>
        <w:tc>
          <w:tcPr>
            <w:tcW w:type="dxa" w:w="2500"/>
            <w:vAlign w:val="center"/>
            <w:tcMar>
              <w:top w:w="90" w:type="dxa"/>
              <w:start w:w="120" w:type="dxa"/>
              <w:bottom w:w="90" w:type="dxa"/>
              <w:end w:w="120" w:type="dxa"/>
            </w:tcMar>
          </w:tcPr>
          <w:p>
            <w:pPr>
              <w:spacing w:after="0" w:line="252" w:lineRule="auto"/>
            </w:pPr>
            <w:r>
              <w:rPr>
                <w:rFonts w:ascii="Calibri" w:hAnsi="Calibri"/>
                <w:sz w:val="19"/>
              </w:rPr>
              <w:t>Adaptive sequencing</w:t>
            </w:r>
          </w:p>
        </w:tc>
        <w:tc>
          <w:tcPr>
            <w:tcW w:type="dxa" w:w="6860"/>
            <w:vAlign w:val="center"/>
            <w:tcMar>
              <w:top w:w="90" w:type="dxa"/>
              <w:start w:w="120" w:type="dxa"/>
              <w:bottom w:w="90" w:type="dxa"/>
              <w:end w:w="120" w:type="dxa"/>
            </w:tcMar>
          </w:tcPr>
          <w:p>
            <w:pPr>
              <w:spacing w:after="0" w:line="252" w:lineRule="auto"/>
            </w:pPr>
            <w:r>
              <w:rPr>
                <w:rFonts w:ascii="Calibri" w:hAnsi="Calibri"/>
                <w:sz w:val="19"/>
              </w:rPr>
              <w:t>Choose the next lesson, remediation, or challenge from mastery gap, engagement, cognitive-load proxy, and device reliability while respecting prerequisites.</w:t>
            </w:r>
          </w:p>
        </w:tc>
      </w:tr>
      <w:tr>
        <w:trPr>
          <w:cantSplit w:val="true"/>
        </w:trPr>
        <w:tc>
          <w:tcPr>
            <w:tcW w:type="dxa" w:w="2500"/>
            <w:shd w:fill="FAFBFC"/>
            <w:vAlign w:val="center"/>
            <w:tcMar>
              <w:top w:w="90" w:type="dxa"/>
              <w:start w:w="120" w:type="dxa"/>
              <w:bottom w:w="90" w:type="dxa"/>
              <w:end w:w="120" w:type="dxa"/>
            </w:tcMar>
          </w:tcPr>
          <w:p>
            <w:pPr>
              <w:spacing w:after="0" w:line="252" w:lineRule="auto"/>
            </w:pPr>
            <w:r>
              <w:rPr>
                <w:rFonts w:ascii="Calibri" w:hAnsi="Calibri"/>
                <w:sz w:val="19"/>
              </w:rPr>
              <w:t>xAPI learning analytics</w:t>
            </w:r>
          </w:p>
        </w:tc>
        <w:tc>
          <w:tcPr>
            <w:tcW w:type="dxa" w:w="6860"/>
            <w:shd w:fill="FAFBFC"/>
            <w:vAlign w:val="center"/>
            <w:tcMar>
              <w:top w:w="90" w:type="dxa"/>
              <w:start w:w="120" w:type="dxa"/>
              <w:bottom w:w="90" w:type="dxa"/>
              <w:end w:w="120" w:type="dxa"/>
            </w:tcMar>
          </w:tcPr>
          <w:p>
            <w:pPr>
              <w:spacing w:after="0" w:line="252" w:lineRule="auto"/>
            </w:pPr>
            <w:r>
              <w:rPr>
                <w:rFonts w:ascii="Calibri" w:hAnsi="Calibri"/>
                <w:sz w:val="19"/>
              </w:rPr>
              <w:t>Represent learning as stable actor-verb-object-result statements, with deduplication and optional export to a compliant Learning Record Store.</w:t>
            </w:r>
          </w:p>
        </w:tc>
      </w:tr>
      <w:tr>
        <w:trPr>
          <w:cantSplit w:val="true"/>
        </w:trPr>
        <w:tc>
          <w:tcPr>
            <w:tcW w:type="dxa" w:w="2500"/>
            <w:vAlign w:val="center"/>
            <w:tcMar>
              <w:top w:w="90" w:type="dxa"/>
              <w:start w:w="120" w:type="dxa"/>
              <w:bottom w:w="90" w:type="dxa"/>
              <w:end w:w="120" w:type="dxa"/>
            </w:tcMar>
          </w:tcPr>
          <w:p>
            <w:pPr>
              <w:spacing w:after="0" w:line="252" w:lineRule="auto"/>
            </w:pPr>
            <w:r>
              <w:rPr>
                <w:rFonts w:ascii="Calibri" w:hAnsi="Calibri"/>
                <w:sz w:val="19"/>
              </w:rPr>
              <w:t>2D/video fallback</w:t>
            </w:r>
          </w:p>
        </w:tc>
        <w:tc>
          <w:tcPr>
            <w:tcW w:type="dxa" w:w="6860"/>
            <w:vAlign w:val="center"/>
            <w:tcMar>
              <w:top w:w="90" w:type="dxa"/>
              <w:start w:w="120" w:type="dxa"/>
              <w:bottom w:w="90" w:type="dxa"/>
              <w:end w:w="120" w:type="dxa"/>
            </w:tcMar>
          </w:tcPr>
          <w:p>
            <w:pPr>
              <w:spacing w:after="0" w:line="252" w:lineRule="auto"/>
            </w:pPr>
            <w:r>
              <w:rPr>
                <w:rFonts w:ascii="Calibri" w:hAnsi="Calibri"/>
                <w:sz w:val="19"/>
              </w:rPr>
              <w:t>Give learners on unsupported devices an equivalent learning and assessment path, not a reduced afterthought.</w:t>
            </w:r>
          </w:p>
        </w:tc>
      </w:tr>
      <w:tr>
        <w:trPr>
          <w:cantSplit w:val="true"/>
        </w:trPr>
        <w:tc>
          <w:tcPr>
            <w:tcW w:type="dxa" w:w="2500"/>
            <w:shd w:fill="FAFBFC"/>
            <w:vAlign w:val="center"/>
            <w:tcMar>
              <w:top w:w="90" w:type="dxa"/>
              <w:start w:w="120" w:type="dxa"/>
              <w:bottom w:w="90" w:type="dxa"/>
              <w:end w:w="120" w:type="dxa"/>
            </w:tcMar>
          </w:tcPr>
          <w:p>
            <w:pPr>
              <w:spacing w:after="0" w:line="252" w:lineRule="auto"/>
            </w:pPr>
            <w:r>
              <w:rPr>
                <w:rFonts w:ascii="Calibri" w:hAnsi="Calibri"/>
                <w:sz w:val="19"/>
              </w:rPr>
              <w:t>Authoring</w:t>
            </w:r>
          </w:p>
        </w:tc>
        <w:tc>
          <w:tcPr>
            <w:tcW w:type="dxa" w:w="6860"/>
            <w:shd w:fill="FAFBFC"/>
            <w:vAlign w:val="center"/>
            <w:tcMar>
              <w:top w:w="90" w:type="dxa"/>
              <w:start w:w="120" w:type="dxa"/>
              <w:bottom w:w="90" w:type="dxa"/>
              <w:end w:w="120" w:type="dxa"/>
            </w:tcMar>
          </w:tcPr>
          <w:p>
            <w:pPr>
              <w:spacing w:after="0" w:line="252" w:lineRule="auto"/>
            </w:pPr>
            <w:r>
              <w:rPr>
                <w:rFonts w:ascii="Calibri" w:hAnsi="Calibri"/>
                <w:sz w:val="19"/>
              </w:rPr>
              <w:t>Enable instructors or content authors to create and publish AR-enriched modules without editing source code.</w:t>
            </w:r>
          </w:p>
        </w:tc>
      </w:tr>
      <w:tr>
        <w:trPr>
          <w:cantSplit w:val="true"/>
        </w:trPr>
        <w:tc>
          <w:tcPr>
            <w:tcW w:type="dxa" w:w="2500"/>
            <w:vAlign w:val="center"/>
            <w:tcMar>
              <w:top w:w="90" w:type="dxa"/>
              <w:start w:w="120" w:type="dxa"/>
              <w:bottom w:w="90" w:type="dxa"/>
              <w:end w:w="120" w:type="dxa"/>
            </w:tcMar>
          </w:tcPr>
          <w:p>
            <w:pPr>
              <w:spacing w:after="0" w:line="252" w:lineRule="auto"/>
            </w:pPr>
            <w:r>
              <w:rPr>
                <w:rFonts w:ascii="Calibri" w:hAnsi="Calibri"/>
                <w:sz w:val="19"/>
              </w:rPr>
              <w:t>Evaluation</w:t>
            </w:r>
          </w:p>
        </w:tc>
        <w:tc>
          <w:tcPr>
            <w:tcW w:type="dxa" w:w="6860"/>
            <w:vAlign w:val="center"/>
            <w:tcMar>
              <w:top w:w="90" w:type="dxa"/>
              <w:start w:w="120" w:type="dxa"/>
              <w:bottom w:w="90" w:type="dxa"/>
              <w:end w:w="120" w:type="dxa"/>
            </w:tcMar>
          </w:tcPr>
          <w:p>
            <w:pPr>
              <w:spacing w:after="0" w:line="252" w:lineRule="auto"/>
            </w:pPr>
            <w:r>
              <w:rPr>
                <w:rFonts w:ascii="Calibri" w:hAnsi="Calibri"/>
                <w:sz w:val="19"/>
              </w:rPr>
              <w:t>Measure recognition accuracy, usability, acceptance, learning gain, reliability, device fairness, and longer-term transfer.</w:t>
            </w:r>
          </w:p>
        </w:tc>
      </w:tr>
    </w:tbl>
    <w:p>
      <w:pPr>
        <w:spacing w:after="0"/>
      </w:pPr>
    </w:p>
    <w:p>
      <w:pPr>
        <w:pStyle w:val="Heading2"/>
      </w:pPr>
      <w:r>
        <w:t>Research-derived success conditions</w:t>
      </w:r>
    </w:p>
    <w:p>
      <w:pPr>
        <w:numPr>
          <w:ilvl w:val="0"/>
          <w:numId w:val="10"/>
        </w:numPr>
      </w:pPr>
      <w:r>
        <w:rPr>
          <w:rFonts w:ascii="Calibri" w:hAnsi="Calibri"/>
        </w:rPr>
        <w:t>Perceived usefulness, ease of use, and enjoyment must be designed and measured; novelty alone is not success.</w:t>
      </w:r>
    </w:p>
    <w:p>
      <w:pPr>
        <w:numPr>
          <w:ilvl w:val="0"/>
          <w:numId w:val="10"/>
        </w:numPr>
      </w:pPr>
      <w:r>
        <w:rPr>
          <w:rFonts w:ascii="Calibri" w:hAnsi="Calibri"/>
        </w:rPr>
        <w:t>Cognitive load must remain controlled through simple interfaces, progressive prompts, and recovery from recognition failure.</w:t>
      </w:r>
    </w:p>
    <w:p>
      <w:pPr>
        <w:numPr>
          <w:ilvl w:val="0"/>
          <w:numId w:val="10"/>
        </w:numPr>
      </w:pPr>
      <w:r>
        <w:rPr>
          <w:rFonts w:ascii="Calibri" w:hAnsi="Calibri"/>
        </w:rPr>
        <w:t>The system must work on representative mid-range Android devices and must not disadvantage users without WebXR support.</w:t>
      </w:r>
    </w:p>
    <w:p>
      <w:pPr>
        <w:numPr>
          <w:ilvl w:val="0"/>
          <w:numId w:val="10"/>
        </w:numPr>
      </w:pPr>
      <w:r>
        <w:rPr>
          <w:rFonts w:ascii="Calibri" w:hAnsi="Calibri"/>
        </w:rPr>
        <w:t>Recognition and recommendation accuracy must be measured separately from learner performance.</w:t>
      </w:r>
    </w:p>
    <w:p>
      <w:pPr>
        <w:numPr>
          <w:ilvl w:val="0"/>
          <w:numId w:val="10"/>
        </w:numPr>
      </w:pPr>
      <w:r>
        <w:rPr>
          <w:rFonts w:ascii="Calibri" w:hAnsi="Calibri"/>
        </w:rPr>
        <w:t>Real classroom evidence is required because the literature is dominated by small, short, single-institution studies.</w:t>
      </w:r>
    </w:p>
    <w:p>
      <w:pPr>
        <w:pStyle w:val="Heading1"/>
      </w:pPr>
      <w:r>
        <w:t>3. What OPedu has today</w:t>
      </w:r>
    </w:p>
    <w:p>
      <w:pPr>
        <w:pStyle w:val="Heading2"/>
      </w:pPr>
      <w:r>
        <w:t>A. Platform and governance foundation - strong</w:t>
      </w:r>
    </w:p>
    <w:p>
      <w:pPr>
        <w:numPr>
          <w:ilvl w:val="0"/>
          <w:numId w:val="10"/>
        </w:numPr>
      </w:pPr>
      <w:r>
        <w:rPr>
          <w:rFonts w:ascii="Calibri" w:hAnsi="Calibri"/>
        </w:rPr>
        <w:t>React 19, TypeScript, Vite, React Router, TanStack Query, Three.js, React Three Fiber, and Drei provide a modern browser client and a shared 3D foundation.</w:t>
      </w:r>
    </w:p>
    <w:p>
      <w:pPr>
        <w:numPr>
          <w:ilvl w:val="0"/>
          <w:numId w:val="10"/>
        </w:numPr>
      </w:pPr>
      <w:r>
        <w:rPr>
          <w:rFonts w:ascii="Calibri" w:hAnsi="Calibri"/>
        </w:rPr>
        <w:t>Django 5.2 and Django REST Framework provide authenticated APIs and administration; PostgreSQL is the intended system of record and Redis is available for future asynchronous work.</w:t>
      </w:r>
    </w:p>
    <w:p>
      <w:pPr>
        <w:numPr>
          <w:ilvl w:val="0"/>
          <w:numId w:val="10"/>
        </w:numPr>
      </w:pPr>
      <w:r>
        <w:rPr>
          <w:rFonts w:ascii="Calibri" w:hAnsi="Calibri"/>
        </w:rPr>
        <w:t>School membership and role controls support administrators, content authors, instructors, and learners while preserving school isolation.</w:t>
      </w:r>
    </w:p>
    <w:p>
      <w:pPr>
        <w:numPr>
          <w:ilvl w:val="0"/>
          <w:numId w:val="10"/>
        </w:numPr>
      </w:pPr>
      <w:r>
        <w:rPr>
          <w:rFonts w:ascii="Calibri" w:hAnsi="Calibri"/>
        </w:rPr>
        <w:t>Programs, courses, modules, competencies, lessons, cohorts, enrollment, prerequisites, publication states, and content versions establish a more complete education domain than the dissertation's simplified ERD.</w:t>
      </w:r>
    </w:p>
    <w:p>
      <w:pPr>
        <w:pStyle w:val="Heading2"/>
      </w:pPr>
      <w:r>
        <w:t>B. Technical-learning and assessment foundation - strong</w:t>
      </w:r>
    </w:p>
    <w:p>
      <w:pPr>
        <w:numPr>
          <w:ilvl w:val="0"/>
          <w:numId w:val="10"/>
        </w:numPr>
      </w:pPr>
      <w:r>
        <w:rPr>
          <w:rFonts w:ascii="Calibri" w:hAnsi="Calibri"/>
        </w:rPr>
        <w:t>The first vertical lesson is an automotive battery inspection and diagnosis procedure with ordered steps, safety-critical actions, tools, hazards, hints, tolerances, acceptable actions, and feedback rules.</w:t>
      </w:r>
    </w:p>
    <w:p>
      <w:pPr>
        <w:numPr>
          <w:ilvl w:val="0"/>
          <w:numId w:val="10"/>
        </w:numPr>
      </w:pPr>
      <w:r>
        <w:rPr>
          <w:rFonts w:ascii="Calibri" w:hAnsi="Calibri"/>
        </w:rPr>
        <w:t>Published scenario, grading-policy, and asset-package versions are immutable, which preserves reproducibility after authoring changes.</w:t>
      </w:r>
    </w:p>
    <w:p>
      <w:pPr>
        <w:numPr>
          <w:ilvl w:val="0"/>
          <w:numId w:val="10"/>
        </w:numPr>
      </w:pPr>
      <w:r>
        <w:rPr>
          <w:rFonts w:ascii="Calibri" w:hAnsi="Calibri"/>
        </w:rPr>
        <w:t>Attempt events are ordered and immutable. Completion creates immutable step and competency results with evidence references, safety violations, hint use, duration, tolerance outcomes, mastery thresholds, and final outcomes.</w:t>
      </w:r>
    </w:p>
    <w:p>
      <w:pPr>
        <w:numPr>
          <w:ilvl w:val="0"/>
          <w:numId w:val="10"/>
        </w:numPr>
      </w:pPr>
      <w:r>
        <w:rPr>
          <w:rFonts w:ascii="Calibri" w:hAnsi="Calibri"/>
        </w:rPr>
        <w:t>An instructor can review completion metrics, safety flags, scores, and the event timeline for learners in the same school.</w:t>
      </w:r>
    </w:p>
    <w:p>
      <w:pPr>
        <w:pStyle w:val="Heading2"/>
      </w:pPr>
      <w:r>
        <w:t>C. 3D interaction foundation - working prototype</w:t>
      </w:r>
    </w:p>
    <w:p>
      <w:pPr>
        <w:numPr>
          <w:ilvl w:val="0"/>
          <w:numId w:val="10"/>
        </w:numPr>
      </w:pPr>
      <w:r>
        <w:rPr>
          <w:rFonts w:ascii="Calibri" w:hAnsi="Calibri"/>
        </w:rPr>
        <w:t>The learner can orbit and zoom a Three.js workshop, select battery-related objects, receive immediate guidance, resume progress, and submit the attempt for server-side scoring.</w:t>
      </w:r>
    </w:p>
    <w:p>
      <w:pPr>
        <w:numPr>
          <w:ilvl w:val="0"/>
          <w:numId w:val="10"/>
        </w:numPr>
      </w:pPr>
      <w:r>
        <w:rPr>
          <w:rFonts w:ascii="Calibri" w:hAnsi="Calibri"/>
        </w:rPr>
        <w:t>Equivalent HTML buttons expose the same action vocabulary as the 3D objects, creating a valuable accessibility and fallback pattern that should be retained in AR.</w:t>
      </w:r>
    </w:p>
    <w:p>
      <w:pPr>
        <w:numPr>
          <w:ilvl w:val="0"/>
          <w:numId w:val="10"/>
        </w:numPr>
      </w:pPr>
      <w:r>
        <w:rPr>
          <w:rFonts w:ascii="Calibri" w:hAnsi="Calibri"/>
        </w:rPr>
        <w:t>The 3D route is lazy-loaded, reducing the cost imposed on public and dashboard pages.</w:t>
      </w:r>
    </w:p>
    <w:p>
      <w:r>
        <w:rPr>
          <w:rFonts w:ascii="Calibri" w:hAnsi="Calibri"/>
        </w:rPr>
        <w:t>However, the scene uses generated geometric primitives rather than a licensed, optimized, versioned real equipment model. It is a useful interaction demonstrator, not yet production technical content.</w:t>
      </w:r>
    </w:p>
    <w:p>
      <w:pPr>
        <w:pStyle w:val="Heading1"/>
      </w:pPr>
      <w:r>
        <w:t>4. Research-to-repository traceability</w:t>
      </w:r>
    </w:p>
    <w:tbl>
      <w:tblPr>
        <w:tblStyle w:val="TableGrid"/>
        <w:tblW w:type="dxa" w:w="9360"/>
        <w:tblLayout w:type="fixed"/>
        <w:tblLook w:firstColumn="1" w:firstRow="1" w:lastColumn="0" w:lastRow="0" w:noHBand="0" w:noVBand="1" w:val="04A0"/>
        <w:jc w:val="left"/>
        <w:tblInd w:w="120" w:type="dxa"/>
        <w:tblBorders>
          <w:top w:val="single" w:sz="5" w:color="C7CDD4"/>
          <w:left w:val="single" w:sz="5" w:color="C7CDD4"/>
          <w:bottom w:val="single" w:sz="5" w:color="C7CDD4"/>
          <w:right w:val="single" w:sz="5" w:color="C7CDD4"/>
          <w:insideH w:val="single" w:sz="5" w:color="C7CDD4"/>
          <w:insideV w:val="single" w:sz="5" w:color="C7CDD4"/>
        </w:tblBorders>
      </w:tblPr>
      <w:tblGrid>
        <w:gridCol w:w="1900"/>
        <w:gridCol w:w="1100"/>
        <w:gridCol w:w="3150"/>
        <w:gridCol w:w="3210"/>
      </w:tblGrid>
      <w:tr>
        <w:trPr>
          <w:tblHeader w:val="true"/>
        </w:trPr>
        <w:tc>
          <w:tcPr>
            <w:tcW w:type="dxa" w:w="1900"/>
            <w:vAlign w:val="center"/>
            <w:tcMar>
              <w:top w:w="90" w:type="dxa"/>
              <w:start w:w="120" w:type="dxa"/>
              <w:bottom w:w="90" w:type="dxa"/>
              <w:end w:w="120" w:type="dxa"/>
            </w:tcMar>
            <w:shd w:fill="17365D"/>
          </w:tcPr>
          <w:p>
            <w:pPr>
              <w:spacing w:after="0"/>
              <w:jc w:val="left"/>
            </w:pPr>
            <w:r>
              <w:rPr>
                <w:rFonts w:ascii="Calibri" w:hAnsi="Calibri"/>
                <w:b/>
                <w:color w:val="FFFFFF"/>
                <w:sz w:val="16"/>
              </w:rPr>
              <w:t>Dissertation capability</w:t>
            </w:r>
          </w:p>
        </w:tc>
        <w:tc>
          <w:tcPr>
            <w:tcW w:type="dxa" w:w="1100"/>
            <w:vAlign w:val="center"/>
            <w:tcMar>
              <w:top w:w="90" w:type="dxa"/>
              <w:start w:w="120" w:type="dxa"/>
              <w:bottom w:w="90" w:type="dxa"/>
              <w:end w:w="120" w:type="dxa"/>
            </w:tcMar>
            <w:shd w:fill="17365D"/>
          </w:tcPr>
          <w:p>
            <w:pPr>
              <w:spacing w:after="0"/>
              <w:jc w:val="left"/>
            </w:pPr>
            <w:r>
              <w:rPr>
                <w:rFonts w:ascii="Calibri" w:hAnsi="Calibri"/>
                <w:b/>
                <w:color w:val="FFFFFF"/>
                <w:sz w:val="16"/>
              </w:rPr>
              <w:t>Current status</w:t>
            </w:r>
          </w:p>
        </w:tc>
        <w:tc>
          <w:tcPr>
            <w:tcW w:type="dxa" w:w="3150"/>
            <w:vAlign w:val="center"/>
            <w:tcMar>
              <w:top w:w="90" w:type="dxa"/>
              <w:start w:w="120" w:type="dxa"/>
              <w:bottom w:w="90" w:type="dxa"/>
              <w:end w:w="120" w:type="dxa"/>
            </w:tcMar>
            <w:shd w:fill="17365D"/>
          </w:tcPr>
          <w:p>
            <w:pPr>
              <w:spacing w:after="0"/>
              <w:jc w:val="left"/>
            </w:pPr>
            <w:r>
              <w:rPr>
                <w:rFonts w:ascii="Calibri" w:hAnsi="Calibri"/>
                <w:b/>
                <w:color w:val="FFFFFF"/>
                <w:sz w:val="16"/>
              </w:rPr>
              <w:t>Repository evidence</w:t>
            </w:r>
          </w:p>
        </w:tc>
        <w:tc>
          <w:tcPr>
            <w:tcW w:type="dxa" w:w="3210"/>
            <w:vAlign w:val="center"/>
            <w:tcMar>
              <w:top w:w="90" w:type="dxa"/>
              <w:start w:w="120" w:type="dxa"/>
              <w:bottom w:w="90" w:type="dxa"/>
              <w:end w:w="120" w:type="dxa"/>
            </w:tcMar>
            <w:shd w:fill="17365D"/>
          </w:tcPr>
          <w:p>
            <w:pPr>
              <w:spacing w:after="0"/>
              <w:jc w:val="left"/>
            </w:pPr>
            <w:r>
              <w:rPr>
                <w:rFonts w:ascii="Calibri" w:hAnsi="Calibri"/>
                <w:b/>
                <w:color w:val="FFFFFF"/>
                <w:sz w:val="16"/>
              </w:rPr>
              <w:t>Gap to target</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Calibri" w:hAnsi="Calibri"/>
                <w:sz w:val="16"/>
              </w:rPr>
              <w:t>Browser client</w:t>
            </w:r>
          </w:p>
        </w:tc>
        <w:tc>
          <w:tcPr>
            <w:tcW w:type="dxa" w:w="1100"/>
            <w:vAlign w:val="center"/>
            <w:tcMar>
              <w:top w:w="90" w:type="dxa"/>
              <w:start w:w="120" w:type="dxa"/>
              <w:bottom w:w="90" w:type="dxa"/>
              <w:end w:w="120" w:type="dxa"/>
            </w:tcMar>
          </w:tcPr>
          <w:p>
            <w:pPr>
              <w:spacing w:after="0" w:line="252" w:lineRule="auto"/>
            </w:pPr>
            <w:r>
              <w:rPr>
                <w:rFonts w:ascii="Calibri" w:hAnsi="Calibri"/>
                <w:sz w:val="16"/>
              </w:rPr>
              <w:t>Implemented</w:t>
            </w:r>
          </w:p>
        </w:tc>
        <w:tc>
          <w:tcPr>
            <w:tcW w:type="dxa" w:w="3150"/>
            <w:vAlign w:val="center"/>
            <w:tcMar>
              <w:top w:w="90" w:type="dxa"/>
              <w:start w:w="120" w:type="dxa"/>
              <w:bottom w:w="90" w:type="dxa"/>
              <w:end w:w="120" w:type="dxa"/>
            </w:tcMar>
          </w:tcPr>
          <w:p>
            <w:pPr>
              <w:spacing w:after="0" w:line="252" w:lineRule="auto"/>
            </w:pPr>
            <w:r>
              <w:rPr>
                <w:rFonts w:ascii="Calibri" w:hAnsi="Calibri"/>
                <w:sz w:val="16"/>
              </w:rPr>
              <w:t>React/Vite application; all public routes are React-owned.</w:t>
            </w:r>
          </w:p>
        </w:tc>
        <w:tc>
          <w:tcPr>
            <w:tcW w:type="dxa" w:w="3210"/>
            <w:vAlign w:val="center"/>
            <w:tcMar>
              <w:top w:w="90" w:type="dxa"/>
              <w:start w:w="120" w:type="dxa"/>
              <w:bottom w:w="90" w:type="dxa"/>
              <w:end w:w="120" w:type="dxa"/>
            </w:tcMar>
          </w:tcPr>
          <w:p>
            <w:pPr>
              <w:spacing w:after="0" w:line="252" w:lineRule="auto"/>
            </w:pPr>
            <w:r>
              <w:rPr>
                <w:rFonts w:ascii="Calibri" w:hAnsi="Calibri"/>
                <w:sz w:val="16"/>
              </w:rPr>
              <w:t>Mobile and headset-browser validation remains.</w:t>
            </w:r>
          </w:p>
        </w:tc>
      </w:tr>
      <w:tr>
        <w:trPr>
          <w:cantSplit w:val="true"/>
        </w:trPr>
        <w:tc>
          <w:tcPr>
            <w:tcW w:type="dxa" w:w="1900"/>
            <w:shd w:fill="FAFBFC"/>
            <w:vAlign w:val="center"/>
            <w:tcMar>
              <w:top w:w="90" w:type="dxa"/>
              <w:start w:w="120" w:type="dxa"/>
              <w:bottom w:w="90" w:type="dxa"/>
              <w:end w:w="120" w:type="dxa"/>
            </w:tcMar>
          </w:tcPr>
          <w:p>
            <w:pPr>
              <w:spacing w:after="0" w:line="252" w:lineRule="auto"/>
            </w:pPr>
            <w:r>
              <w:rPr>
                <w:rFonts w:ascii="Calibri" w:hAnsi="Calibri"/>
                <w:sz w:val="16"/>
              </w:rPr>
              <w:t>3D rendering</w:t>
            </w:r>
          </w:p>
        </w:tc>
        <w:tc>
          <w:tcPr>
            <w:tcW w:type="dxa" w:w="1100"/>
            <w:shd w:fill="FAFBFC"/>
            <w:vAlign w:val="center"/>
            <w:tcMar>
              <w:top w:w="90" w:type="dxa"/>
              <w:start w:w="120" w:type="dxa"/>
              <w:bottom w:w="90" w:type="dxa"/>
              <w:end w:w="120" w:type="dxa"/>
            </w:tcMar>
          </w:tcPr>
          <w:p>
            <w:pPr>
              <w:spacing w:after="0" w:line="252" w:lineRule="auto"/>
            </w:pPr>
            <w:r>
              <w:rPr>
                <w:rFonts w:ascii="Calibri" w:hAnsi="Calibri"/>
                <w:sz w:val="16"/>
              </w:rPr>
              <w:t>Prototype</w:t>
            </w:r>
          </w:p>
        </w:tc>
        <w:tc>
          <w:tcPr>
            <w:tcW w:type="dxa" w:w="3150"/>
            <w:shd w:fill="FAFBFC"/>
            <w:vAlign w:val="center"/>
            <w:tcMar>
              <w:top w:w="90" w:type="dxa"/>
              <w:start w:w="120" w:type="dxa"/>
              <w:bottom w:w="90" w:type="dxa"/>
              <w:end w:w="120" w:type="dxa"/>
            </w:tcMar>
          </w:tcPr>
          <w:p>
            <w:pPr>
              <w:spacing w:after="0" w:line="252" w:lineRule="auto"/>
            </w:pPr>
            <w:r>
              <w:rPr>
                <w:rFonts w:ascii="Calibri" w:hAnsi="Calibri"/>
                <w:sz w:val="16"/>
              </w:rPr>
              <w:t>React Three Fiber battery workshop with orbit/zoom and selectable objects.</w:t>
            </w:r>
          </w:p>
        </w:tc>
        <w:tc>
          <w:tcPr>
            <w:tcW w:type="dxa" w:w="3210"/>
            <w:shd w:fill="FAFBFC"/>
            <w:vAlign w:val="center"/>
            <w:tcMar>
              <w:top w:w="90" w:type="dxa"/>
              <w:start w:w="120" w:type="dxa"/>
              <w:bottom w:w="90" w:type="dxa"/>
              <w:end w:w="120" w:type="dxa"/>
            </w:tcMar>
          </w:tcPr>
          <w:p>
            <w:pPr>
              <w:spacing w:after="0" w:line="252" w:lineRule="auto"/>
            </w:pPr>
            <w:r>
              <w:rPr>
                <w:rFonts w:ascii="Calibri" w:hAnsi="Calibri"/>
                <w:sz w:val="16"/>
              </w:rPr>
              <w:t>Production glTF, loader, interaction framework, budgets, and physical-device testing.</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Calibri" w:hAnsi="Calibri"/>
                <w:sz w:val="16"/>
              </w:rPr>
              <w:t>True WebAR</w:t>
            </w:r>
          </w:p>
        </w:tc>
        <w:tc>
          <w:tcPr>
            <w:tcW w:type="dxa" w:w="1100"/>
            <w:vAlign w:val="center"/>
            <w:tcMar>
              <w:top w:w="90" w:type="dxa"/>
              <w:start w:w="120" w:type="dxa"/>
              <w:bottom w:w="90" w:type="dxa"/>
              <w:end w:w="120" w:type="dxa"/>
            </w:tcMar>
          </w:tcPr>
          <w:p>
            <w:pPr>
              <w:spacing w:after="0" w:line="252" w:lineRule="auto"/>
            </w:pPr>
            <w:r>
              <w:rPr>
                <w:rFonts w:ascii="Calibri" w:hAnsi="Calibri"/>
                <w:sz w:val="16"/>
              </w:rPr>
              <w:t>Missing</w:t>
            </w:r>
          </w:p>
        </w:tc>
        <w:tc>
          <w:tcPr>
            <w:tcW w:type="dxa" w:w="3150"/>
            <w:vAlign w:val="center"/>
            <w:tcMar>
              <w:top w:w="90" w:type="dxa"/>
              <w:start w:w="120" w:type="dxa"/>
              <w:bottom w:w="90" w:type="dxa"/>
              <w:end w:w="120" w:type="dxa"/>
            </w:tcMar>
          </w:tcPr>
          <w:p>
            <w:pPr>
              <w:spacing w:after="0" w:line="252" w:lineRule="auto"/>
            </w:pPr>
            <w:r>
              <w:rPr>
                <w:rFonts w:ascii="Calibri" w:hAnsi="Calibri"/>
                <w:sz w:val="16"/>
              </w:rPr>
              <w:t>No WebXR AR session or camera/spatial APIs found.</w:t>
            </w:r>
          </w:p>
        </w:tc>
        <w:tc>
          <w:tcPr>
            <w:tcW w:type="dxa" w:w="3210"/>
            <w:vAlign w:val="center"/>
            <w:tcMar>
              <w:top w:w="90" w:type="dxa"/>
              <w:start w:w="120" w:type="dxa"/>
              <w:bottom w:w="90" w:type="dxa"/>
              <w:end w:w="120" w:type="dxa"/>
            </w:tcMar>
          </w:tcPr>
          <w:p>
            <w:pPr>
              <w:spacing w:after="0" w:line="252" w:lineRule="auto"/>
            </w:pPr>
            <w:r>
              <w:rPr>
                <w:rFonts w:ascii="Calibri" w:hAnsi="Calibri"/>
                <w:sz w:val="16"/>
              </w:rPr>
              <w:t>Camera passthrough, hit test, anchors, marker/surface recognition, placement, session lifecycle.</w:t>
            </w:r>
          </w:p>
        </w:tc>
      </w:tr>
      <w:tr>
        <w:trPr>
          <w:cantSplit w:val="true"/>
        </w:trPr>
        <w:tc>
          <w:tcPr>
            <w:tcW w:type="dxa" w:w="1900"/>
            <w:shd w:fill="FAFBFC"/>
            <w:vAlign w:val="center"/>
            <w:tcMar>
              <w:top w:w="90" w:type="dxa"/>
              <w:start w:w="120" w:type="dxa"/>
              <w:bottom w:w="90" w:type="dxa"/>
              <w:end w:w="120" w:type="dxa"/>
            </w:tcMar>
          </w:tcPr>
          <w:p>
            <w:pPr>
              <w:spacing w:after="0" w:line="252" w:lineRule="auto"/>
            </w:pPr>
            <w:r>
              <w:rPr>
                <w:rFonts w:ascii="Calibri" w:hAnsi="Calibri"/>
                <w:sz w:val="16"/>
              </w:rPr>
              <w:t>Authentication/users</w:t>
            </w:r>
          </w:p>
        </w:tc>
        <w:tc>
          <w:tcPr>
            <w:tcW w:type="dxa" w:w="1100"/>
            <w:shd w:fill="FAFBFC"/>
            <w:vAlign w:val="center"/>
            <w:tcMar>
              <w:top w:w="90" w:type="dxa"/>
              <w:start w:w="120" w:type="dxa"/>
              <w:bottom w:w="90" w:type="dxa"/>
              <w:end w:w="120" w:type="dxa"/>
            </w:tcMar>
          </w:tcPr>
          <w:p>
            <w:pPr>
              <w:spacing w:after="0" w:line="252" w:lineRule="auto"/>
            </w:pPr>
            <w:r>
              <w:rPr>
                <w:rFonts w:ascii="Calibri" w:hAnsi="Calibri"/>
                <w:sz w:val="16"/>
              </w:rPr>
              <w:t>Implemented</w:t>
            </w:r>
          </w:p>
        </w:tc>
        <w:tc>
          <w:tcPr>
            <w:tcW w:type="dxa" w:w="3150"/>
            <w:shd w:fill="FAFBFC"/>
            <w:vAlign w:val="center"/>
            <w:tcMar>
              <w:top w:w="90" w:type="dxa"/>
              <w:start w:w="120" w:type="dxa"/>
              <w:bottom w:w="90" w:type="dxa"/>
              <w:end w:w="120" w:type="dxa"/>
            </w:tcMar>
          </w:tcPr>
          <w:p>
            <w:pPr>
              <w:spacing w:after="0" w:line="252" w:lineRule="auto"/>
            </w:pPr>
            <w:r>
              <w:rPr>
                <w:rFonts w:ascii="Calibri" w:hAnsi="Calibri"/>
                <w:sz w:val="16"/>
              </w:rPr>
              <w:t>Session authentication, invitations, roles, lockout, school isolation.</w:t>
            </w:r>
          </w:p>
        </w:tc>
        <w:tc>
          <w:tcPr>
            <w:tcW w:type="dxa" w:w="3210"/>
            <w:shd w:fill="FAFBFC"/>
            <w:vAlign w:val="center"/>
            <w:tcMar>
              <w:top w:w="90" w:type="dxa"/>
              <w:start w:w="120" w:type="dxa"/>
              <w:bottom w:w="90" w:type="dxa"/>
              <w:end w:w="120" w:type="dxa"/>
            </w:tcMar>
          </w:tcPr>
          <w:p>
            <w:pPr>
              <w:spacing w:after="0" w:line="252" w:lineRule="auto"/>
            </w:pPr>
            <w:r>
              <w:rPr>
                <w:rFonts w:ascii="Calibri" w:hAnsi="Calibri"/>
                <w:sz w:val="16"/>
              </w:rPr>
              <w:t>Pilot consent and research participant state are separate requirements.</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Calibri" w:hAnsi="Calibri"/>
                <w:sz w:val="16"/>
              </w:rPr>
              <w:t>Course/content model</w:t>
            </w:r>
          </w:p>
        </w:tc>
        <w:tc>
          <w:tcPr>
            <w:tcW w:type="dxa" w:w="1100"/>
            <w:vAlign w:val="center"/>
            <w:tcMar>
              <w:top w:w="90" w:type="dxa"/>
              <w:start w:w="120" w:type="dxa"/>
              <w:bottom w:w="90" w:type="dxa"/>
              <w:end w:w="120" w:type="dxa"/>
            </w:tcMar>
          </w:tcPr>
          <w:p>
            <w:pPr>
              <w:spacing w:after="0" w:line="252" w:lineRule="auto"/>
            </w:pPr>
            <w:r>
              <w:rPr>
                <w:rFonts w:ascii="Calibri" w:hAnsi="Calibri"/>
                <w:sz w:val="16"/>
              </w:rPr>
              <w:t>Implemented</w:t>
            </w:r>
          </w:p>
        </w:tc>
        <w:tc>
          <w:tcPr>
            <w:tcW w:type="dxa" w:w="3150"/>
            <w:vAlign w:val="center"/>
            <w:tcMar>
              <w:top w:w="90" w:type="dxa"/>
              <w:start w:w="120" w:type="dxa"/>
              <w:bottom w:w="90" w:type="dxa"/>
              <w:end w:w="120" w:type="dxa"/>
            </w:tcMar>
          </w:tcPr>
          <w:p>
            <w:pPr>
              <w:spacing w:after="0" w:line="252" w:lineRule="auto"/>
            </w:pPr>
            <w:r>
              <w:rPr>
                <w:rFonts w:ascii="Calibri" w:hAnsi="Calibri"/>
                <w:sz w:val="16"/>
              </w:rPr>
              <w:t>Programs, modules, competencies, lessons, scenarios, tools, hazards, hints, tolerances.</w:t>
            </w:r>
          </w:p>
        </w:tc>
        <w:tc>
          <w:tcPr>
            <w:tcW w:type="dxa" w:w="3210"/>
            <w:vAlign w:val="center"/>
            <w:tcMar>
              <w:top w:w="90" w:type="dxa"/>
              <w:start w:w="120" w:type="dxa"/>
              <w:bottom w:w="90" w:type="dxa"/>
              <w:end w:w="120" w:type="dxa"/>
            </w:tcMar>
          </w:tcPr>
          <w:p>
            <w:pPr>
              <w:spacing w:after="0" w:line="252" w:lineRule="auto"/>
            </w:pPr>
            <w:r>
              <w:rPr>
                <w:rFonts w:ascii="Calibri" w:hAnsi="Calibri"/>
                <w:sz w:val="16"/>
              </w:rPr>
              <w:t>Low/no-code AR authoring and asset-validation UI.</w:t>
            </w:r>
          </w:p>
        </w:tc>
      </w:tr>
      <w:tr>
        <w:trPr>
          <w:cantSplit w:val="true"/>
        </w:trPr>
        <w:tc>
          <w:tcPr>
            <w:tcW w:type="dxa" w:w="1900"/>
            <w:shd w:fill="FAFBFC"/>
            <w:vAlign w:val="center"/>
            <w:tcMar>
              <w:top w:w="90" w:type="dxa"/>
              <w:start w:w="120" w:type="dxa"/>
              <w:bottom w:w="90" w:type="dxa"/>
              <w:end w:w="120" w:type="dxa"/>
            </w:tcMar>
          </w:tcPr>
          <w:p>
            <w:pPr>
              <w:spacing w:after="0" w:line="252" w:lineRule="auto"/>
            </w:pPr>
            <w:r>
              <w:rPr>
                <w:rFonts w:ascii="Calibri" w:hAnsi="Calibri"/>
                <w:sz w:val="16"/>
              </w:rPr>
              <w:t>Assessment/progress</w:t>
            </w:r>
          </w:p>
        </w:tc>
        <w:tc>
          <w:tcPr>
            <w:tcW w:type="dxa" w:w="1100"/>
            <w:shd w:fill="FAFBFC"/>
            <w:vAlign w:val="center"/>
            <w:tcMar>
              <w:top w:w="90" w:type="dxa"/>
              <w:start w:w="120" w:type="dxa"/>
              <w:bottom w:w="90" w:type="dxa"/>
              <w:end w:w="120" w:type="dxa"/>
            </w:tcMar>
          </w:tcPr>
          <w:p>
            <w:pPr>
              <w:spacing w:after="0" w:line="252" w:lineRule="auto"/>
            </w:pPr>
            <w:r>
              <w:rPr>
                <w:rFonts w:ascii="Calibri" w:hAnsi="Calibri"/>
                <w:sz w:val="16"/>
              </w:rPr>
              <w:t>Implemented</w:t>
            </w:r>
          </w:p>
        </w:tc>
        <w:tc>
          <w:tcPr>
            <w:tcW w:type="dxa" w:w="3150"/>
            <w:shd w:fill="FAFBFC"/>
            <w:vAlign w:val="center"/>
            <w:tcMar>
              <w:top w:w="90" w:type="dxa"/>
              <w:start w:w="120" w:type="dxa"/>
              <w:bottom w:w="90" w:type="dxa"/>
              <w:end w:w="120" w:type="dxa"/>
            </w:tcMar>
          </w:tcPr>
          <w:p>
            <w:pPr>
              <w:spacing w:after="0" w:line="252" w:lineRule="auto"/>
            </w:pPr>
            <w:r>
              <w:rPr>
                <w:rFonts w:ascii="Calibri" w:hAnsi="Calibri"/>
                <w:sz w:val="16"/>
              </w:rPr>
              <w:t>Assignments, attempts, immutable events, deterministic grading, step/competency results.</w:t>
            </w:r>
          </w:p>
        </w:tc>
        <w:tc>
          <w:tcPr>
            <w:tcW w:type="dxa" w:w="3210"/>
            <w:shd w:fill="FAFBFC"/>
            <w:vAlign w:val="center"/>
            <w:tcMar>
              <w:top w:w="90" w:type="dxa"/>
              <w:start w:w="120" w:type="dxa"/>
              <w:bottom w:w="90" w:type="dxa"/>
              <w:end w:w="120" w:type="dxa"/>
            </w:tcMar>
          </w:tcPr>
          <w:p>
            <w:pPr>
              <w:spacing w:after="0" w:line="252" w:lineRule="auto"/>
            </w:pPr>
            <w:r>
              <w:rPr>
                <w:rFonts w:ascii="Calibri" w:hAnsi="Calibri"/>
                <w:sz w:val="16"/>
              </w:rPr>
              <w:t>Retry/history/remediation and instructor-authored observations.</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Calibri" w:hAnsi="Calibri"/>
                <w:sz w:val="16"/>
              </w:rPr>
              <w:t>Adaptive sequencing</w:t>
            </w:r>
          </w:p>
        </w:tc>
        <w:tc>
          <w:tcPr>
            <w:tcW w:type="dxa" w:w="1100"/>
            <w:vAlign w:val="center"/>
            <w:tcMar>
              <w:top w:w="90" w:type="dxa"/>
              <w:start w:w="120" w:type="dxa"/>
              <w:bottom w:w="90" w:type="dxa"/>
              <w:end w:w="120" w:type="dxa"/>
            </w:tcMar>
          </w:tcPr>
          <w:p>
            <w:pPr>
              <w:spacing w:after="0" w:line="252" w:lineRule="auto"/>
            </w:pPr>
            <w:r>
              <w:rPr>
                <w:rFonts w:ascii="Calibri" w:hAnsi="Calibri"/>
                <w:sz w:val="16"/>
              </w:rPr>
              <w:t>Foundation only</w:t>
            </w:r>
          </w:p>
        </w:tc>
        <w:tc>
          <w:tcPr>
            <w:tcW w:type="dxa" w:w="3150"/>
            <w:vAlign w:val="center"/>
            <w:tcMar>
              <w:top w:w="90" w:type="dxa"/>
              <w:start w:w="120" w:type="dxa"/>
              <w:bottom w:w="90" w:type="dxa"/>
              <w:end w:w="120" w:type="dxa"/>
            </w:tcMar>
          </w:tcPr>
          <w:p>
            <w:pPr>
              <w:spacing w:after="0" w:line="252" w:lineRule="auto"/>
            </w:pPr>
            <w:r>
              <w:rPr>
                <w:rFonts w:ascii="Calibri" w:hAnsi="Calibri"/>
                <w:sz w:val="16"/>
              </w:rPr>
              <w:t>Prerequisites, current-step guidance, mastery data.</w:t>
            </w:r>
          </w:p>
        </w:tc>
        <w:tc>
          <w:tcPr>
            <w:tcW w:type="dxa" w:w="3210"/>
            <w:vAlign w:val="center"/>
            <w:tcMar>
              <w:top w:w="90" w:type="dxa"/>
              <w:start w:w="120" w:type="dxa"/>
              <w:bottom w:w="90" w:type="dxa"/>
              <w:end w:w="120" w:type="dxa"/>
            </w:tcMar>
          </w:tcPr>
          <w:p>
            <w:pPr>
              <w:spacing w:after="0" w:line="252" w:lineRule="auto"/>
            </w:pPr>
            <w:r>
              <w:rPr>
                <w:rFonts w:ascii="Calibri" w:hAnsi="Calibri"/>
                <w:sz w:val="16"/>
              </w:rPr>
              <w:t>A transparent rules engine using mastery gaps and device/engagement signals.</w:t>
            </w:r>
          </w:p>
        </w:tc>
      </w:tr>
      <w:tr>
        <w:trPr>
          <w:cantSplit w:val="true"/>
        </w:trPr>
        <w:tc>
          <w:tcPr>
            <w:tcW w:type="dxa" w:w="1900"/>
            <w:shd w:fill="FAFBFC"/>
            <w:vAlign w:val="center"/>
            <w:tcMar>
              <w:top w:w="90" w:type="dxa"/>
              <w:start w:w="120" w:type="dxa"/>
              <w:bottom w:w="90" w:type="dxa"/>
              <w:end w:w="120" w:type="dxa"/>
            </w:tcMar>
          </w:tcPr>
          <w:p>
            <w:pPr>
              <w:spacing w:after="0" w:line="252" w:lineRule="auto"/>
            </w:pPr>
            <w:r>
              <w:rPr>
                <w:rFonts w:ascii="Calibri" w:hAnsi="Calibri"/>
                <w:sz w:val="16"/>
              </w:rPr>
              <w:t>Learning analytics</w:t>
            </w:r>
          </w:p>
        </w:tc>
        <w:tc>
          <w:tcPr>
            <w:tcW w:type="dxa" w:w="1100"/>
            <w:shd w:fill="FAFBFC"/>
            <w:vAlign w:val="center"/>
            <w:tcMar>
              <w:top w:w="90" w:type="dxa"/>
              <w:start w:w="120" w:type="dxa"/>
              <w:bottom w:w="90" w:type="dxa"/>
              <w:end w:w="120" w:type="dxa"/>
            </w:tcMar>
          </w:tcPr>
          <w:p>
            <w:pPr>
              <w:spacing w:after="0" w:line="252" w:lineRule="auto"/>
            </w:pPr>
            <w:r>
              <w:rPr>
                <w:rFonts w:ascii="Calibri" w:hAnsi="Calibri"/>
                <w:sz w:val="16"/>
              </w:rPr>
              <w:t>Foundation only</w:t>
            </w:r>
          </w:p>
        </w:tc>
        <w:tc>
          <w:tcPr>
            <w:tcW w:type="dxa" w:w="3150"/>
            <w:shd w:fill="FAFBFC"/>
            <w:vAlign w:val="center"/>
            <w:tcMar>
              <w:top w:w="90" w:type="dxa"/>
              <w:start w:w="120" w:type="dxa"/>
              <w:bottom w:w="90" w:type="dxa"/>
              <w:end w:w="120" w:type="dxa"/>
            </w:tcMar>
          </w:tcPr>
          <w:p>
            <w:pPr>
              <w:spacing w:after="0" w:line="252" w:lineRule="auto"/>
            </w:pPr>
            <w:r>
              <w:rPr>
                <w:rFonts w:ascii="Calibri" w:hAnsi="Calibri"/>
                <w:sz w:val="16"/>
              </w:rPr>
              <w:t>Ordered event evidence and instructor overview.</w:t>
            </w:r>
          </w:p>
        </w:tc>
        <w:tc>
          <w:tcPr>
            <w:tcW w:type="dxa" w:w="3210"/>
            <w:shd w:fill="FAFBFC"/>
            <w:vAlign w:val="center"/>
            <w:tcMar>
              <w:top w:w="90" w:type="dxa"/>
              <w:start w:w="120" w:type="dxa"/>
              <w:bottom w:w="90" w:type="dxa"/>
              <w:end w:w="120" w:type="dxa"/>
            </w:tcMar>
          </w:tcPr>
          <w:p>
            <w:pPr>
              <w:spacing w:after="0" w:line="252" w:lineRule="auto"/>
            </w:pPr>
            <w:r>
              <w:rPr>
                <w:rFonts w:ascii="Calibri" w:hAnsi="Calibri"/>
                <w:sz w:val="16"/>
              </w:rPr>
              <w:t>Stable activity IDs, xAPI vocabulary, statement IDs, deduplication, export/LRS option.</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Calibri" w:hAnsi="Calibri"/>
                <w:sz w:val="16"/>
              </w:rPr>
              <w:t>2D fallback</w:t>
            </w:r>
          </w:p>
        </w:tc>
        <w:tc>
          <w:tcPr>
            <w:tcW w:type="dxa" w:w="1100"/>
            <w:vAlign w:val="center"/>
            <w:tcMar>
              <w:top w:w="90" w:type="dxa"/>
              <w:start w:w="120" w:type="dxa"/>
              <w:bottom w:w="90" w:type="dxa"/>
              <w:end w:w="120" w:type="dxa"/>
            </w:tcMar>
          </w:tcPr>
          <w:p>
            <w:pPr>
              <w:spacing w:after="0" w:line="252" w:lineRule="auto"/>
            </w:pPr>
            <w:r>
              <w:rPr>
                <w:rFonts w:ascii="Calibri" w:hAnsi="Calibri"/>
                <w:sz w:val="16"/>
              </w:rPr>
              <w:t>Partial</w:t>
            </w:r>
          </w:p>
        </w:tc>
        <w:tc>
          <w:tcPr>
            <w:tcW w:type="dxa" w:w="3150"/>
            <w:vAlign w:val="center"/>
            <w:tcMar>
              <w:top w:w="90" w:type="dxa"/>
              <w:start w:w="120" w:type="dxa"/>
              <w:bottom w:w="90" w:type="dxa"/>
              <w:end w:w="120" w:type="dxa"/>
            </w:tcMar>
          </w:tcPr>
          <w:p>
            <w:pPr>
              <w:spacing w:after="0" w:line="252" w:lineRule="auto"/>
            </w:pPr>
            <w:r>
              <w:rPr>
                <w:rFonts w:ascii="Calibri" w:hAnsi="Calibri"/>
                <w:sz w:val="16"/>
              </w:rPr>
              <w:t>Accessible HTML actions mirror the 3D action vocabulary.</w:t>
            </w:r>
          </w:p>
        </w:tc>
        <w:tc>
          <w:tcPr>
            <w:tcW w:type="dxa" w:w="3210"/>
            <w:vAlign w:val="center"/>
            <w:tcMar>
              <w:top w:w="90" w:type="dxa"/>
              <w:start w:w="120" w:type="dxa"/>
              <w:bottom w:w="90" w:type="dxa"/>
              <w:end w:w="120" w:type="dxa"/>
            </w:tcMar>
          </w:tcPr>
          <w:p>
            <w:pPr>
              <w:spacing w:after="0" w:line="252" w:lineRule="auto"/>
            </w:pPr>
            <w:r>
              <w:rPr>
                <w:rFonts w:ascii="Calibri" w:hAnsi="Calibri"/>
                <w:sz w:val="16"/>
              </w:rPr>
              <w:t>Capability-aware 2D/video lesson renderer with equivalent outcomes and parity tests.</w:t>
            </w:r>
          </w:p>
        </w:tc>
      </w:tr>
      <w:tr>
        <w:trPr>
          <w:cantSplit w:val="true"/>
        </w:trPr>
        <w:tc>
          <w:tcPr>
            <w:tcW w:type="dxa" w:w="1900"/>
            <w:shd w:fill="FAFBFC"/>
            <w:vAlign w:val="center"/>
            <w:tcMar>
              <w:top w:w="90" w:type="dxa"/>
              <w:start w:w="120" w:type="dxa"/>
              <w:bottom w:w="90" w:type="dxa"/>
              <w:end w:w="120" w:type="dxa"/>
            </w:tcMar>
          </w:tcPr>
          <w:p>
            <w:pPr>
              <w:spacing w:after="0" w:line="252" w:lineRule="auto"/>
            </w:pPr>
            <w:r>
              <w:rPr>
                <w:rFonts w:ascii="Calibri" w:hAnsi="Calibri"/>
                <w:sz w:val="16"/>
              </w:rPr>
              <w:t>Low-bandwidth</w:t>
            </w:r>
          </w:p>
        </w:tc>
        <w:tc>
          <w:tcPr>
            <w:tcW w:type="dxa" w:w="1100"/>
            <w:shd w:fill="FAFBFC"/>
            <w:vAlign w:val="center"/>
            <w:tcMar>
              <w:top w:w="90" w:type="dxa"/>
              <w:start w:w="120" w:type="dxa"/>
              <w:bottom w:w="90" w:type="dxa"/>
              <w:end w:w="120" w:type="dxa"/>
            </w:tcMar>
          </w:tcPr>
          <w:p>
            <w:pPr>
              <w:spacing w:after="0" w:line="252" w:lineRule="auto"/>
            </w:pPr>
            <w:r>
              <w:rPr>
                <w:rFonts w:ascii="Calibri" w:hAnsi="Calibri"/>
                <w:sz w:val="16"/>
              </w:rPr>
              <w:t>Early</w:t>
            </w:r>
          </w:p>
        </w:tc>
        <w:tc>
          <w:tcPr>
            <w:tcW w:type="dxa" w:w="3150"/>
            <w:shd w:fill="FAFBFC"/>
            <w:vAlign w:val="center"/>
            <w:tcMar>
              <w:top w:w="90" w:type="dxa"/>
              <w:start w:w="120" w:type="dxa"/>
              <w:bottom w:w="90" w:type="dxa"/>
              <w:end w:w="120" w:type="dxa"/>
            </w:tcMar>
          </w:tcPr>
          <w:p>
            <w:pPr>
              <w:spacing w:after="0" w:line="252" w:lineRule="auto"/>
            </w:pPr>
            <w:r>
              <w:rPr>
                <w:rFonts w:ascii="Calibri" w:hAnsi="Calibri"/>
                <w:sz w:val="16"/>
              </w:rPr>
              <w:t>Web delivery and lazy route loading.</w:t>
            </w:r>
          </w:p>
        </w:tc>
        <w:tc>
          <w:tcPr>
            <w:tcW w:type="dxa" w:w="3210"/>
            <w:shd w:fill="FAFBFC"/>
            <w:vAlign w:val="center"/>
            <w:tcMar>
              <w:top w:w="90" w:type="dxa"/>
              <w:start w:w="120" w:type="dxa"/>
              <w:bottom w:w="90" w:type="dxa"/>
              <w:end w:w="120" w:type="dxa"/>
            </w:tcMar>
          </w:tcPr>
          <w:p>
            <w:pPr>
              <w:spacing w:after="0" w:line="252" w:lineRule="auto"/>
            </w:pPr>
            <w:r>
              <w:rPr>
                <w:rFonts w:ascii="Calibri" w:hAnsi="Calibri"/>
                <w:sz w:val="16"/>
              </w:rPr>
              <w:t>PWA, IndexedDB event queue, download/cache, optimized assets, quality tiers, 3G/4G budgets.</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Calibri" w:hAnsi="Calibri"/>
                <w:sz w:val="16"/>
              </w:rPr>
              <w:t>Evaluation</w:t>
            </w:r>
          </w:p>
        </w:tc>
        <w:tc>
          <w:tcPr>
            <w:tcW w:type="dxa" w:w="1100"/>
            <w:vAlign w:val="center"/>
            <w:tcMar>
              <w:top w:w="90" w:type="dxa"/>
              <w:start w:w="120" w:type="dxa"/>
              <w:bottom w:w="90" w:type="dxa"/>
              <w:end w:w="120" w:type="dxa"/>
            </w:tcMar>
          </w:tcPr>
          <w:p>
            <w:pPr>
              <w:spacing w:after="0" w:line="252" w:lineRule="auto"/>
            </w:pPr>
            <w:r>
              <w:rPr>
                <w:rFonts w:ascii="Calibri" w:hAnsi="Calibri"/>
                <w:sz w:val="16"/>
              </w:rPr>
              <w:t>Planned</w:t>
            </w:r>
          </w:p>
        </w:tc>
        <w:tc>
          <w:tcPr>
            <w:tcW w:type="dxa" w:w="3150"/>
            <w:vAlign w:val="center"/>
            <w:tcMar>
              <w:top w:w="90" w:type="dxa"/>
              <w:start w:w="120" w:type="dxa"/>
              <w:bottom w:w="90" w:type="dxa"/>
              <w:end w:w="120" w:type="dxa"/>
            </w:tcMar>
          </w:tcPr>
          <w:p>
            <w:pPr>
              <w:spacing w:after="0" w:line="252" w:lineRule="auto"/>
            </w:pPr>
            <w:r>
              <w:rPr>
                <w:rFonts w:ascii="Calibri" w:hAnsi="Calibri"/>
                <w:sz w:val="16"/>
              </w:rPr>
              <w:t>Pilot backlog and deterministic evidence records.</w:t>
            </w:r>
          </w:p>
        </w:tc>
        <w:tc>
          <w:tcPr>
            <w:tcW w:type="dxa" w:w="3210"/>
            <w:vAlign w:val="center"/>
            <w:tcMar>
              <w:top w:w="90" w:type="dxa"/>
              <w:start w:w="120" w:type="dxa"/>
              <w:bottom w:w="90" w:type="dxa"/>
              <w:end w:w="120" w:type="dxa"/>
            </w:tcMar>
          </w:tcPr>
          <w:p>
            <w:pPr>
              <w:spacing w:after="0" w:line="252" w:lineRule="auto"/>
            </w:pPr>
            <w:r>
              <w:rPr>
                <w:rFonts w:ascii="Calibri" w:hAnsi="Calibri"/>
                <w:sz w:val="16"/>
              </w:rPr>
              <w:t>TAM/SUS, pre/post tests, recognition metrics, consent, device study, analysis pipeline.</w:t>
            </w:r>
          </w:p>
        </w:tc>
      </w:tr>
      <w:tr>
        <w:trPr>
          <w:cantSplit w:val="true"/>
        </w:trPr>
        <w:tc>
          <w:tcPr>
            <w:tcW w:type="dxa" w:w="1900"/>
            <w:shd w:fill="FAFBFC"/>
            <w:vAlign w:val="center"/>
            <w:tcMar>
              <w:top w:w="90" w:type="dxa"/>
              <w:start w:w="120" w:type="dxa"/>
              <w:bottom w:w="90" w:type="dxa"/>
              <w:end w:w="120" w:type="dxa"/>
            </w:tcMar>
          </w:tcPr>
          <w:p>
            <w:pPr>
              <w:spacing w:after="0" w:line="252" w:lineRule="auto"/>
            </w:pPr>
            <w:r>
              <w:rPr>
                <w:rFonts w:ascii="Calibri" w:hAnsi="Calibri"/>
                <w:sz w:val="16"/>
              </w:rPr>
              <w:t>LMS/LRS integration</w:t>
            </w:r>
          </w:p>
        </w:tc>
        <w:tc>
          <w:tcPr>
            <w:tcW w:type="dxa" w:w="1100"/>
            <w:shd w:fill="FAFBFC"/>
            <w:vAlign w:val="center"/>
            <w:tcMar>
              <w:top w:w="90" w:type="dxa"/>
              <w:start w:w="120" w:type="dxa"/>
              <w:bottom w:w="90" w:type="dxa"/>
              <w:end w:w="120" w:type="dxa"/>
            </w:tcMar>
          </w:tcPr>
          <w:p>
            <w:pPr>
              <w:spacing w:after="0" w:line="252" w:lineRule="auto"/>
            </w:pPr>
            <w:r>
              <w:rPr>
                <w:rFonts w:ascii="Calibri" w:hAnsi="Calibri"/>
                <w:sz w:val="16"/>
              </w:rPr>
              <w:t>Missing</w:t>
            </w:r>
          </w:p>
        </w:tc>
        <w:tc>
          <w:tcPr>
            <w:tcW w:type="dxa" w:w="3150"/>
            <w:shd w:fill="FAFBFC"/>
            <w:vAlign w:val="center"/>
            <w:tcMar>
              <w:top w:w="90" w:type="dxa"/>
              <w:start w:w="120" w:type="dxa"/>
              <w:bottom w:w="90" w:type="dxa"/>
              <w:end w:w="120" w:type="dxa"/>
            </w:tcMar>
          </w:tcPr>
          <w:p>
            <w:pPr>
              <w:spacing w:after="0" w:line="252" w:lineRule="auto"/>
            </w:pPr>
            <w:r>
              <w:rPr>
                <w:rFonts w:ascii="Calibri" w:hAnsi="Calibri"/>
                <w:sz w:val="16"/>
              </w:rPr>
              <w:t>No SCORM, LTI, xAPI export, or LRS connector found.</w:t>
            </w:r>
          </w:p>
        </w:tc>
        <w:tc>
          <w:tcPr>
            <w:tcW w:type="dxa" w:w="3210"/>
            <w:shd w:fill="FAFBFC"/>
            <w:vAlign w:val="center"/>
            <w:tcMar>
              <w:top w:w="90" w:type="dxa"/>
              <w:start w:w="120" w:type="dxa"/>
              <w:bottom w:w="90" w:type="dxa"/>
              <w:end w:w="120" w:type="dxa"/>
            </w:tcMar>
          </w:tcPr>
          <w:p>
            <w:pPr>
              <w:spacing w:after="0" w:line="252" w:lineRule="auto"/>
            </w:pPr>
            <w:r>
              <w:rPr>
                <w:rFonts w:ascii="Calibri" w:hAnsi="Calibri"/>
                <w:sz w:val="16"/>
              </w:rPr>
              <w:t>Choose the minimum institutional integration after pilot needs are confirmed.</w:t>
            </w:r>
          </w:p>
        </w:tc>
      </w:tr>
    </w:tbl>
    <w:p>
      <w:pPr>
        <w:spacing w:after="0"/>
      </w:pPr>
    </w:p>
    <w:p>
      <w:pPr>
        <w:pStyle w:val="Heading1"/>
      </w:pPr>
      <w:r>
        <w:t>5. What is missing to reach an AR platform</w:t>
      </w:r>
    </w:p>
    <w:p>
      <w:pPr>
        <w:pStyle w:val="Heading2"/>
      </w:pPr>
      <w:r>
        <w:t>5.1 AR runtime and physical-world registration</w:t>
      </w:r>
    </w:p>
    <w:p>
      <w:pPr>
        <w:numPr>
          <w:ilvl w:val="0"/>
          <w:numId w:val="10"/>
        </w:numPr>
      </w:pPr>
      <w:r>
        <w:rPr>
          <w:rFonts w:ascii="Calibri" w:hAnsi="Calibri"/>
        </w:rPr>
        <w:t>WebXR capability detection and an explicit, permission-aware Enter AR / Exit AR lifecycle.</w:t>
      </w:r>
    </w:p>
    <w:p>
      <w:pPr>
        <w:numPr>
          <w:ilvl w:val="0"/>
          <w:numId w:val="10"/>
        </w:numPr>
      </w:pPr>
      <w:r>
        <w:rPr>
          <w:rFonts w:ascii="Calibri" w:hAnsi="Calibri"/>
        </w:rPr>
        <w:t>Camera passthrough with a secure-origin and browser-support strategy.</w:t>
      </w:r>
    </w:p>
    <w:p>
      <w:pPr>
        <w:numPr>
          <w:ilvl w:val="0"/>
          <w:numId w:val="10"/>
        </w:numPr>
      </w:pPr>
      <w:r>
        <w:rPr>
          <w:rFonts w:ascii="Calibri" w:hAnsi="Calibri"/>
        </w:rPr>
        <w:t>Surface hit testing and spatial anchors for placing instructional content consistently in a learner's physical workspace.</w:t>
      </w:r>
    </w:p>
    <w:p>
      <w:pPr>
        <w:numPr>
          <w:ilvl w:val="0"/>
          <w:numId w:val="10"/>
        </w:numPr>
      </w:pPr>
      <w:r>
        <w:rPr>
          <w:rFonts w:ascii="Calibri" w:hAnsi="Calibri"/>
        </w:rPr>
        <w:t>A marker-based fallback for devices or browsers that cannot provide reliable markerless tracking.</w:t>
      </w:r>
    </w:p>
    <w:p>
      <w:pPr>
        <w:numPr>
          <w:ilvl w:val="0"/>
          <w:numId w:val="10"/>
        </w:numPr>
      </w:pPr>
      <w:r>
        <w:rPr>
          <w:rFonts w:ascii="Calibri" w:hAnsi="Calibri"/>
        </w:rPr>
        <w:t>Tracking-loss, poor-lighting, unsupported-device, camera-denied, and unsafe-workspace recovery flows.</w:t>
      </w:r>
    </w:p>
    <w:p>
      <w:pPr>
        <w:numPr>
          <w:ilvl w:val="0"/>
          <w:numId w:val="10"/>
        </w:numPr>
      </w:pPr>
      <w:r>
        <w:rPr>
          <w:rFonts w:ascii="Calibri" w:hAnsi="Calibri"/>
        </w:rPr>
        <w:t>AR interaction telemetry: recognition success/failure, latency, re-scan count, tracking loss, placement confidence, and fallback use.</w:t>
      </w:r>
    </w:p>
    <w:p>
      <w:pPr>
        <w:pStyle w:val="Heading2"/>
      </w:pPr>
      <w:r>
        <w:t>5.2 Shared assessment semantics</w:t>
      </w:r>
    </w:p>
    <w:p>
      <w:r>
        <w:rPr>
          <w:rFonts w:ascii="Calibri" w:hAnsi="Calibri"/>
        </w:rPr>
        <w:t>Desktop, accessible HTML, marker AR, and markerless AR should invoke the same scenario action codes and the same server-side grading rules. Mode and recognition quality should be contextual evidence, never a separate grading engine. A learner must not lose marks because the browser failed to track a surface.</w:t>
      </w:r>
    </w:p>
    <w:p>
      <w:pPr>
        <w:pStyle w:val="Heading2"/>
      </w:pPr>
      <w:r>
        <w:t>5.3 Production technical content</w:t>
      </w:r>
    </w:p>
    <w:p>
      <w:pPr>
        <w:numPr>
          <w:ilvl w:val="0"/>
          <w:numId w:val="10"/>
        </w:numPr>
      </w:pPr>
      <w:r>
        <w:rPr>
          <w:rFonts w:ascii="Calibri" w:hAnsi="Calibri"/>
        </w:rPr>
        <w:t>One licensed and instructor-validated battery or electrical training-rig asset package, with real dimensions, named parts, pivots, interaction points, collision/selection volumes, and safety zones.</w:t>
      </w:r>
    </w:p>
    <w:p>
      <w:pPr>
        <w:numPr>
          <w:ilvl w:val="0"/>
          <w:numId w:val="10"/>
        </w:numPr>
      </w:pPr>
      <w:r>
        <w:rPr>
          <w:rFonts w:ascii="Calibri" w:hAnsi="Calibri"/>
        </w:rPr>
        <w:t>glTF validation, Meshopt or Draco geometry compression where supported, KTX2 textures, checksums, manifests, thumbnails, and explicit asset budgets.</w:t>
      </w:r>
    </w:p>
    <w:p>
      <w:pPr>
        <w:numPr>
          <w:ilvl w:val="0"/>
          <w:numId w:val="10"/>
        </w:numPr>
      </w:pPr>
      <w:r>
        <w:rPr>
          <w:rFonts w:ascii="Calibri" w:hAnsi="Calibri"/>
        </w:rPr>
        <w:t>Content validation by qualified technical instructors against an approved curriculum standard, including hazards, sequence, tolerances, remediation, and physical transfer tasks.</w:t>
      </w:r>
    </w:p>
    <w:p>
      <w:pPr>
        <w:numPr>
          <w:ilvl w:val="0"/>
          <w:numId w:val="10"/>
        </w:numPr>
      </w:pPr>
      <w:r>
        <w:rPr>
          <w:rFonts w:ascii="Calibri" w:hAnsi="Calibri"/>
        </w:rPr>
        <w:t>A safe AR lesson design: begin with mock-ups or de-energized training rigs; do not position the product as a substitute for supervised workshop practice.</w:t>
      </w:r>
    </w:p>
    <w:p>
      <w:pPr>
        <w:pStyle w:val="Heading2"/>
      </w:pPr>
      <w:r>
        <w:t>5.4 Low-bandwidth and device resilience</w:t>
      </w:r>
    </w:p>
    <w:p>
      <w:pPr>
        <w:numPr>
          <w:ilvl w:val="0"/>
          <w:numId w:val="10"/>
        </w:numPr>
      </w:pPr>
      <w:r>
        <w:rPr>
          <w:rFonts w:ascii="Calibri" w:hAnsi="Calibri"/>
        </w:rPr>
        <w:t>Installable PWA shell, per-lesson download, versioned cache, checksum verification, and clear storage controls.</w:t>
      </w:r>
    </w:p>
    <w:p>
      <w:pPr>
        <w:numPr>
          <w:ilvl w:val="0"/>
          <w:numId w:val="10"/>
        </w:numPr>
      </w:pPr>
      <w:r>
        <w:rPr>
          <w:rFonts w:ascii="Calibri" w:hAnsi="Calibri"/>
        </w:rPr>
        <w:t>IndexedDB storage for attempts and events, client-generated event IDs, ordered idempotent synchronization, retry/backoff, and conflict preservation.</w:t>
      </w:r>
    </w:p>
    <w:p>
      <w:pPr>
        <w:numPr>
          <w:ilvl w:val="0"/>
          <w:numId w:val="10"/>
        </w:numPr>
      </w:pPr>
      <w:r>
        <w:rPr>
          <w:rFonts w:ascii="Calibri" w:hAnsi="Calibri"/>
        </w:rPr>
        <w:t>High, medium, and low rendering tiers selected from measured device capability rather than device brand alone.</w:t>
      </w:r>
    </w:p>
    <w:p>
      <w:pPr>
        <w:numPr>
          <w:ilvl w:val="0"/>
          <w:numId w:val="10"/>
        </w:numPr>
      </w:pPr>
      <w:r>
        <w:rPr>
          <w:rFonts w:ascii="Calibri" w:hAnsi="Calibri"/>
        </w:rPr>
        <w:t>Test budgets for first load, cached load, frame rate, memory, recognition latency, and evidence synchronization under institutional Wi-Fi and constrained 3G/4G profiles.</w:t>
      </w:r>
    </w:p>
    <w:p>
      <w:pPr>
        <w:pStyle w:val="Heading2"/>
      </w:pPr>
      <w:r>
        <w:t>5.5 Adaptive learning and standardized analytics</w:t>
      </w:r>
    </w:p>
    <w:p>
      <w:pPr>
        <w:numPr>
          <w:ilvl w:val="0"/>
          <w:numId w:val="10"/>
        </w:numPr>
      </w:pPr>
      <w:r>
        <w:rPr>
          <w:rFonts w:ascii="Calibri" w:hAnsi="Calibri"/>
        </w:rPr>
        <w:t>Stable URI-based identifiers for actors, verbs, activities, competencies, scenarios, steps, and results.</w:t>
      </w:r>
    </w:p>
    <w:p>
      <w:pPr>
        <w:numPr>
          <w:ilvl w:val="0"/>
          <w:numId w:val="10"/>
        </w:numPr>
      </w:pPr>
      <w:r>
        <w:rPr>
          <w:rFonts w:ascii="Calibri" w:hAnsi="Calibri"/>
        </w:rPr>
        <w:t>An internal xAPI statement adapter that maps immutable OPedu events to actor-verb-object-result-context statements and assigns globally unique statement IDs.</w:t>
      </w:r>
    </w:p>
    <w:p>
      <w:pPr>
        <w:numPr>
          <w:ilvl w:val="0"/>
          <w:numId w:val="10"/>
        </w:numPr>
      </w:pPr>
      <w:r>
        <w:rPr>
          <w:rFonts w:ascii="Calibri" w:hAnsi="Calibri"/>
        </w:rPr>
        <w:t>Deduplication and export first; deploy a separate LRS only when an institution or research protocol requires it.</w:t>
      </w:r>
    </w:p>
    <w:p>
      <w:pPr>
        <w:numPr>
          <w:ilvl w:val="0"/>
          <w:numId w:val="10"/>
        </w:numPr>
      </w:pPr>
      <w:r>
        <w:rPr>
          <w:rFonts w:ascii="Calibri" w:hAnsi="Calibri"/>
        </w:rPr>
        <w:t>A transparent rules-based recommender using mastery gaps, prerequisite completion, attempts, hints, safety errors, and device reliability. Machine learning should wait until sufficient consented pilot data exist.</w:t>
      </w:r>
    </w:p>
    <w:p>
      <w:pPr>
        <w:pStyle w:val="Heading2"/>
      </w:pPr>
      <w:r>
        <w:t>5.6 Authoring, instructor operations, and evidence</w:t>
      </w:r>
    </w:p>
    <w:p>
      <w:pPr>
        <w:numPr>
          <w:ilvl w:val="0"/>
          <w:numId w:val="10"/>
        </w:numPr>
      </w:pPr>
      <w:r>
        <w:rPr>
          <w:rFonts w:ascii="Calibri" w:hAnsi="Calibri"/>
        </w:rPr>
        <w:t>A low/no-code content-authoring workflow for scenes, anchors, actions, prompts, tools, hazards, tolerances, fallback media, and competency mappings.</w:t>
      </w:r>
    </w:p>
    <w:p>
      <w:pPr>
        <w:numPr>
          <w:ilvl w:val="0"/>
          <w:numId w:val="10"/>
        </w:numPr>
      </w:pPr>
      <w:r>
        <w:rPr>
          <w:rFonts w:ascii="Calibri" w:hAnsi="Calibri"/>
        </w:rPr>
        <w:t>Scenario preview without assessment logging; publishing checks that reject missing fallback, oversized assets, broken identifiers, and unsupported interactions.</w:t>
      </w:r>
    </w:p>
    <w:p>
      <w:pPr>
        <w:numPr>
          <w:ilvl w:val="0"/>
          <w:numId w:val="10"/>
        </w:numPr>
      </w:pPr>
      <w:r>
        <w:rPr>
          <w:rFonts w:ascii="Calibri" w:hAnsi="Calibri"/>
        </w:rPr>
        <w:t>Instructor observations and published feedback, cohort assignment, review filters, competency aggregation, and CSV/research export.</w:t>
      </w:r>
    </w:p>
    <w:p>
      <w:pPr>
        <w:numPr>
          <w:ilvl w:val="0"/>
          <w:numId w:val="10"/>
        </w:numPr>
      </w:pPr>
      <w:r>
        <w:rPr>
          <w:rFonts w:ascii="Calibri" w:hAnsi="Calibri"/>
        </w:rPr>
        <w:t>TAM/SUS questionnaires, pre/post knowledge checks, practical transfer rubrics, research-consent records, and pseudonymized analysis exports.</w:t>
      </w:r>
    </w:p>
    <w:p>
      <w:pPr>
        <w:pStyle w:val="Heading1"/>
      </w:pPr>
      <w:r>
        <w:t>6. AR qualification gate</w:t>
      </w:r>
    </w:p>
    <w:p>
      <w:r>
        <w:rPr>
          <w:rFonts w:ascii="Calibri" w:hAnsi="Calibri"/>
        </w:rPr>
        <w:t>OPedu should call a release an AR platform only when all of the following are demonstrated:</w:t>
      </w:r>
    </w:p>
    <w:p>
      <w:pPr>
        <w:numPr>
          <w:ilvl w:val="0"/>
          <w:numId w:val="13"/>
        </w:numPr>
      </w:pPr>
      <w:r>
        <w:rPr>
          <w:rFonts w:ascii="Calibri" w:hAnsi="Calibri"/>
        </w:rPr>
        <w:t>A supported mobile browser can enter an AR session and display the real camera environment.</w:t>
      </w:r>
    </w:p>
    <w:p>
      <w:pPr>
        <w:numPr>
          <w:ilvl w:val="0"/>
          <w:numId w:val="13"/>
        </w:numPr>
      </w:pPr>
      <w:r>
        <w:rPr>
          <w:rFonts w:ascii="Calibri" w:hAnsi="Calibri"/>
        </w:rPr>
        <w:t>The learner can register a training object or surface and keep guidance spatially aligned during the task.</w:t>
      </w:r>
    </w:p>
    <w:p>
      <w:pPr>
        <w:numPr>
          <w:ilvl w:val="0"/>
          <w:numId w:val="13"/>
        </w:numPr>
      </w:pPr>
      <w:r>
        <w:rPr>
          <w:rFonts w:ascii="Calibri" w:hAnsi="Calibri"/>
        </w:rPr>
        <w:t>At least one real technical-school procedure uses AR-specific overlays that add instructional value beyond the desktop 3D scene.</w:t>
      </w:r>
    </w:p>
    <w:p>
      <w:pPr>
        <w:numPr>
          <w:ilvl w:val="0"/>
          <w:numId w:val="13"/>
        </w:numPr>
      </w:pPr>
      <w:r>
        <w:rPr>
          <w:rFonts w:ascii="Calibri" w:hAnsi="Calibri"/>
        </w:rPr>
        <w:t>The same procedure can be completed through a first-class 2D/desktop fallback with equivalent required evidence and grading.</w:t>
      </w:r>
    </w:p>
    <w:p>
      <w:pPr>
        <w:numPr>
          <w:ilvl w:val="0"/>
          <w:numId w:val="13"/>
        </w:numPr>
      </w:pPr>
      <w:r>
        <w:rPr>
          <w:rFonts w:ascii="Calibri" w:hAnsi="Calibri"/>
        </w:rPr>
        <w:t>Tracking failure, low light, permission denial, and unsupported hardware have tested recovery paths.</w:t>
      </w:r>
    </w:p>
    <w:p>
      <w:pPr>
        <w:numPr>
          <w:ilvl w:val="0"/>
          <w:numId w:val="13"/>
        </w:numPr>
      </w:pPr>
      <w:r>
        <w:rPr>
          <w:rFonts w:ascii="Calibri" w:hAnsi="Calibri"/>
        </w:rPr>
        <w:t>Assets and event synchronization meet approved performance budgets on the lowest supported device and constrained network profile.</w:t>
      </w:r>
    </w:p>
    <w:p>
      <w:pPr>
        <w:numPr>
          <w:ilvl w:val="0"/>
          <w:numId w:val="13"/>
        </w:numPr>
      </w:pPr>
      <w:r>
        <w:rPr>
          <w:rFonts w:ascii="Calibri" w:hAnsi="Calibri"/>
        </w:rPr>
        <w:t>AR recognition quality is recorded separately from learner competency and is visible in evaluation exports.</w:t>
      </w:r>
    </w:p>
    <w:p>
      <w:pPr>
        <w:numPr>
          <w:ilvl w:val="0"/>
          <w:numId w:val="13"/>
        </w:numPr>
      </w:pPr>
      <w:r>
        <w:rPr>
          <w:rFonts w:ascii="Calibri" w:hAnsi="Calibri"/>
        </w:rPr>
        <w:t>A qualified technical instructor has approved the content, hazards, tolerances, and real-workshop transfer task.</w:t>
      </w:r>
    </w:p>
    <w:p>
      <w:pPr>
        <w:pStyle w:val="Heading1"/>
      </w:pPr>
      <w:r>
        <w:t>7. Recommended target architecture</w:t>
      </w:r>
    </w:p>
    <w:p>
      <w:r>
        <w:rPr>
          <w:rFonts w:ascii="Calibri" w:hAnsi="Calibri"/>
        </w:rPr>
        <w:t>Retain the modular Django monolith and React client. The dissertation allows Django/Python, and OPedu's existing domain model is already stronger than replacing it with a new Node service. Add AR as a client capability and analytics as adapters around the existing evidence core, not as a rewrite.</w:t>
      </w:r>
    </w:p>
    <w:tbl>
      <w:tblPr>
        <w:tblStyle w:val="TableGrid"/>
        <w:tblW w:type="dxa" w:w="9360"/>
        <w:tblLayout w:type="fixed"/>
        <w:tblLook w:firstColumn="1" w:firstRow="1" w:lastColumn="0" w:lastRow="0" w:noHBand="0" w:noVBand="1" w:val="04A0"/>
        <w:jc w:val="left"/>
        <w:tblInd w:w="120" w:type="dxa"/>
        <w:tblBorders>
          <w:top w:val="single" w:sz="5" w:color="C7CDD4"/>
          <w:left w:val="single" w:sz="5" w:color="C7CDD4"/>
          <w:bottom w:val="single" w:sz="5" w:color="C7CDD4"/>
          <w:right w:val="single" w:sz="5" w:color="C7CDD4"/>
          <w:insideH w:val="single" w:sz="5" w:color="C7CDD4"/>
          <w:insideV w:val="single" w:sz="5" w:color="C7CDD4"/>
        </w:tblBorders>
      </w:tblPr>
      <w:tblGrid>
        <w:gridCol w:w="1900"/>
        <w:gridCol w:w="7460"/>
      </w:tblGrid>
      <w:tr>
        <w:trPr>
          <w:tblHeader w:val="true"/>
        </w:trPr>
        <w:tc>
          <w:tcPr>
            <w:tcW w:type="dxa" w:w="1900"/>
            <w:vAlign w:val="center"/>
            <w:tcMar>
              <w:top w:w="90" w:type="dxa"/>
              <w:start w:w="120" w:type="dxa"/>
              <w:bottom w:w="90" w:type="dxa"/>
              <w:end w:w="120" w:type="dxa"/>
            </w:tcMar>
            <w:shd w:fill="17365D"/>
          </w:tcPr>
          <w:p>
            <w:pPr>
              <w:spacing w:after="0"/>
              <w:jc w:val="left"/>
            </w:pPr>
            <w:r>
              <w:rPr>
                <w:rFonts w:ascii="Calibri" w:hAnsi="Calibri"/>
                <w:b/>
                <w:color w:val="FFFFFF"/>
                <w:sz w:val="18"/>
              </w:rPr>
              <w:t>Layer</w:t>
            </w:r>
          </w:p>
        </w:tc>
        <w:tc>
          <w:tcPr>
            <w:tcW w:type="dxa" w:w="7460"/>
            <w:vAlign w:val="center"/>
            <w:tcMar>
              <w:top w:w="90" w:type="dxa"/>
              <w:start w:w="120" w:type="dxa"/>
              <w:bottom w:w="90" w:type="dxa"/>
              <w:end w:w="120" w:type="dxa"/>
            </w:tcMar>
            <w:shd w:fill="17365D"/>
          </w:tcPr>
          <w:p>
            <w:pPr>
              <w:spacing w:after="0"/>
              <w:jc w:val="left"/>
            </w:pPr>
            <w:r>
              <w:rPr>
                <w:rFonts w:ascii="Calibri" w:hAnsi="Calibri"/>
                <w:b/>
                <w:color w:val="FFFFFF"/>
                <w:sz w:val="18"/>
              </w:rPr>
              <w:t>Recommended responsibility</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Calibri" w:hAnsi="Calibri"/>
                <w:sz w:val="18"/>
              </w:rPr>
              <w:t>Experience</w:t>
            </w:r>
          </w:p>
        </w:tc>
        <w:tc>
          <w:tcPr>
            <w:tcW w:type="dxa" w:w="7460"/>
            <w:vAlign w:val="center"/>
            <w:tcMar>
              <w:top w:w="90" w:type="dxa"/>
              <w:start w:w="120" w:type="dxa"/>
              <w:bottom w:w="90" w:type="dxa"/>
              <w:end w:w="120" w:type="dxa"/>
            </w:tcMar>
          </w:tcPr>
          <w:p>
            <w:pPr>
              <w:spacing w:after="0" w:line="252" w:lineRule="auto"/>
            </w:pPr>
            <w:r>
              <w:rPr>
                <w:rFonts w:ascii="Calibri" w:hAnsi="Calibri"/>
                <w:sz w:val="18"/>
              </w:rPr>
              <w:t>React application with a capability gateway that selects desktop 3D, accessible 2D, marker AR, or markerless WebXR AR.</w:t>
            </w:r>
          </w:p>
        </w:tc>
      </w:tr>
      <w:tr>
        <w:trPr>
          <w:cantSplit w:val="true"/>
        </w:trPr>
        <w:tc>
          <w:tcPr>
            <w:tcW w:type="dxa" w:w="1900"/>
            <w:shd w:fill="FAFBFC"/>
            <w:vAlign w:val="center"/>
            <w:tcMar>
              <w:top w:w="90" w:type="dxa"/>
              <w:start w:w="120" w:type="dxa"/>
              <w:bottom w:w="90" w:type="dxa"/>
              <w:end w:w="120" w:type="dxa"/>
            </w:tcMar>
          </w:tcPr>
          <w:p>
            <w:pPr>
              <w:spacing w:after="0" w:line="252" w:lineRule="auto"/>
            </w:pPr>
            <w:r>
              <w:rPr>
                <w:rFonts w:ascii="Calibri" w:hAnsi="Calibri"/>
                <w:sz w:val="18"/>
              </w:rPr>
              <w:t>Shared renderer</w:t>
            </w:r>
          </w:p>
        </w:tc>
        <w:tc>
          <w:tcPr>
            <w:tcW w:type="dxa" w:w="7460"/>
            <w:shd w:fill="FAFBFC"/>
            <w:vAlign w:val="center"/>
            <w:tcMar>
              <w:top w:w="90" w:type="dxa"/>
              <w:start w:w="120" w:type="dxa"/>
              <w:bottom w:w="90" w:type="dxa"/>
              <w:end w:w="120" w:type="dxa"/>
            </w:tcMar>
          </w:tcPr>
          <w:p>
            <w:pPr>
              <w:spacing w:after="0" w:line="252" w:lineRule="auto"/>
            </w:pPr>
            <w:r>
              <w:rPr>
                <w:rFonts w:ascii="Calibri" w:hAnsi="Calibri"/>
                <w:sz w:val="18"/>
              </w:rPr>
              <w:t>React Three Fiber scene graph, one action vocabulary, interaction adapters by mode, progressive asset loading, and explicit AR session lifecycle.</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Calibri" w:hAnsi="Calibri"/>
                <w:sz w:val="18"/>
              </w:rPr>
              <w:t>Learning services</w:t>
            </w:r>
          </w:p>
        </w:tc>
        <w:tc>
          <w:tcPr>
            <w:tcW w:type="dxa" w:w="7460"/>
            <w:vAlign w:val="center"/>
            <w:tcMar>
              <w:top w:w="90" w:type="dxa"/>
              <w:start w:w="120" w:type="dxa"/>
              <w:bottom w:w="90" w:type="dxa"/>
              <w:end w:w="120" w:type="dxa"/>
            </w:tcMar>
          </w:tcPr>
          <w:p>
            <w:pPr>
              <w:spacing w:after="0" w:line="252" w:lineRule="auto"/>
            </w:pPr>
            <w:r>
              <w:rPr>
                <w:rFonts w:ascii="Calibri" w:hAnsi="Calibri"/>
                <w:sz w:val="18"/>
              </w:rPr>
              <w:t>Current Django APIs for identity, content, assignment, attempts, grading, results, instructor review, and authoring governance.</w:t>
            </w:r>
          </w:p>
        </w:tc>
      </w:tr>
      <w:tr>
        <w:trPr>
          <w:cantSplit w:val="true"/>
        </w:trPr>
        <w:tc>
          <w:tcPr>
            <w:tcW w:type="dxa" w:w="1900"/>
            <w:shd w:fill="FAFBFC"/>
            <w:vAlign w:val="center"/>
            <w:tcMar>
              <w:top w:w="90" w:type="dxa"/>
              <w:start w:w="120" w:type="dxa"/>
              <w:bottom w:w="90" w:type="dxa"/>
              <w:end w:w="120" w:type="dxa"/>
            </w:tcMar>
          </w:tcPr>
          <w:p>
            <w:pPr>
              <w:spacing w:after="0" w:line="252" w:lineRule="auto"/>
            </w:pPr>
            <w:r>
              <w:rPr>
                <w:rFonts w:ascii="Calibri" w:hAnsi="Calibri"/>
                <w:sz w:val="18"/>
              </w:rPr>
              <w:t>Adaptive service</w:t>
            </w:r>
          </w:p>
        </w:tc>
        <w:tc>
          <w:tcPr>
            <w:tcW w:type="dxa" w:w="7460"/>
            <w:shd w:fill="FAFBFC"/>
            <w:vAlign w:val="center"/>
            <w:tcMar>
              <w:top w:w="90" w:type="dxa"/>
              <w:start w:w="120" w:type="dxa"/>
              <w:bottom w:w="90" w:type="dxa"/>
              <w:end w:w="120" w:type="dxa"/>
            </w:tcMar>
          </w:tcPr>
          <w:p>
            <w:pPr>
              <w:spacing w:after="0" w:line="252" w:lineRule="auto"/>
            </w:pPr>
            <w:r>
              <w:rPr>
                <w:rFonts w:ascii="Calibri" w:hAnsi="Calibri"/>
                <w:sz w:val="18"/>
              </w:rPr>
              <w:t>A deterministic policy module inside Django initially; version its inputs, weights, explanation, and recommendation result.</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Calibri" w:hAnsi="Calibri"/>
                <w:sz w:val="18"/>
              </w:rPr>
              <w:t>Evidence adapter</w:t>
            </w:r>
          </w:p>
        </w:tc>
        <w:tc>
          <w:tcPr>
            <w:tcW w:type="dxa" w:w="7460"/>
            <w:vAlign w:val="center"/>
            <w:tcMar>
              <w:top w:w="90" w:type="dxa"/>
              <w:start w:w="120" w:type="dxa"/>
              <w:bottom w:w="90" w:type="dxa"/>
              <w:end w:w="120" w:type="dxa"/>
            </w:tcMar>
          </w:tcPr>
          <w:p>
            <w:pPr>
              <w:spacing w:after="0" w:line="252" w:lineRule="auto"/>
            </w:pPr>
            <w:r>
              <w:rPr>
                <w:rFonts w:ascii="Calibri" w:hAnsi="Calibri"/>
                <w:sz w:val="18"/>
              </w:rPr>
              <w:t>Map OPedu events to xAPI-compatible statements; preserve PostgreSQL as the authoritative source and support optional LRS export.</w:t>
            </w:r>
          </w:p>
        </w:tc>
      </w:tr>
      <w:tr>
        <w:trPr>
          <w:cantSplit w:val="true"/>
        </w:trPr>
        <w:tc>
          <w:tcPr>
            <w:tcW w:type="dxa" w:w="1900"/>
            <w:shd w:fill="FAFBFC"/>
            <w:vAlign w:val="center"/>
            <w:tcMar>
              <w:top w:w="90" w:type="dxa"/>
              <w:start w:w="120" w:type="dxa"/>
              <w:bottom w:w="90" w:type="dxa"/>
              <w:end w:w="120" w:type="dxa"/>
            </w:tcMar>
          </w:tcPr>
          <w:p>
            <w:pPr>
              <w:spacing w:after="0" w:line="252" w:lineRule="auto"/>
            </w:pPr>
            <w:r>
              <w:rPr>
                <w:rFonts w:ascii="Calibri" w:hAnsi="Calibri"/>
                <w:sz w:val="18"/>
              </w:rPr>
              <w:t>Offline layer</w:t>
            </w:r>
          </w:p>
        </w:tc>
        <w:tc>
          <w:tcPr>
            <w:tcW w:type="dxa" w:w="7460"/>
            <w:shd w:fill="FAFBFC"/>
            <w:vAlign w:val="center"/>
            <w:tcMar>
              <w:top w:w="90" w:type="dxa"/>
              <w:start w:w="120" w:type="dxa"/>
              <w:bottom w:w="90" w:type="dxa"/>
              <w:end w:w="120" w:type="dxa"/>
            </w:tcMar>
          </w:tcPr>
          <w:p>
            <w:pPr>
              <w:spacing w:after="0" w:line="252" w:lineRule="auto"/>
            </w:pPr>
            <w:r>
              <w:rPr>
                <w:rFonts w:ascii="Calibri" w:hAnsi="Calibri"/>
                <w:sz w:val="18"/>
              </w:rPr>
              <w:t>Service worker for shell/assets plus IndexedDB for content metadata, active attempts, and an idempotent event outbox.</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Calibri" w:hAnsi="Calibri"/>
                <w:sz w:val="18"/>
              </w:rPr>
              <w:t>Data/operations</w:t>
            </w:r>
          </w:p>
        </w:tc>
        <w:tc>
          <w:tcPr>
            <w:tcW w:type="dxa" w:w="7460"/>
            <w:vAlign w:val="center"/>
            <w:tcMar>
              <w:top w:w="90" w:type="dxa"/>
              <w:start w:w="120" w:type="dxa"/>
              <w:bottom w:w="90" w:type="dxa"/>
              <w:end w:w="120" w:type="dxa"/>
            </w:tcMar>
          </w:tcPr>
          <w:p>
            <w:pPr>
              <w:spacing w:after="0" w:line="252" w:lineRule="auto"/>
            </w:pPr>
            <w:r>
              <w:rPr>
                <w:rFonts w:ascii="Calibri" w:hAnsi="Calibri"/>
                <w:sz w:val="18"/>
              </w:rPr>
              <w:t>PostgreSQL, object storage/CDN for versioned assets, Redis/background jobs where needed, monitoring, and pseudonymized research exports.</w:t>
            </w:r>
          </w:p>
        </w:tc>
      </w:tr>
    </w:tbl>
    <w:p>
      <w:pPr>
        <w:spacing w:after="0"/>
      </w:pPr>
    </w:p>
    <w:tbl>
      <w:tblPr>
        <w:tblW w:type="dxa" w:w="9360"/>
        <w:jc w:val="left"/>
        <w:tblLayout w:type="fixed"/>
        <w:tblLook w:firstColumn="1" w:firstRow="1" w:lastColumn="0" w:lastRow="0" w:noHBand="0" w:noVBand="1" w:val="04A0"/>
        <w:tblInd w:w="120" w:type="dxa"/>
        <w:tblBorders>
          <w:top w:val="single" w:sz="4" w:color="E7F2EC"/>
          <w:left w:val="single" w:sz="4" w:color="E7F2EC"/>
          <w:bottom w:val="single" w:sz="4" w:color="E7F2EC"/>
          <w:right w:val="single" w:sz="4" w:color="E7F2EC"/>
          <w:insideH w:val="single" w:sz="4" w:color="E7F2EC"/>
          <w:insideV w:val="single" w:sz="4" w:color="E7F2EC"/>
        </w:tblBorders>
      </w:tblPr>
      <w:tblGrid>
        <w:gridCol w:w="9360"/>
      </w:tblGrid>
      <w:tr>
        <w:trPr>
          <w:tblHeader w:val="true"/>
          <w:cantSplit w:val="true"/>
        </w:trPr>
        <w:tc>
          <w:tcPr>
            <w:tcW w:type="dxa" w:w="9360"/>
            <w:vAlign w:val="center"/>
            <w:tcMar>
              <w:top w:w="90" w:type="dxa"/>
              <w:start w:w="120" w:type="dxa"/>
              <w:bottom w:w="90" w:type="dxa"/>
              <w:end w:w="120" w:type="dxa"/>
            </w:tcMar>
            <w:shd w:fill="E7F2EC"/>
          </w:tcPr>
          <w:p>
            <w:pPr>
              <w:spacing w:after="0"/>
            </w:pPr>
            <w:r>
              <w:rPr>
                <w:rFonts w:ascii="Calibri" w:hAnsi="Calibri"/>
                <w:b/>
                <w:color w:val="17365D"/>
              </w:rPr>
              <w:t xml:space="preserve">Architecture decision: </w:t>
            </w:r>
            <w:r>
              <w:rPr>
                <w:rFonts w:ascii="Calibri" w:hAnsi="Calibri"/>
                <w:color w:val="1A1A1A"/>
              </w:rPr>
              <w:t>Do not introduce microservices, a new backend language, or a mandatory LRS merely to match the dissertation diagram. The research specifies logical services, not a requirement that every box be independently deployed.</w:t>
            </w:r>
          </w:p>
        </w:tc>
      </w:tr>
    </w:tbl>
    <w:p>
      <w:pPr>
        <w:spacing w:after="0"/>
      </w:pPr>
    </w:p>
    <w:p>
      <w:pPr>
        <w:pStyle w:val="Heading1"/>
      </w:pPr>
      <w:r>
        <w:t>8. Technical-school AR use cases</w:t>
      </w:r>
    </w:p>
    <w:tbl>
      <w:tblPr>
        <w:tblStyle w:val="TableGrid"/>
        <w:tblW w:type="dxa" w:w="9360"/>
        <w:tblLayout w:type="fixed"/>
        <w:tblLook w:firstColumn="1" w:firstRow="1" w:lastColumn="0" w:lastRow="0" w:noHBand="0" w:noVBand="1" w:val="04A0"/>
        <w:jc w:val="left"/>
        <w:tblInd w:w="120" w:type="dxa"/>
        <w:tblBorders>
          <w:top w:val="single" w:sz="5" w:color="C7CDD4"/>
          <w:left w:val="single" w:sz="5" w:color="C7CDD4"/>
          <w:bottom w:val="single" w:sz="5" w:color="C7CDD4"/>
          <w:right w:val="single" w:sz="5" w:color="C7CDD4"/>
          <w:insideH w:val="single" w:sz="5" w:color="C7CDD4"/>
          <w:insideV w:val="single" w:sz="5" w:color="C7CDD4"/>
        </w:tblBorders>
      </w:tblPr>
      <w:tblGrid>
        <w:gridCol w:w="1700"/>
        <w:gridCol w:w="2750"/>
        <w:gridCol w:w="2800"/>
        <w:gridCol w:w="2110"/>
      </w:tblGrid>
      <w:tr>
        <w:trPr>
          <w:tblHeader w:val="true"/>
        </w:trPr>
        <w:tc>
          <w:tcPr>
            <w:tcW w:type="dxa" w:w="1700"/>
            <w:vAlign w:val="center"/>
            <w:tcMar>
              <w:top w:w="90" w:type="dxa"/>
              <w:start w:w="120" w:type="dxa"/>
              <w:bottom w:w="90" w:type="dxa"/>
              <w:end w:w="120" w:type="dxa"/>
            </w:tcMar>
            <w:shd w:fill="17365D"/>
          </w:tcPr>
          <w:p>
            <w:pPr>
              <w:spacing w:after="0"/>
              <w:jc w:val="left"/>
            </w:pPr>
            <w:r>
              <w:rPr>
                <w:rFonts w:ascii="Calibri" w:hAnsi="Calibri"/>
                <w:b/>
                <w:color w:val="FFFFFF"/>
                <w:sz w:val="16"/>
              </w:rPr>
              <w:t>Use case</w:t>
            </w:r>
          </w:p>
        </w:tc>
        <w:tc>
          <w:tcPr>
            <w:tcW w:type="dxa" w:w="2750"/>
            <w:vAlign w:val="center"/>
            <w:tcMar>
              <w:top w:w="90" w:type="dxa"/>
              <w:start w:w="120" w:type="dxa"/>
              <w:bottom w:w="90" w:type="dxa"/>
              <w:end w:w="120" w:type="dxa"/>
            </w:tcMar>
            <w:shd w:fill="17365D"/>
          </w:tcPr>
          <w:p>
            <w:pPr>
              <w:spacing w:after="0"/>
              <w:jc w:val="left"/>
            </w:pPr>
            <w:r>
              <w:rPr>
                <w:rFonts w:ascii="Calibri" w:hAnsi="Calibri"/>
                <w:b/>
                <w:color w:val="FFFFFF"/>
                <w:sz w:val="16"/>
              </w:rPr>
              <w:t>AR value</w:t>
            </w:r>
          </w:p>
        </w:tc>
        <w:tc>
          <w:tcPr>
            <w:tcW w:type="dxa" w:w="2800"/>
            <w:vAlign w:val="center"/>
            <w:tcMar>
              <w:top w:w="90" w:type="dxa"/>
              <w:start w:w="120" w:type="dxa"/>
              <w:bottom w:w="90" w:type="dxa"/>
              <w:end w:w="120" w:type="dxa"/>
            </w:tcMar>
            <w:shd w:fill="17365D"/>
          </w:tcPr>
          <w:p>
            <w:pPr>
              <w:spacing w:after="0"/>
              <w:jc w:val="left"/>
            </w:pPr>
            <w:r>
              <w:rPr>
                <w:rFonts w:ascii="Calibri" w:hAnsi="Calibri"/>
                <w:b/>
                <w:color w:val="FFFFFF"/>
                <w:sz w:val="16"/>
              </w:rPr>
              <w:t>Evidence to capture</w:t>
            </w:r>
          </w:p>
        </w:tc>
        <w:tc>
          <w:tcPr>
            <w:tcW w:type="dxa" w:w="2110"/>
            <w:vAlign w:val="center"/>
            <w:tcMar>
              <w:top w:w="90" w:type="dxa"/>
              <w:start w:w="120" w:type="dxa"/>
              <w:bottom w:w="90" w:type="dxa"/>
              <w:end w:w="120" w:type="dxa"/>
            </w:tcMar>
            <w:shd w:fill="17365D"/>
          </w:tcPr>
          <w:p>
            <w:pPr>
              <w:spacing w:after="0"/>
              <w:jc w:val="left"/>
            </w:pPr>
            <w:r>
              <w:rPr>
                <w:rFonts w:ascii="Calibri" w:hAnsi="Calibri"/>
                <w:b/>
                <w:color w:val="FFFFFF"/>
                <w:sz w:val="16"/>
              </w:rPr>
              <w:t>Safety boundary</w:t>
            </w:r>
          </w:p>
        </w:tc>
      </w:tr>
      <w:tr>
        <w:trPr>
          <w:cantSplit w:val="true"/>
        </w:trPr>
        <w:tc>
          <w:tcPr>
            <w:tcW w:type="dxa" w:w="1700"/>
            <w:vAlign w:val="center"/>
            <w:tcMar>
              <w:top w:w="90" w:type="dxa"/>
              <w:start w:w="120" w:type="dxa"/>
              <w:bottom w:w="90" w:type="dxa"/>
              <w:end w:w="120" w:type="dxa"/>
            </w:tcMar>
          </w:tcPr>
          <w:p>
            <w:pPr>
              <w:spacing w:after="0" w:line="252" w:lineRule="auto"/>
            </w:pPr>
            <w:r>
              <w:rPr>
                <w:rFonts w:ascii="Calibri" w:hAnsi="Calibri"/>
                <w:sz w:val="16"/>
              </w:rPr>
              <w:t>Battery inspection</w:t>
            </w:r>
          </w:p>
        </w:tc>
        <w:tc>
          <w:tcPr>
            <w:tcW w:type="dxa" w:w="2750"/>
            <w:vAlign w:val="center"/>
            <w:tcMar>
              <w:top w:w="90" w:type="dxa"/>
              <w:start w:w="120" w:type="dxa"/>
              <w:bottom w:w="90" w:type="dxa"/>
              <w:end w:w="120" w:type="dxa"/>
            </w:tcMar>
          </w:tcPr>
          <w:p>
            <w:pPr>
              <w:spacing w:after="0" w:line="252" w:lineRule="auto"/>
            </w:pPr>
            <w:r>
              <w:rPr>
                <w:rFonts w:ascii="Calibri" w:hAnsi="Calibri"/>
                <w:sz w:val="16"/>
              </w:rPr>
              <w:t>Overlay terminal identity, meter setup, safe connection order, and voltage range on a training battery.</w:t>
            </w:r>
          </w:p>
        </w:tc>
        <w:tc>
          <w:tcPr>
            <w:tcW w:type="dxa" w:w="2800"/>
            <w:vAlign w:val="center"/>
            <w:tcMar>
              <w:top w:w="90" w:type="dxa"/>
              <w:start w:w="120" w:type="dxa"/>
              <w:bottom w:w="90" w:type="dxa"/>
              <w:end w:w="120" w:type="dxa"/>
            </w:tcMar>
          </w:tcPr>
          <w:p>
            <w:pPr>
              <w:spacing w:after="0" w:line="252" w:lineRule="auto"/>
            </w:pPr>
            <w:r>
              <w:rPr>
                <w:rFonts w:ascii="Calibri" w:hAnsi="Calibri"/>
                <w:sz w:val="16"/>
              </w:rPr>
              <w:t>Placement, action order, measurement, hints, safety errors, recognition quality.</w:t>
            </w:r>
          </w:p>
        </w:tc>
        <w:tc>
          <w:tcPr>
            <w:tcW w:type="dxa" w:w="2110"/>
            <w:vAlign w:val="center"/>
            <w:tcMar>
              <w:top w:w="90" w:type="dxa"/>
              <w:start w:w="120" w:type="dxa"/>
              <w:bottom w:w="90" w:type="dxa"/>
              <w:end w:w="120" w:type="dxa"/>
            </w:tcMar>
          </w:tcPr>
          <w:p>
            <w:pPr>
              <w:spacing w:after="0" w:line="252" w:lineRule="auto"/>
            </w:pPr>
            <w:r>
              <w:rPr>
                <w:rFonts w:ascii="Calibri" w:hAnsi="Calibri"/>
                <w:sz w:val="16"/>
              </w:rPr>
              <w:t>Use de-energized or instructor-approved training rigs; no unsupervised live-vehicle work.</w:t>
            </w:r>
          </w:p>
        </w:tc>
      </w:tr>
      <w:tr>
        <w:trPr>
          <w:cantSplit w:val="true"/>
        </w:trPr>
        <w:tc>
          <w:tcPr>
            <w:tcW w:type="dxa" w:w="1700"/>
            <w:shd w:fill="FAFBFC"/>
            <w:vAlign w:val="center"/>
            <w:tcMar>
              <w:top w:w="90" w:type="dxa"/>
              <w:start w:w="120" w:type="dxa"/>
              <w:bottom w:w="90" w:type="dxa"/>
              <w:end w:w="120" w:type="dxa"/>
            </w:tcMar>
          </w:tcPr>
          <w:p>
            <w:pPr>
              <w:spacing w:after="0" w:line="252" w:lineRule="auto"/>
            </w:pPr>
            <w:r>
              <w:rPr>
                <w:rFonts w:ascii="Calibri" w:hAnsi="Calibri"/>
                <w:sz w:val="16"/>
              </w:rPr>
              <w:t>Electrical wiring</w:t>
            </w:r>
          </w:p>
        </w:tc>
        <w:tc>
          <w:tcPr>
            <w:tcW w:type="dxa" w:w="2750"/>
            <w:shd w:fill="FAFBFC"/>
            <w:vAlign w:val="center"/>
            <w:tcMar>
              <w:top w:w="90" w:type="dxa"/>
              <w:start w:w="120" w:type="dxa"/>
              <w:bottom w:w="90" w:type="dxa"/>
              <w:end w:w="120" w:type="dxa"/>
            </w:tcMar>
          </w:tcPr>
          <w:p>
            <w:pPr>
              <w:spacing w:after="0" w:line="252" w:lineRule="auto"/>
            </w:pPr>
            <w:r>
              <w:rPr>
                <w:rFonts w:ascii="Calibri" w:hAnsi="Calibri"/>
                <w:sz w:val="16"/>
              </w:rPr>
              <w:t>Identify components and show the next verified connection on a physical panel.</w:t>
            </w:r>
          </w:p>
        </w:tc>
        <w:tc>
          <w:tcPr>
            <w:tcW w:type="dxa" w:w="2800"/>
            <w:shd w:fill="FAFBFC"/>
            <w:vAlign w:val="center"/>
            <w:tcMar>
              <w:top w:w="90" w:type="dxa"/>
              <w:start w:w="120" w:type="dxa"/>
              <w:bottom w:w="90" w:type="dxa"/>
              <w:end w:w="120" w:type="dxa"/>
            </w:tcMar>
          </w:tcPr>
          <w:p>
            <w:pPr>
              <w:spacing w:after="0" w:line="252" w:lineRule="auto"/>
            </w:pPr>
            <w:r>
              <w:rPr>
                <w:rFonts w:ascii="Calibri" w:hAnsi="Calibri"/>
                <w:sz w:val="16"/>
              </w:rPr>
              <w:t>Component recognition, connection sequence, continuity/voltage tolerance, correction path.</w:t>
            </w:r>
          </w:p>
        </w:tc>
        <w:tc>
          <w:tcPr>
            <w:tcW w:type="dxa" w:w="2110"/>
            <w:shd w:fill="FAFBFC"/>
            <w:vAlign w:val="center"/>
            <w:tcMar>
              <w:top w:w="90" w:type="dxa"/>
              <w:start w:w="120" w:type="dxa"/>
              <w:bottom w:w="90" w:type="dxa"/>
              <w:end w:w="120" w:type="dxa"/>
            </w:tcMar>
          </w:tcPr>
          <w:p>
            <w:pPr>
              <w:spacing w:after="0" w:line="252" w:lineRule="auto"/>
            </w:pPr>
            <w:r>
              <w:rPr>
                <w:rFonts w:ascii="Calibri" w:hAnsi="Calibri"/>
                <w:sz w:val="16"/>
              </w:rPr>
              <w:t>Isolate power until instructor authorizes energization.</w:t>
            </w:r>
          </w:p>
        </w:tc>
      </w:tr>
      <w:tr>
        <w:trPr>
          <w:cantSplit w:val="true"/>
        </w:trPr>
        <w:tc>
          <w:tcPr>
            <w:tcW w:type="dxa" w:w="1700"/>
            <w:vAlign w:val="center"/>
            <w:tcMar>
              <w:top w:w="90" w:type="dxa"/>
              <w:start w:w="120" w:type="dxa"/>
              <w:bottom w:w="90" w:type="dxa"/>
              <w:end w:w="120" w:type="dxa"/>
            </w:tcMar>
          </w:tcPr>
          <w:p>
            <w:pPr>
              <w:spacing w:after="0" w:line="252" w:lineRule="auto"/>
            </w:pPr>
            <w:r>
              <w:rPr>
                <w:rFonts w:ascii="Calibri" w:hAnsi="Calibri"/>
                <w:sz w:val="16"/>
              </w:rPr>
              <w:t>Mechanical assembly</w:t>
            </w:r>
          </w:p>
        </w:tc>
        <w:tc>
          <w:tcPr>
            <w:tcW w:type="dxa" w:w="2750"/>
            <w:vAlign w:val="center"/>
            <w:tcMar>
              <w:top w:w="90" w:type="dxa"/>
              <w:start w:w="120" w:type="dxa"/>
              <w:bottom w:w="90" w:type="dxa"/>
              <w:end w:w="120" w:type="dxa"/>
            </w:tcMar>
          </w:tcPr>
          <w:p>
            <w:pPr>
              <w:spacing w:after="0" w:line="252" w:lineRule="auto"/>
            </w:pPr>
            <w:r>
              <w:rPr>
                <w:rFonts w:ascii="Calibri" w:hAnsi="Calibri"/>
                <w:sz w:val="16"/>
              </w:rPr>
              <w:t>Align part orientation, fastener sequence, and torque specification with the real assembly.</w:t>
            </w:r>
          </w:p>
        </w:tc>
        <w:tc>
          <w:tcPr>
            <w:tcW w:type="dxa" w:w="2800"/>
            <w:vAlign w:val="center"/>
            <w:tcMar>
              <w:top w:w="90" w:type="dxa"/>
              <w:start w:w="120" w:type="dxa"/>
              <w:bottom w:w="90" w:type="dxa"/>
              <w:end w:w="120" w:type="dxa"/>
            </w:tcMar>
          </w:tcPr>
          <w:p>
            <w:pPr>
              <w:spacing w:after="0" w:line="252" w:lineRule="auto"/>
            </w:pPr>
            <w:r>
              <w:rPr>
                <w:rFonts w:ascii="Calibri" w:hAnsi="Calibri"/>
                <w:sz w:val="16"/>
              </w:rPr>
              <w:t>Part/anchor identity, order, torque range, rework, duration.</w:t>
            </w:r>
          </w:p>
        </w:tc>
        <w:tc>
          <w:tcPr>
            <w:tcW w:type="dxa" w:w="2110"/>
            <w:vAlign w:val="center"/>
            <w:tcMar>
              <w:top w:w="90" w:type="dxa"/>
              <w:start w:w="120" w:type="dxa"/>
              <w:bottom w:w="90" w:type="dxa"/>
              <w:end w:w="120" w:type="dxa"/>
            </w:tcMar>
          </w:tcPr>
          <w:p>
            <w:pPr>
              <w:spacing w:after="0" w:line="252" w:lineRule="auto"/>
            </w:pPr>
            <w:r>
              <w:rPr>
                <w:rFonts w:ascii="Calibri" w:hAnsi="Calibri"/>
                <w:sz w:val="16"/>
              </w:rPr>
              <w:t>Use guards, tool checks, and instructor-controlled machinery.</w:t>
            </w:r>
          </w:p>
        </w:tc>
      </w:tr>
      <w:tr>
        <w:trPr>
          <w:cantSplit w:val="true"/>
        </w:trPr>
        <w:tc>
          <w:tcPr>
            <w:tcW w:type="dxa" w:w="1700"/>
            <w:shd w:fill="FAFBFC"/>
            <w:vAlign w:val="center"/>
            <w:tcMar>
              <w:top w:w="90" w:type="dxa"/>
              <w:start w:w="120" w:type="dxa"/>
              <w:bottom w:w="90" w:type="dxa"/>
              <w:end w:w="120" w:type="dxa"/>
            </w:tcMar>
          </w:tcPr>
          <w:p>
            <w:pPr>
              <w:spacing w:after="0" w:line="252" w:lineRule="auto"/>
            </w:pPr>
            <w:r>
              <w:rPr>
                <w:rFonts w:ascii="Calibri" w:hAnsi="Calibri"/>
                <w:sz w:val="16"/>
              </w:rPr>
              <w:t>Plumbing/HVAC diagnosis</w:t>
            </w:r>
          </w:p>
        </w:tc>
        <w:tc>
          <w:tcPr>
            <w:tcW w:type="dxa" w:w="2750"/>
            <w:shd w:fill="FAFBFC"/>
            <w:vAlign w:val="center"/>
            <w:tcMar>
              <w:top w:w="90" w:type="dxa"/>
              <w:start w:w="120" w:type="dxa"/>
              <w:bottom w:w="90" w:type="dxa"/>
              <w:end w:w="120" w:type="dxa"/>
            </w:tcMar>
          </w:tcPr>
          <w:p>
            <w:pPr>
              <w:spacing w:after="0" w:line="252" w:lineRule="auto"/>
            </w:pPr>
            <w:r>
              <w:rPr>
                <w:rFonts w:ascii="Calibri" w:hAnsi="Calibri"/>
                <w:sz w:val="16"/>
              </w:rPr>
              <w:t>Label flow direction, valves, gauges, and fault points on a training installation.</w:t>
            </w:r>
          </w:p>
        </w:tc>
        <w:tc>
          <w:tcPr>
            <w:tcW w:type="dxa" w:w="2800"/>
            <w:shd w:fill="FAFBFC"/>
            <w:vAlign w:val="center"/>
            <w:tcMar>
              <w:top w:w="90" w:type="dxa"/>
              <w:start w:w="120" w:type="dxa"/>
              <w:bottom w:w="90" w:type="dxa"/>
              <w:end w:w="120" w:type="dxa"/>
            </w:tcMar>
          </w:tcPr>
          <w:p>
            <w:pPr>
              <w:spacing w:after="0" w:line="252" w:lineRule="auto"/>
            </w:pPr>
            <w:r>
              <w:rPr>
                <w:rFonts w:ascii="Calibri" w:hAnsi="Calibri"/>
                <w:sz w:val="16"/>
              </w:rPr>
              <w:t>Inspection choices, readings, diagnosis, remediation.</w:t>
            </w:r>
          </w:p>
        </w:tc>
        <w:tc>
          <w:tcPr>
            <w:tcW w:type="dxa" w:w="2110"/>
            <w:shd w:fill="FAFBFC"/>
            <w:vAlign w:val="center"/>
            <w:tcMar>
              <w:top w:w="90" w:type="dxa"/>
              <w:start w:w="120" w:type="dxa"/>
              <w:bottom w:w="90" w:type="dxa"/>
              <w:end w:w="120" w:type="dxa"/>
            </w:tcMar>
          </w:tcPr>
          <w:p>
            <w:pPr>
              <w:spacing w:after="0" w:line="252" w:lineRule="auto"/>
            </w:pPr>
            <w:r>
              <w:rPr>
                <w:rFonts w:ascii="Calibri" w:hAnsi="Calibri"/>
                <w:sz w:val="16"/>
              </w:rPr>
              <w:t>No pressurized or hazardous system intervention without supervision.</w:t>
            </w:r>
          </w:p>
        </w:tc>
      </w:tr>
      <w:tr>
        <w:trPr>
          <w:cantSplit w:val="true"/>
        </w:trPr>
        <w:tc>
          <w:tcPr>
            <w:tcW w:type="dxa" w:w="1700"/>
            <w:vAlign w:val="center"/>
            <w:tcMar>
              <w:top w:w="90" w:type="dxa"/>
              <w:start w:w="120" w:type="dxa"/>
              <w:bottom w:w="90" w:type="dxa"/>
              <w:end w:w="120" w:type="dxa"/>
            </w:tcMar>
          </w:tcPr>
          <w:p>
            <w:pPr>
              <w:spacing w:after="0" w:line="252" w:lineRule="auto"/>
            </w:pPr>
            <w:r>
              <w:rPr>
                <w:rFonts w:ascii="Calibri" w:hAnsi="Calibri"/>
                <w:sz w:val="16"/>
              </w:rPr>
              <w:t>Construction safety</w:t>
            </w:r>
          </w:p>
        </w:tc>
        <w:tc>
          <w:tcPr>
            <w:tcW w:type="dxa" w:w="2750"/>
            <w:vAlign w:val="center"/>
            <w:tcMar>
              <w:top w:w="90" w:type="dxa"/>
              <w:start w:w="120" w:type="dxa"/>
              <w:bottom w:w="90" w:type="dxa"/>
              <w:end w:w="120" w:type="dxa"/>
            </w:tcMar>
          </w:tcPr>
          <w:p>
            <w:pPr>
              <w:spacing w:after="0" w:line="252" w:lineRule="auto"/>
            </w:pPr>
            <w:r>
              <w:rPr>
                <w:rFonts w:ascii="Calibri" w:hAnsi="Calibri"/>
                <w:sz w:val="16"/>
              </w:rPr>
              <w:t>Reveal hazard zones, PPE requirements, and inspection points in a staged workspace.</w:t>
            </w:r>
          </w:p>
        </w:tc>
        <w:tc>
          <w:tcPr>
            <w:tcW w:type="dxa" w:w="2800"/>
            <w:vAlign w:val="center"/>
            <w:tcMar>
              <w:top w:w="90" w:type="dxa"/>
              <w:start w:w="120" w:type="dxa"/>
              <w:bottom w:w="90" w:type="dxa"/>
              <w:end w:w="120" w:type="dxa"/>
            </w:tcMar>
          </w:tcPr>
          <w:p>
            <w:pPr>
              <w:spacing w:after="0" w:line="252" w:lineRule="auto"/>
            </w:pPr>
            <w:r>
              <w:rPr>
                <w:rFonts w:ascii="Calibri" w:hAnsi="Calibri"/>
                <w:sz w:val="16"/>
              </w:rPr>
              <w:t>Hazard recognition, response time, missed hazards, feedback.</w:t>
            </w:r>
          </w:p>
        </w:tc>
        <w:tc>
          <w:tcPr>
            <w:tcW w:type="dxa" w:w="2110"/>
            <w:vAlign w:val="center"/>
            <w:tcMar>
              <w:top w:w="90" w:type="dxa"/>
              <w:start w:w="120" w:type="dxa"/>
              <w:bottom w:w="90" w:type="dxa"/>
              <w:end w:w="120" w:type="dxa"/>
            </w:tcMar>
          </w:tcPr>
          <w:p>
            <w:pPr>
              <w:spacing w:after="0" w:line="252" w:lineRule="auto"/>
            </w:pPr>
            <w:r>
              <w:rPr>
                <w:rFonts w:ascii="Calibri" w:hAnsi="Calibri"/>
                <w:sz w:val="16"/>
              </w:rPr>
              <w:t>AR supplements, never replaces, site induction and supervisor authority.</w:t>
            </w:r>
          </w:p>
        </w:tc>
      </w:tr>
    </w:tbl>
    <w:p>
      <w:pPr>
        <w:spacing w:after="0"/>
      </w:pPr>
    </w:p>
    <w:p>
      <w:pPr>
        <w:pStyle w:val="Heading2"/>
      </w:pPr>
      <w:r>
        <w:t>Recommended first AR module</w:t>
      </w:r>
    </w:p>
    <w:p>
      <w:r>
        <w:rPr>
          <w:rFonts w:ascii="Calibri" w:hAnsi="Calibri"/>
        </w:rPr>
        <w:t>Convert the existing battery lesson rather than starting a new trade. Use a printed fiducial marker or known training rig for the first controlled version, then add markerless surface placement after the evidence and fallback path are stable. This reuses OPedu's published steps, tools, hazards, tolerances, grading policy, and instructor timeline while introducing only the AR-specific layer.</w:t>
      </w:r>
    </w:p>
    <w:p>
      <w:pPr>
        <w:pStyle w:val="Heading1"/>
      </w:pPr>
      <w:r>
        <w:t>9. Prioritized way forward</w:t>
      </w:r>
    </w:p>
    <w:tbl>
      <w:tblPr>
        <w:tblStyle w:val="TableGrid"/>
        <w:tblW w:type="dxa" w:w="9360"/>
        <w:tblLayout w:type="fixed"/>
        <w:tblLook w:firstColumn="1" w:firstRow="1" w:lastColumn="0" w:lastRow="0" w:noHBand="0" w:noVBand="1" w:val="04A0"/>
        <w:jc w:val="left"/>
        <w:tblInd w:w="120" w:type="dxa"/>
        <w:tblBorders>
          <w:top w:val="single" w:sz="5" w:color="C7CDD4"/>
          <w:left w:val="single" w:sz="5" w:color="C7CDD4"/>
          <w:bottom w:val="single" w:sz="5" w:color="C7CDD4"/>
          <w:right w:val="single" w:sz="5" w:color="C7CDD4"/>
          <w:insideH w:val="single" w:sz="5" w:color="C7CDD4"/>
          <w:insideV w:val="single" w:sz="5" w:color="C7CDD4"/>
        </w:tblBorders>
      </w:tblPr>
      <w:tblGrid>
        <w:gridCol w:w="1200"/>
        <w:gridCol w:w="1900"/>
        <w:gridCol w:w="3900"/>
        <w:gridCol w:w="2360"/>
      </w:tblGrid>
      <w:tr>
        <w:trPr>
          <w:tblHeader w:val="true"/>
        </w:trPr>
        <w:tc>
          <w:tcPr>
            <w:tcW w:type="dxa" w:w="1200"/>
            <w:vAlign w:val="center"/>
            <w:tcMar>
              <w:top w:w="90" w:type="dxa"/>
              <w:start w:w="120" w:type="dxa"/>
              <w:bottom w:w="90" w:type="dxa"/>
              <w:end w:w="120" w:type="dxa"/>
            </w:tcMar>
            <w:shd w:fill="17365D"/>
          </w:tcPr>
          <w:p>
            <w:pPr>
              <w:spacing w:after="0"/>
              <w:jc w:val="left"/>
            </w:pPr>
            <w:r>
              <w:rPr>
                <w:rFonts w:ascii="Calibri" w:hAnsi="Calibri"/>
                <w:b/>
                <w:color w:val="FFFFFF"/>
                <w:sz w:val="16"/>
              </w:rPr>
              <w:t>Phase</w:t>
            </w:r>
          </w:p>
        </w:tc>
        <w:tc>
          <w:tcPr>
            <w:tcW w:type="dxa" w:w="1900"/>
            <w:vAlign w:val="center"/>
            <w:tcMar>
              <w:top w:w="90" w:type="dxa"/>
              <w:start w:w="120" w:type="dxa"/>
              <w:bottom w:w="90" w:type="dxa"/>
              <w:end w:w="120" w:type="dxa"/>
            </w:tcMar>
            <w:shd w:fill="17365D"/>
          </w:tcPr>
          <w:p>
            <w:pPr>
              <w:spacing w:after="0"/>
              <w:jc w:val="left"/>
            </w:pPr>
            <w:r>
              <w:rPr>
                <w:rFonts w:ascii="Calibri" w:hAnsi="Calibri"/>
                <w:b/>
                <w:color w:val="FFFFFF"/>
                <w:sz w:val="16"/>
              </w:rPr>
              <w:t>Outcome</w:t>
            </w:r>
          </w:p>
        </w:tc>
        <w:tc>
          <w:tcPr>
            <w:tcW w:type="dxa" w:w="3900"/>
            <w:vAlign w:val="center"/>
            <w:tcMar>
              <w:top w:w="90" w:type="dxa"/>
              <w:start w:w="120" w:type="dxa"/>
              <w:bottom w:w="90" w:type="dxa"/>
              <w:end w:w="120" w:type="dxa"/>
            </w:tcMar>
            <w:shd w:fill="17365D"/>
          </w:tcPr>
          <w:p>
            <w:pPr>
              <w:spacing w:after="0"/>
              <w:jc w:val="left"/>
            </w:pPr>
            <w:r>
              <w:rPr>
                <w:rFonts w:ascii="Calibri" w:hAnsi="Calibri"/>
                <w:b/>
                <w:color w:val="FFFFFF"/>
                <w:sz w:val="16"/>
              </w:rPr>
              <w:t>Key deliverables</w:t>
            </w:r>
          </w:p>
        </w:tc>
        <w:tc>
          <w:tcPr>
            <w:tcW w:type="dxa" w:w="2360"/>
            <w:vAlign w:val="center"/>
            <w:tcMar>
              <w:top w:w="90" w:type="dxa"/>
              <w:start w:w="120" w:type="dxa"/>
              <w:bottom w:w="90" w:type="dxa"/>
              <w:end w:w="120" w:type="dxa"/>
            </w:tcMar>
            <w:shd w:fill="17365D"/>
          </w:tcPr>
          <w:p>
            <w:pPr>
              <w:spacing w:after="0"/>
              <w:jc w:val="left"/>
            </w:pPr>
            <w:r>
              <w:rPr>
                <w:rFonts w:ascii="Calibri" w:hAnsi="Calibri"/>
                <w:b/>
                <w:color w:val="FFFFFF"/>
                <w:sz w:val="16"/>
              </w:rPr>
              <w:t>Exit gate</w:t>
            </w:r>
          </w:p>
        </w:tc>
      </w:tr>
      <w:tr>
        <w:trPr>
          <w:cantSplit w:val="true"/>
        </w:trPr>
        <w:tc>
          <w:tcPr>
            <w:tcW w:type="dxa" w:w="1200"/>
            <w:vAlign w:val="center"/>
            <w:tcMar>
              <w:top w:w="90" w:type="dxa"/>
              <w:start w:w="120" w:type="dxa"/>
              <w:bottom w:w="90" w:type="dxa"/>
              <w:end w:w="120" w:type="dxa"/>
            </w:tcMar>
          </w:tcPr>
          <w:p>
            <w:pPr>
              <w:spacing w:after="0" w:line="252" w:lineRule="auto"/>
            </w:pPr>
            <w:r>
              <w:rPr>
                <w:rFonts w:ascii="Calibri" w:hAnsi="Calibri"/>
                <w:sz w:val="16"/>
              </w:rPr>
              <w:t>0. Definition and validation</w:t>
            </w:r>
          </w:p>
        </w:tc>
        <w:tc>
          <w:tcPr>
            <w:tcW w:type="dxa" w:w="1900"/>
            <w:vAlign w:val="center"/>
            <w:tcMar>
              <w:top w:w="90" w:type="dxa"/>
              <w:start w:w="120" w:type="dxa"/>
              <w:bottom w:w="90" w:type="dxa"/>
              <w:end w:w="120" w:type="dxa"/>
            </w:tcMar>
          </w:tcPr>
          <w:p>
            <w:pPr>
              <w:spacing w:after="0" w:line="252" w:lineRule="auto"/>
            </w:pPr>
            <w:r>
              <w:rPr>
                <w:rFonts w:ascii="Calibri" w:hAnsi="Calibri"/>
                <w:sz w:val="16"/>
              </w:rPr>
              <w:t>A controlled, assessable AR brief</w:t>
            </w:r>
          </w:p>
        </w:tc>
        <w:tc>
          <w:tcPr>
            <w:tcW w:type="dxa" w:w="3900"/>
            <w:vAlign w:val="center"/>
            <w:tcMar>
              <w:top w:w="90" w:type="dxa"/>
              <w:start w:w="120" w:type="dxa"/>
              <w:bottom w:w="90" w:type="dxa"/>
              <w:end w:w="120" w:type="dxa"/>
            </w:tcMar>
          </w:tcPr>
          <w:p>
            <w:pPr>
              <w:spacing w:after="0" w:line="252" w:lineRule="auto"/>
            </w:pPr>
            <w:r>
              <w:rPr>
                <w:rFonts w:ascii="Calibri" w:hAnsi="Calibri"/>
                <w:sz w:val="16"/>
              </w:rPr>
              <w:t>Curriculum source; qualified instructor; battery training rig; supported device baseline; consent/data map; AR value hypothesis.</w:t>
            </w:r>
          </w:p>
        </w:tc>
        <w:tc>
          <w:tcPr>
            <w:tcW w:type="dxa" w:w="2360"/>
            <w:vAlign w:val="center"/>
            <w:tcMar>
              <w:top w:w="90" w:type="dxa"/>
              <w:start w:w="120" w:type="dxa"/>
              <w:bottom w:w="90" w:type="dxa"/>
              <w:end w:w="120" w:type="dxa"/>
            </w:tcMar>
          </w:tcPr>
          <w:p>
            <w:pPr>
              <w:spacing w:after="0" w:line="252" w:lineRule="auto"/>
            </w:pPr>
            <w:r>
              <w:rPr>
                <w:rFonts w:ascii="Calibri" w:hAnsi="Calibri"/>
                <w:sz w:val="16"/>
              </w:rPr>
              <w:t>Signed content, safety, device, and measurement brief.</w:t>
            </w:r>
          </w:p>
        </w:tc>
      </w:tr>
      <w:tr>
        <w:trPr>
          <w:cantSplit w:val="true"/>
        </w:trPr>
        <w:tc>
          <w:tcPr>
            <w:tcW w:type="dxa" w:w="1200"/>
            <w:shd w:fill="FAFBFC"/>
            <w:vAlign w:val="center"/>
            <w:tcMar>
              <w:top w:w="90" w:type="dxa"/>
              <w:start w:w="120" w:type="dxa"/>
              <w:bottom w:w="90" w:type="dxa"/>
              <w:end w:w="120" w:type="dxa"/>
            </w:tcMar>
          </w:tcPr>
          <w:p>
            <w:pPr>
              <w:spacing w:after="0" w:line="252" w:lineRule="auto"/>
            </w:pPr>
            <w:r>
              <w:rPr>
                <w:rFonts w:ascii="Calibri" w:hAnsi="Calibri"/>
                <w:sz w:val="16"/>
              </w:rPr>
              <w:t>1. AR minimum vertical slice</w:t>
            </w:r>
          </w:p>
        </w:tc>
        <w:tc>
          <w:tcPr>
            <w:tcW w:type="dxa" w:w="1900"/>
            <w:shd w:fill="FAFBFC"/>
            <w:vAlign w:val="center"/>
            <w:tcMar>
              <w:top w:w="90" w:type="dxa"/>
              <w:start w:w="120" w:type="dxa"/>
              <w:bottom w:w="90" w:type="dxa"/>
              <w:end w:w="120" w:type="dxa"/>
            </w:tcMar>
          </w:tcPr>
          <w:p>
            <w:pPr>
              <w:spacing w:after="0" w:line="252" w:lineRule="auto"/>
            </w:pPr>
            <w:r>
              <w:rPr>
                <w:rFonts w:ascii="Calibri" w:hAnsi="Calibri"/>
                <w:sz w:val="16"/>
              </w:rPr>
              <w:t>One battery step in real WebAR</w:t>
            </w:r>
          </w:p>
        </w:tc>
        <w:tc>
          <w:tcPr>
            <w:tcW w:type="dxa" w:w="3900"/>
            <w:shd w:fill="FAFBFC"/>
            <w:vAlign w:val="center"/>
            <w:tcMar>
              <w:top w:w="90" w:type="dxa"/>
              <w:start w:w="120" w:type="dxa"/>
              <w:bottom w:w="90" w:type="dxa"/>
              <w:end w:w="120" w:type="dxa"/>
            </w:tcMar>
          </w:tcPr>
          <w:p>
            <w:pPr>
              <w:spacing w:after="0" w:line="252" w:lineRule="auto"/>
            </w:pPr>
            <w:r>
              <w:rPr>
                <w:rFonts w:ascii="Calibri" w:hAnsi="Calibri"/>
                <w:sz w:val="16"/>
              </w:rPr>
              <w:t>Capability check; Enter/Exit AR; camera; marker or hit test; anchor; tracking recovery; same action API; 2D fallback.</w:t>
            </w:r>
          </w:p>
        </w:tc>
        <w:tc>
          <w:tcPr>
            <w:tcW w:type="dxa" w:w="2360"/>
            <w:shd w:fill="FAFBFC"/>
            <w:vAlign w:val="center"/>
            <w:tcMar>
              <w:top w:w="90" w:type="dxa"/>
              <w:start w:w="120" w:type="dxa"/>
              <w:bottom w:w="90" w:type="dxa"/>
              <w:end w:w="120" w:type="dxa"/>
            </w:tcMar>
          </w:tcPr>
          <w:p>
            <w:pPr>
              <w:spacing w:after="0" w:line="252" w:lineRule="auto"/>
            </w:pPr>
            <w:r>
              <w:rPr>
                <w:rFonts w:ascii="Calibri" w:hAnsi="Calibri"/>
                <w:sz w:val="16"/>
              </w:rPr>
              <w:t>AR qualification items 1-5 pass on target Android devices.</w:t>
            </w:r>
          </w:p>
        </w:tc>
      </w:tr>
      <w:tr>
        <w:trPr>
          <w:cantSplit w:val="true"/>
        </w:trPr>
        <w:tc>
          <w:tcPr>
            <w:tcW w:type="dxa" w:w="1200"/>
            <w:vAlign w:val="center"/>
            <w:tcMar>
              <w:top w:w="90" w:type="dxa"/>
              <w:start w:w="120" w:type="dxa"/>
              <w:bottom w:w="90" w:type="dxa"/>
              <w:end w:w="120" w:type="dxa"/>
            </w:tcMar>
          </w:tcPr>
          <w:p>
            <w:pPr>
              <w:spacing w:after="0" w:line="252" w:lineRule="auto"/>
            </w:pPr>
            <w:r>
              <w:rPr>
                <w:rFonts w:ascii="Calibri" w:hAnsi="Calibri"/>
                <w:sz w:val="16"/>
              </w:rPr>
              <w:t>2. Production content and delivery</w:t>
            </w:r>
          </w:p>
        </w:tc>
        <w:tc>
          <w:tcPr>
            <w:tcW w:type="dxa" w:w="1900"/>
            <w:vAlign w:val="center"/>
            <w:tcMar>
              <w:top w:w="90" w:type="dxa"/>
              <w:start w:w="120" w:type="dxa"/>
              <w:bottom w:w="90" w:type="dxa"/>
              <w:end w:w="120" w:type="dxa"/>
            </w:tcMar>
          </w:tcPr>
          <w:p>
            <w:pPr>
              <w:spacing w:after="0" w:line="252" w:lineRule="auto"/>
            </w:pPr>
            <w:r>
              <w:rPr>
                <w:rFonts w:ascii="Calibri" w:hAnsi="Calibri"/>
                <w:sz w:val="16"/>
              </w:rPr>
              <w:t>A complete low-bandwidth AR lesson</w:t>
            </w:r>
          </w:p>
        </w:tc>
        <w:tc>
          <w:tcPr>
            <w:tcW w:type="dxa" w:w="3900"/>
            <w:vAlign w:val="center"/>
            <w:tcMar>
              <w:top w:w="90" w:type="dxa"/>
              <w:start w:w="120" w:type="dxa"/>
              <w:bottom w:w="90" w:type="dxa"/>
              <w:end w:w="120" w:type="dxa"/>
            </w:tcMar>
          </w:tcPr>
          <w:p>
            <w:pPr>
              <w:spacing w:after="0" w:line="252" w:lineRule="auto"/>
            </w:pPr>
            <w:r>
              <w:rPr>
                <w:rFonts w:ascii="Calibri" w:hAnsi="Calibri"/>
                <w:sz w:val="16"/>
              </w:rPr>
              <w:t>Licensed glTF; compression; manifest; typed loader; quality tiers; asset cache; performance telemetry; full guided procedure.</w:t>
            </w:r>
          </w:p>
        </w:tc>
        <w:tc>
          <w:tcPr>
            <w:tcW w:type="dxa" w:w="2360"/>
            <w:vAlign w:val="center"/>
            <w:tcMar>
              <w:top w:w="90" w:type="dxa"/>
              <w:start w:w="120" w:type="dxa"/>
              <w:bottom w:w="90" w:type="dxa"/>
              <w:end w:w="120" w:type="dxa"/>
            </w:tcMar>
          </w:tcPr>
          <w:p>
            <w:pPr>
              <w:spacing w:after="0" w:line="252" w:lineRule="auto"/>
            </w:pPr>
            <w:r>
              <w:rPr>
                <w:rFonts w:ascii="Calibri" w:hAnsi="Calibri"/>
                <w:sz w:val="16"/>
              </w:rPr>
              <w:t>Load, frame-rate, memory, and recognition budgets pass.</w:t>
            </w:r>
          </w:p>
        </w:tc>
      </w:tr>
      <w:tr>
        <w:trPr>
          <w:cantSplit w:val="true"/>
        </w:trPr>
        <w:tc>
          <w:tcPr>
            <w:tcW w:type="dxa" w:w="1200"/>
            <w:shd w:fill="FAFBFC"/>
            <w:vAlign w:val="center"/>
            <w:tcMar>
              <w:top w:w="90" w:type="dxa"/>
              <w:start w:w="120" w:type="dxa"/>
              <w:bottom w:w="90" w:type="dxa"/>
              <w:end w:w="120" w:type="dxa"/>
            </w:tcMar>
          </w:tcPr>
          <w:p>
            <w:pPr>
              <w:spacing w:after="0" w:line="252" w:lineRule="auto"/>
            </w:pPr>
            <w:r>
              <w:rPr>
                <w:rFonts w:ascii="Calibri" w:hAnsi="Calibri"/>
                <w:sz w:val="16"/>
              </w:rPr>
              <w:t>3. Offline evidence and analytics</w:t>
            </w:r>
          </w:p>
        </w:tc>
        <w:tc>
          <w:tcPr>
            <w:tcW w:type="dxa" w:w="1900"/>
            <w:shd w:fill="FAFBFC"/>
            <w:vAlign w:val="center"/>
            <w:tcMar>
              <w:top w:w="90" w:type="dxa"/>
              <w:start w:w="120" w:type="dxa"/>
              <w:bottom w:w="90" w:type="dxa"/>
              <w:end w:w="120" w:type="dxa"/>
            </w:tcMar>
          </w:tcPr>
          <w:p>
            <w:pPr>
              <w:spacing w:after="0" w:line="252" w:lineRule="auto"/>
            </w:pPr>
            <w:r>
              <w:rPr>
                <w:rFonts w:ascii="Calibri" w:hAnsi="Calibri"/>
                <w:sz w:val="16"/>
              </w:rPr>
              <w:t>Reliable school operation</w:t>
            </w:r>
          </w:p>
        </w:tc>
        <w:tc>
          <w:tcPr>
            <w:tcW w:type="dxa" w:w="3900"/>
            <w:shd w:fill="FAFBFC"/>
            <w:vAlign w:val="center"/>
            <w:tcMar>
              <w:top w:w="90" w:type="dxa"/>
              <w:start w:w="120" w:type="dxa"/>
              <w:bottom w:w="90" w:type="dxa"/>
              <w:end w:w="120" w:type="dxa"/>
            </w:tcMar>
          </w:tcPr>
          <w:p>
            <w:pPr>
              <w:spacing w:after="0" w:line="252" w:lineRule="auto"/>
            </w:pPr>
            <w:r>
              <w:rPr>
                <w:rFonts w:ascii="Calibri" w:hAnsi="Calibri"/>
                <w:sz w:val="16"/>
              </w:rPr>
              <w:t>PWA; IndexedDB outbox; idempotent batch sync; stable xAPI IDs; statement export; recognition metrics; instructor visibility.</w:t>
            </w:r>
          </w:p>
        </w:tc>
        <w:tc>
          <w:tcPr>
            <w:tcW w:type="dxa" w:w="2360"/>
            <w:shd w:fill="FAFBFC"/>
            <w:vAlign w:val="center"/>
            <w:tcMar>
              <w:top w:w="90" w:type="dxa"/>
              <w:start w:w="120" w:type="dxa"/>
              <w:bottom w:w="90" w:type="dxa"/>
              <w:end w:w="120" w:type="dxa"/>
            </w:tcMar>
          </w:tcPr>
          <w:p>
            <w:pPr>
              <w:spacing w:after="0" w:line="252" w:lineRule="auto"/>
            </w:pPr>
            <w:r>
              <w:rPr>
                <w:rFonts w:ascii="Calibri" w:hAnsi="Calibri"/>
                <w:sz w:val="16"/>
              </w:rPr>
              <w:t>An offline attempt synchronizes exactly once with complete evidence.</w:t>
            </w:r>
          </w:p>
        </w:tc>
      </w:tr>
      <w:tr>
        <w:trPr>
          <w:cantSplit w:val="true"/>
        </w:trPr>
        <w:tc>
          <w:tcPr>
            <w:tcW w:type="dxa" w:w="1200"/>
            <w:vAlign w:val="center"/>
            <w:tcMar>
              <w:top w:w="90" w:type="dxa"/>
              <w:start w:w="120" w:type="dxa"/>
              <w:bottom w:w="90" w:type="dxa"/>
              <w:end w:w="120" w:type="dxa"/>
            </w:tcMar>
          </w:tcPr>
          <w:p>
            <w:pPr>
              <w:spacing w:after="0" w:line="252" w:lineRule="auto"/>
            </w:pPr>
            <w:r>
              <w:rPr>
                <w:rFonts w:ascii="Calibri" w:hAnsi="Calibri"/>
                <w:sz w:val="16"/>
              </w:rPr>
              <w:t>4. Adaptive and authoring workflow</w:t>
            </w:r>
          </w:p>
        </w:tc>
        <w:tc>
          <w:tcPr>
            <w:tcW w:type="dxa" w:w="1900"/>
            <w:vAlign w:val="center"/>
            <w:tcMar>
              <w:top w:w="90" w:type="dxa"/>
              <w:start w:w="120" w:type="dxa"/>
              <w:bottom w:w="90" w:type="dxa"/>
              <w:end w:w="120" w:type="dxa"/>
            </w:tcMar>
          </w:tcPr>
          <w:p>
            <w:pPr>
              <w:spacing w:after="0" w:line="252" w:lineRule="auto"/>
            </w:pPr>
            <w:r>
              <w:rPr>
                <w:rFonts w:ascii="Calibri" w:hAnsi="Calibri"/>
                <w:sz w:val="16"/>
              </w:rPr>
              <w:t>Maintainable multi-lesson platform</w:t>
            </w:r>
          </w:p>
        </w:tc>
        <w:tc>
          <w:tcPr>
            <w:tcW w:type="dxa" w:w="3900"/>
            <w:vAlign w:val="center"/>
            <w:tcMar>
              <w:top w:w="90" w:type="dxa"/>
              <w:start w:w="120" w:type="dxa"/>
              <w:bottom w:w="90" w:type="dxa"/>
              <w:end w:w="120" w:type="dxa"/>
            </w:tcMar>
          </w:tcPr>
          <w:p>
            <w:pPr>
              <w:spacing w:after="0" w:line="252" w:lineRule="auto"/>
            </w:pPr>
            <w:r>
              <w:rPr>
                <w:rFonts w:ascii="Calibri" w:hAnsi="Calibri"/>
                <w:sz w:val="16"/>
              </w:rPr>
              <w:t>Rules-based recommendations; explanation; authoring/preview; fallback validation; instructor observations and feedback.</w:t>
            </w:r>
          </w:p>
        </w:tc>
        <w:tc>
          <w:tcPr>
            <w:tcW w:type="dxa" w:w="2360"/>
            <w:vAlign w:val="center"/>
            <w:tcMar>
              <w:top w:w="90" w:type="dxa"/>
              <w:start w:w="120" w:type="dxa"/>
              <w:bottom w:w="90" w:type="dxa"/>
              <w:end w:w="120" w:type="dxa"/>
            </w:tcMar>
          </w:tcPr>
          <w:p>
            <w:pPr>
              <w:spacing w:after="0" w:line="252" w:lineRule="auto"/>
            </w:pPr>
            <w:r>
              <w:rPr>
                <w:rFonts w:ascii="Calibri" w:hAnsi="Calibri"/>
                <w:sz w:val="16"/>
              </w:rPr>
              <w:t>Authors publish a new validated scenario without source-code edits.</w:t>
            </w:r>
          </w:p>
        </w:tc>
      </w:tr>
      <w:tr>
        <w:trPr>
          <w:cantSplit w:val="true"/>
        </w:trPr>
        <w:tc>
          <w:tcPr>
            <w:tcW w:type="dxa" w:w="1200"/>
            <w:shd w:fill="FAFBFC"/>
            <w:vAlign w:val="center"/>
            <w:tcMar>
              <w:top w:w="90" w:type="dxa"/>
              <w:start w:w="120" w:type="dxa"/>
              <w:bottom w:w="90" w:type="dxa"/>
              <w:end w:w="120" w:type="dxa"/>
            </w:tcMar>
          </w:tcPr>
          <w:p>
            <w:pPr>
              <w:spacing w:after="0" w:line="252" w:lineRule="auto"/>
            </w:pPr>
            <w:r>
              <w:rPr>
                <w:rFonts w:ascii="Calibri" w:hAnsi="Calibri"/>
                <w:sz w:val="16"/>
              </w:rPr>
              <w:t>5. Pilot and evaluation</w:t>
            </w:r>
          </w:p>
        </w:tc>
        <w:tc>
          <w:tcPr>
            <w:tcW w:type="dxa" w:w="1900"/>
            <w:shd w:fill="FAFBFC"/>
            <w:vAlign w:val="center"/>
            <w:tcMar>
              <w:top w:w="90" w:type="dxa"/>
              <w:start w:w="120" w:type="dxa"/>
              <w:bottom w:w="90" w:type="dxa"/>
              <w:end w:w="120" w:type="dxa"/>
            </w:tcMar>
          </w:tcPr>
          <w:p>
            <w:pPr>
              <w:spacing w:after="0" w:line="252" w:lineRule="auto"/>
            </w:pPr>
            <w:r>
              <w:rPr>
                <w:rFonts w:ascii="Calibri" w:hAnsi="Calibri"/>
                <w:sz w:val="16"/>
              </w:rPr>
              <w:t>Evidence for product and research claims</w:t>
            </w:r>
          </w:p>
        </w:tc>
        <w:tc>
          <w:tcPr>
            <w:tcW w:type="dxa" w:w="3900"/>
            <w:shd w:fill="FAFBFC"/>
            <w:vAlign w:val="center"/>
            <w:tcMar>
              <w:top w:w="90" w:type="dxa"/>
              <w:start w:w="120" w:type="dxa"/>
              <w:bottom w:w="90" w:type="dxa"/>
              <w:end w:w="120" w:type="dxa"/>
            </w:tcMar>
          </w:tcPr>
          <w:p>
            <w:pPr>
              <w:spacing w:after="0" w:line="252" w:lineRule="auto"/>
            </w:pPr>
            <w:r>
              <w:rPr>
                <w:rFonts w:ascii="Calibri" w:hAnsi="Calibri"/>
                <w:sz w:val="16"/>
              </w:rPr>
              <w:t>Two sections or schools; 60-120 learners where feasible; TAM/SUS; pre/post; practical transfer; device/network analysis; interviews.</w:t>
            </w:r>
          </w:p>
        </w:tc>
        <w:tc>
          <w:tcPr>
            <w:tcW w:type="dxa" w:w="2360"/>
            <w:shd w:fill="FAFBFC"/>
            <w:vAlign w:val="center"/>
            <w:tcMar>
              <w:top w:w="90" w:type="dxa"/>
              <w:start w:w="120" w:type="dxa"/>
              <w:bottom w:w="90" w:type="dxa"/>
              <w:end w:w="120" w:type="dxa"/>
            </w:tcMar>
          </w:tcPr>
          <w:p>
            <w:pPr>
              <w:spacing w:after="0" w:line="252" w:lineRule="auto"/>
            </w:pPr>
            <w:r>
              <w:rPr>
                <w:rFonts w:ascii="Calibri" w:hAnsi="Calibri"/>
                <w:sz w:val="16"/>
              </w:rPr>
              <w:t>Predefined usability, safety, parity, learning, and operational thresholds pass.</w:t>
            </w:r>
          </w:p>
        </w:tc>
      </w:tr>
      <w:tr>
        <w:trPr>
          <w:cantSplit w:val="true"/>
        </w:trPr>
        <w:tc>
          <w:tcPr>
            <w:tcW w:type="dxa" w:w="1200"/>
            <w:vAlign w:val="center"/>
            <w:tcMar>
              <w:top w:w="90" w:type="dxa"/>
              <w:start w:w="120" w:type="dxa"/>
              <w:bottom w:w="90" w:type="dxa"/>
              <w:end w:w="120" w:type="dxa"/>
            </w:tcMar>
          </w:tcPr>
          <w:p>
            <w:pPr>
              <w:spacing w:after="0" w:line="252" w:lineRule="auto"/>
            </w:pPr>
            <w:r>
              <w:rPr>
                <w:rFonts w:ascii="Calibri" w:hAnsi="Calibri"/>
                <w:sz w:val="16"/>
              </w:rPr>
              <w:t>6. Scale decision</w:t>
            </w:r>
          </w:p>
        </w:tc>
        <w:tc>
          <w:tcPr>
            <w:tcW w:type="dxa" w:w="1900"/>
            <w:vAlign w:val="center"/>
            <w:tcMar>
              <w:top w:w="90" w:type="dxa"/>
              <w:start w:w="120" w:type="dxa"/>
              <w:bottom w:w="90" w:type="dxa"/>
              <w:end w:w="120" w:type="dxa"/>
            </w:tcMar>
          </w:tcPr>
          <w:p>
            <w:pPr>
              <w:spacing w:after="0" w:line="252" w:lineRule="auto"/>
            </w:pPr>
            <w:r>
              <w:rPr>
                <w:rFonts w:ascii="Calibri" w:hAnsi="Calibri"/>
                <w:sz w:val="16"/>
              </w:rPr>
              <w:t>Evidence-led expansion</w:t>
            </w:r>
          </w:p>
        </w:tc>
        <w:tc>
          <w:tcPr>
            <w:tcW w:type="dxa" w:w="3900"/>
            <w:vAlign w:val="center"/>
            <w:tcMar>
              <w:top w:w="90" w:type="dxa"/>
              <w:start w:w="120" w:type="dxa"/>
              <w:bottom w:w="90" w:type="dxa"/>
              <w:end w:w="120" w:type="dxa"/>
            </w:tcMar>
          </w:tcPr>
          <w:p>
            <w:pPr>
              <w:spacing w:after="0" w:line="252" w:lineRule="auto"/>
            </w:pPr>
            <w:r>
              <w:rPr>
                <w:rFonts w:ascii="Calibri" w:hAnsi="Calibri"/>
                <w:sz w:val="16"/>
              </w:rPr>
              <w:t>Retention study; multi-school replication; LMS/LRS integration if required; second trade; procurement and support model.</w:t>
            </w:r>
          </w:p>
        </w:tc>
        <w:tc>
          <w:tcPr>
            <w:tcW w:type="dxa" w:w="2360"/>
            <w:vAlign w:val="center"/>
            <w:tcMar>
              <w:top w:w="90" w:type="dxa"/>
              <w:start w:w="120" w:type="dxa"/>
              <w:bottom w:w="90" w:type="dxa"/>
              <w:end w:w="120" w:type="dxa"/>
            </w:tcMar>
          </w:tcPr>
          <w:p>
            <w:pPr>
              <w:spacing w:after="0" w:line="252" w:lineRule="auto"/>
            </w:pPr>
            <w:r>
              <w:rPr>
                <w:rFonts w:ascii="Calibri" w:hAnsi="Calibri"/>
                <w:sz w:val="16"/>
              </w:rPr>
              <w:t>Independent go/no-go review based on pilot evidence.</w:t>
            </w:r>
          </w:p>
        </w:tc>
      </w:tr>
    </w:tbl>
    <w:p>
      <w:pPr>
        <w:spacing w:after="0"/>
      </w:pPr>
    </w:p>
    <w:p>
      <w:pPr>
        <w:pStyle w:val="Heading2"/>
      </w:pPr>
      <w:r>
        <w:t>Priority order</w:t>
      </w:r>
    </w:p>
    <w:p>
      <w:pPr>
        <w:numPr>
          <w:ilvl w:val="0"/>
          <w:numId w:val="15"/>
        </w:numPr>
      </w:pPr>
      <w:r>
        <w:rPr>
          <w:rFonts w:ascii="Calibri" w:hAnsi="Calibri"/>
        </w:rPr>
        <w:t>Validate one real technical procedure and its safety envelope with instructors.</w:t>
      </w:r>
    </w:p>
    <w:p>
      <w:pPr>
        <w:numPr>
          <w:ilvl w:val="0"/>
          <w:numId w:val="15"/>
        </w:numPr>
      </w:pPr>
      <w:r>
        <w:rPr>
          <w:rFonts w:ascii="Calibri" w:hAnsi="Calibri"/>
        </w:rPr>
        <w:t>Deliver WebAR plus an equivalent fallback using the existing action and grading model.</w:t>
      </w:r>
    </w:p>
    <w:p>
      <w:pPr>
        <w:numPr>
          <w:ilvl w:val="0"/>
          <w:numId w:val="15"/>
        </w:numPr>
      </w:pPr>
      <w:r>
        <w:rPr>
          <w:rFonts w:ascii="Calibri" w:hAnsi="Calibri"/>
        </w:rPr>
        <w:t>Make the lesson reliable on low-end devices and weak connectivity before adding more content.</w:t>
      </w:r>
    </w:p>
    <w:p>
      <w:pPr>
        <w:numPr>
          <w:ilvl w:val="0"/>
          <w:numId w:val="15"/>
        </w:numPr>
      </w:pPr>
      <w:r>
        <w:rPr>
          <w:rFonts w:ascii="Calibri" w:hAnsi="Calibri"/>
        </w:rPr>
        <w:t>Standardize evidence and run a rules-based adaptive pilot before considering machine learning.</w:t>
      </w:r>
    </w:p>
    <w:p>
      <w:pPr>
        <w:numPr>
          <w:ilvl w:val="0"/>
          <w:numId w:val="15"/>
        </w:numPr>
      </w:pPr>
      <w:r>
        <w:rPr>
          <w:rFonts w:ascii="Calibri" w:hAnsi="Calibri"/>
        </w:rPr>
        <w:t>Collect actual usability, acceptance, learning, practical-transfer, and operational evidence before scaling claims or trades.</w:t>
      </w:r>
    </w:p>
    <w:p>
      <w:pPr>
        <w:pStyle w:val="Heading1"/>
      </w:pPr>
      <w:r>
        <w:t>10. Pilot evaluation design</w:t>
      </w:r>
    </w:p>
    <w:p>
      <w:r>
        <w:rPr>
          <w:rFonts w:ascii="Calibri" w:hAnsi="Calibri"/>
        </w:rPr>
        <w:t>The dissertation's TAM, SUS, and pre/post design is a useful core, but a technical-school pilot should also measure physical transfer, safety, fallback parity, device reliability, and instructor workload.</w:t>
      </w:r>
    </w:p>
    <w:tbl>
      <w:tblPr>
        <w:tblStyle w:val="TableGrid"/>
        <w:tblW w:type="dxa" w:w="9360"/>
        <w:tblLayout w:type="fixed"/>
        <w:tblLook w:firstColumn="1" w:firstRow="1" w:lastColumn="0" w:lastRow="0" w:noHBand="0" w:noVBand="1" w:val="04A0"/>
        <w:jc w:val="left"/>
        <w:tblInd w:w="120" w:type="dxa"/>
        <w:tblBorders>
          <w:top w:val="single" w:sz="5" w:color="C7CDD4"/>
          <w:left w:val="single" w:sz="5" w:color="C7CDD4"/>
          <w:bottom w:val="single" w:sz="5" w:color="C7CDD4"/>
          <w:right w:val="single" w:sz="5" w:color="C7CDD4"/>
          <w:insideH w:val="single" w:sz="5" w:color="C7CDD4"/>
          <w:insideV w:val="single" w:sz="5" w:color="C7CDD4"/>
        </w:tblBorders>
      </w:tblPr>
      <w:tblGrid>
        <w:gridCol w:w="2250"/>
        <w:gridCol w:w="4100"/>
        <w:gridCol w:w="3010"/>
      </w:tblGrid>
      <w:tr>
        <w:trPr>
          <w:tblHeader w:val="true"/>
        </w:trPr>
        <w:tc>
          <w:tcPr>
            <w:tcW w:type="dxa" w:w="2250"/>
            <w:vAlign w:val="center"/>
            <w:tcMar>
              <w:top w:w="90" w:type="dxa"/>
              <w:start w:w="120" w:type="dxa"/>
              <w:bottom w:w="90" w:type="dxa"/>
              <w:end w:w="120" w:type="dxa"/>
            </w:tcMar>
            <w:shd w:fill="17365D"/>
          </w:tcPr>
          <w:p>
            <w:pPr>
              <w:spacing w:after="0"/>
              <w:jc w:val="left"/>
            </w:pPr>
            <w:r>
              <w:rPr>
                <w:rFonts w:ascii="Calibri" w:hAnsi="Calibri"/>
                <w:b/>
                <w:color w:val="FFFFFF"/>
                <w:sz w:val="17"/>
              </w:rPr>
              <w:t>Evaluation question</w:t>
            </w:r>
          </w:p>
        </w:tc>
        <w:tc>
          <w:tcPr>
            <w:tcW w:type="dxa" w:w="4100"/>
            <w:vAlign w:val="center"/>
            <w:tcMar>
              <w:top w:w="90" w:type="dxa"/>
              <w:start w:w="120" w:type="dxa"/>
              <w:bottom w:w="90" w:type="dxa"/>
              <w:end w:w="120" w:type="dxa"/>
            </w:tcMar>
            <w:shd w:fill="17365D"/>
          </w:tcPr>
          <w:p>
            <w:pPr>
              <w:spacing w:after="0"/>
              <w:jc w:val="left"/>
            </w:pPr>
            <w:r>
              <w:rPr>
                <w:rFonts w:ascii="Calibri" w:hAnsi="Calibri"/>
                <w:b/>
                <w:color w:val="FFFFFF"/>
                <w:sz w:val="17"/>
              </w:rPr>
              <w:t>Measure</w:t>
            </w:r>
          </w:p>
        </w:tc>
        <w:tc>
          <w:tcPr>
            <w:tcW w:type="dxa" w:w="3010"/>
            <w:vAlign w:val="center"/>
            <w:tcMar>
              <w:top w:w="90" w:type="dxa"/>
              <w:start w:w="120" w:type="dxa"/>
              <w:bottom w:w="90" w:type="dxa"/>
              <w:end w:w="120" w:type="dxa"/>
            </w:tcMar>
            <w:shd w:fill="17365D"/>
          </w:tcPr>
          <w:p>
            <w:pPr>
              <w:spacing w:after="0"/>
              <w:jc w:val="left"/>
            </w:pPr>
            <w:r>
              <w:rPr>
                <w:rFonts w:ascii="Calibri" w:hAnsi="Calibri"/>
                <w:b/>
                <w:color w:val="FFFFFF"/>
                <w:sz w:val="17"/>
              </w:rPr>
              <w:t>Minimum evidence</w:t>
            </w:r>
          </w:p>
        </w:tc>
      </w:tr>
      <w:tr>
        <w:trPr>
          <w:cantSplit w:val="true"/>
        </w:trPr>
        <w:tc>
          <w:tcPr>
            <w:tcW w:type="dxa" w:w="2250"/>
            <w:vAlign w:val="center"/>
            <w:tcMar>
              <w:top w:w="90" w:type="dxa"/>
              <w:start w:w="120" w:type="dxa"/>
              <w:bottom w:w="90" w:type="dxa"/>
              <w:end w:w="120" w:type="dxa"/>
            </w:tcMar>
          </w:tcPr>
          <w:p>
            <w:pPr>
              <w:spacing w:after="0" w:line="252" w:lineRule="auto"/>
            </w:pPr>
            <w:r>
              <w:rPr>
                <w:rFonts w:ascii="Calibri" w:hAnsi="Calibri"/>
                <w:sz w:val="17"/>
              </w:rPr>
              <w:t>Does it improve learning?</w:t>
            </w:r>
          </w:p>
        </w:tc>
        <w:tc>
          <w:tcPr>
            <w:tcW w:type="dxa" w:w="4100"/>
            <w:vAlign w:val="center"/>
            <w:tcMar>
              <w:top w:w="90" w:type="dxa"/>
              <w:start w:w="120" w:type="dxa"/>
              <w:bottom w:w="90" w:type="dxa"/>
              <w:end w:w="120" w:type="dxa"/>
            </w:tcMar>
          </w:tcPr>
          <w:p>
            <w:pPr>
              <w:spacing w:after="0" w:line="252" w:lineRule="auto"/>
            </w:pPr>
            <w:r>
              <w:rPr>
                <w:rFonts w:ascii="Calibri" w:hAnsi="Calibri"/>
                <w:sz w:val="17"/>
              </w:rPr>
              <w:t>Aligned pre/post knowledge test, normalized gain, paired analysis, effect size.</w:t>
            </w:r>
          </w:p>
        </w:tc>
        <w:tc>
          <w:tcPr>
            <w:tcW w:type="dxa" w:w="3010"/>
            <w:vAlign w:val="center"/>
            <w:tcMar>
              <w:top w:w="90" w:type="dxa"/>
              <w:start w:w="120" w:type="dxa"/>
              <w:bottom w:w="90" w:type="dxa"/>
              <w:end w:w="120" w:type="dxa"/>
            </w:tcMar>
          </w:tcPr>
          <w:p>
            <w:pPr>
              <w:spacing w:after="0" w:line="252" w:lineRule="auto"/>
            </w:pPr>
            <w:r>
              <w:rPr>
                <w:rFonts w:ascii="Calibri" w:hAnsi="Calibri"/>
                <w:sz w:val="17"/>
              </w:rPr>
              <w:t>Scores linked to one consented pilot cohort and one stable scenario version.</w:t>
            </w:r>
          </w:p>
        </w:tc>
      </w:tr>
      <w:tr>
        <w:trPr>
          <w:cantSplit w:val="true"/>
        </w:trPr>
        <w:tc>
          <w:tcPr>
            <w:tcW w:type="dxa" w:w="2250"/>
            <w:shd w:fill="FAFBFC"/>
            <w:vAlign w:val="center"/>
            <w:tcMar>
              <w:top w:w="90" w:type="dxa"/>
              <w:start w:w="120" w:type="dxa"/>
              <w:bottom w:w="90" w:type="dxa"/>
              <w:end w:w="120" w:type="dxa"/>
            </w:tcMar>
          </w:tcPr>
          <w:p>
            <w:pPr>
              <w:spacing w:after="0" w:line="252" w:lineRule="auto"/>
            </w:pPr>
            <w:r>
              <w:rPr>
                <w:rFonts w:ascii="Calibri" w:hAnsi="Calibri"/>
                <w:sz w:val="17"/>
              </w:rPr>
              <w:t>Does it improve practical performance?</w:t>
            </w:r>
          </w:p>
        </w:tc>
        <w:tc>
          <w:tcPr>
            <w:tcW w:type="dxa" w:w="4100"/>
            <w:shd w:fill="FAFBFC"/>
            <w:vAlign w:val="center"/>
            <w:tcMar>
              <w:top w:w="90" w:type="dxa"/>
              <w:start w:w="120" w:type="dxa"/>
              <w:bottom w:w="90" w:type="dxa"/>
              <w:end w:w="120" w:type="dxa"/>
            </w:tcMar>
          </w:tcPr>
          <w:p>
            <w:pPr>
              <w:spacing w:after="0" w:line="252" w:lineRule="auto"/>
            </w:pPr>
            <w:r>
              <w:rPr>
                <w:rFonts w:ascii="Calibri" w:hAnsi="Calibri"/>
                <w:sz w:val="17"/>
              </w:rPr>
              <w:t>Instructor-blinded physical task rubric: sequence, accuracy, safety, time, and help required.</w:t>
            </w:r>
          </w:p>
        </w:tc>
        <w:tc>
          <w:tcPr>
            <w:tcW w:type="dxa" w:w="3010"/>
            <w:shd w:fill="FAFBFC"/>
            <w:vAlign w:val="center"/>
            <w:tcMar>
              <w:top w:w="90" w:type="dxa"/>
              <w:start w:w="120" w:type="dxa"/>
              <w:bottom w:w="90" w:type="dxa"/>
              <w:end w:w="120" w:type="dxa"/>
            </w:tcMar>
          </w:tcPr>
          <w:p>
            <w:pPr>
              <w:spacing w:after="0" w:line="252" w:lineRule="auto"/>
            </w:pPr>
            <w:r>
              <w:rPr>
                <w:rFonts w:ascii="Calibri" w:hAnsi="Calibri"/>
                <w:sz w:val="17"/>
              </w:rPr>
              <w:t>A workshop transfer assessment independent of the AR app score.</w:t>
            </w:r>
          </w:p>
        </w:tc>
      </w:tr>
      <w:tr>
        <w:trPr>
          <w:cantSplit w:val="true"/>
        </w:trPr>
        <w:tc>
          <w:tcPr>
            <w:tcW w:type="dxa" w:w="2250"/>
            <w:vAlign w:val="center"/>
            <w:tcMar>
              <w:top w:w="90" w:type="dxa"/>
              <w:start w:w="120" w:type="dxa"/>
              <w:bottom w:w="90" w:type="dxa"/>
              <w:end w:w="120" w:type="dxa"/>
            </w:tcMar>
          </w:tcPr>
          <w:p>
            <w:pPr>
              <w:spacing w:after="0" w:line="252" w:lineRule="auto"/>
            </w:pPr>
            <w:r>
              <w:rPr>
                <w:rFonts w:ascii="Calibri" w:hAnsi="Calibri"/>
                <w:sz w:val="17"/>
              </w:rPr>
              <w:t>Is it usable and accepted?</w:t>
            </w:r>
          </w:p>
        </w:tc>
        <w:tc>
          <w:tcPr>
            <w:tcW w:type="dxa" w:w="4100"/>
            <w:vAlign w:val="center"/>
            <w:tcMar>
              <w:top w:w="90" w:type="dxa"/>
              <w:start w:w="120" w:type="dxa"/>
              <w:bottom w:w="90" w:type="dxa"/>
              <w:end w:w="120" w:type="dxa"/>
            </w:tcMar>
          </w:tcPr>
          <w:p>
            <w:pPr>
              <w:spacing w:after="0" w:line="252" w:lineRule="auto"/>
            </w:pPr>
            <w:r>
              <w:rPr>
                <w:rFonts w:ascii="Calibri" w:hAnsi="Calibri"/>
                <w:sz w:val="17"/>
              </w:rPr>
              <w:t>Standard 10-item SUS; TAM usefulness, ease, enjoyment, and intention; instructor interviews.</w:t>
            </w:r>
          </w:p>
        </w:tc>
        <w:tc>
          <w:tcPr>
            <w:tcW w:type="dxa" w:w="3010"/>
            <w:vAlign w:val="center"/>
            <w:tcMar>
              <w:top w:w="90" w:type="dxa"/>
              <w:start w:w="120" w:type="dxa"/>
              <w:bottom w:w="90" w:type="dxa"/>
              <w:end w:w="120" w:type="dxa"/>
            </w:tcMar>
          </w:tcPr>
          <w:p>
            <w:pPr>
              <w:spacing w:after="0" w:line="252" w:lineRule="auto"/>
            </w:pPr>
            <w:r>
              <w:rPr>
                <w:rFonts w:ascii="Calibri" w:hAnsi="Calibri"/>
                <w:sz w:val="17"/>
              </w:rPr>
              <w:t>Instrument reliability and item-level reporting, not only averages.</w:t>
            </w:r>
          </w:p>
        </w:tc>
      </w:tr>
      <w:tr>
        <w:trPr>
          <w:cantSplit w:val="true"/>
        </w:trPr>
        <w:tc>
          <w:tcPr>
            <w:tcW w:type="dxa" w:w="2250"/>
            <w:shd w:fill="FAFBFC"/>
            <w:vAlign w:val="center"/>
            <w:tcMar>
              <w:top w:w="90" w:type="dxa"/>
              <w:start w:w="120" w:type="dxa"/>
              <w:bottom w:w="90" w:type="dxa"/>
              <w:end w:w="120" w:type="dxa"/>
            </w:tcMar>
          </w:tcPr>
          <w:p>
            <w:pPr>
              <w:spacing w:after="0" w:line="252" w:lineRule="auto"/>
            </w:pPr>
            <w:r>
              <w:rPr>
                <w:rFonts w:ascii="Calibri" w:hAnsi="Calibri"/>
                <w:sz w:val="17"/>
              </w:rPr>
              <w:t>Does AR work technically?</w:t>
            </w:r>
          </w:p>
        </w:tc>
        <w:tc>
          <w:tcPr>
            <w:tcW w:type="dxa" w:w="4100"/>
            <w:shd w:fill="FAFBFC"/>
            <w:vAlign w:val="center"/>
            <w:tcMar>
              <w:top w:w="90" w:type="dxa"/>
              <w:start w:w="120" w:type="dxa"/>
              <w:bottom w:w="90" w:type="dxa"/>
              <w:end w:w="120" w:type="dxa"/>
            </w:tcMar>
          </w:tcPr>
          <w:p>
            <w:pPr>
              <w:spacing w:after="0" w:line="252" w:lineRule="auto"/>
            </w:pPr>
            <w:r>
              <w:rPr>
                <w:rFonts w:ascii="Calibri" w:hAnsi="Calibri"/>
                <w:sz w:val="17"/>
              </w:rPr>
              <w:t>Recognition success, false placement, latency, tracking loss, re-scans, crash rate, fallback rate.</w:t>
            </w:r>
          </w:p>
        </w:tc>
        <w:tc>
          <w:tcPr>
            <w:tcW w:type="dxa" w:w="3010"/>
            <w:shd w:fill="FAFBFC"/>
            <w:vAlign w:val="center"/>
            <w:tcMar>
              <w:top w:w="90" w:type="dxa"/>
              <w:start w:w="120" w:type="dxa"/>
              <w:bottom w:w="90" w:type="dxa"/>
              <w:end w:w="120" w:type="dxa"/>
            </w:tcMar>
          </w:tcPr>
          <w:p>
            <w:pPr>
              <w:spacing w:after="0" w:line="252" w:lineRule="auto"/>
            </w:pPr>
            <w:r>
              <w:rPr>
                <w:rFonts w:ascii="Calibri" w:hAnsi="Calibri"/>
                <w:sz w:val="17"/>
              </w:rPr>
              <w:t>Results by device tier, browser, and network profile.</w:t>
            </w:r>
          </w:p>
        </w:tc>
      </w:tr>
      <w:tr>
        <w:trPr>
          <w:cantSplit w:val="true"/>
        </w:trPr>
        <w:tc>
          <w:tcPr>
            <w:tcW w:type="dxa" w:w="2250"/>
            <w:vAlign w:val="center"/>
            <w:tcMar>
              <w:top w:w="90" w:type="dxa"/>
              <w:start w:w="120" w:type="dxa"/>
              <w:bottom w:w="90" w:type="dxa"/>
              <w:end w:w="120" w:type="dxa"/>
            </w:tcMar>
          </w:tcPr>
          <w:p>
            <w:pPr>
              <w:spacing w:after="0" w:line="252" w:lineRule="auto"/>
            </w:pPr>
            <w:r>
              <w:rPr>
                <w:rFonts w:ascii="Calibri" w:hAnsi="Calibri"/>
                <w:sz w:val="17"/>
              </w:rPr>
              <w:t>Is access equitable?</w:t>
            </w:r>
          </w:p>
        </w:tc>
        <w:tc>
          <w:tcPr>
            <w:tcW w:type="dxa" w:w="4100"/>
            <w:vAlign w:val="center"/>
            <w:tcMar>
              <w:top w:w="90" w:type="dxa"/>
              <w:start w:w="120" w:type="dxa"/>
              <w:bottom w:w="90" w:type="dxa"/>
              <w:end w:w="120" w:type="dxa"/>
            </w:tcMar>
          </w:tcPr>
          <w:p>
            <w:pPr>
              <w:spacing w:after="0" w:line="252" w:lineRule="auto"/>
            </w:pPr>
            <w:r>
              <w:rPr>
                <w:rFonts w:ascii="Calibri" w:hAnsi="Calibri"/>
                <w:sz w:val="17"/>
              </w:rPr>
              <w:t>Outcome and completion parity across AR and fallback modes and device tiers.</w:t>
            </w:r>
          </w:p>
        </w:tc>
        <w:tc>
          <w:tcPr>
            <w:tcW w:type="dxa" w:w="3010"/>
            <w:vAlign w:val="center"/>
            <w:tcMar>
              <w:top w:w="90" w:type="dxa"/>
              <w:start w:w="120" w:type="dxa"/>
              <w:bottom w:w="90" w:type="dxa"/>
              <w:end w:w="120" w:type="dxa"/>
            </w:tcMar>
          </w:tcPr>
          <w:p>
            <w:pPr>
              <w:spacing w:after="0" w:line="252" w:lineRule="auto"/>
            </w:pPr>
            <w:r>
              <w:rPr>
                <w:rFonts w:ascii="Calibri" w:hAnsi="Calibri"/>
                <w:sz w:val="17"/>
              </w:rPr>
              <w:t>No grading penalty caused by tracking failure; documented accommodations.</w:t>
            </w:r>
          </w:p>
        </w:tc>
      </w:tr>
      <w:tr>
        <w:trPr>
          <w:cantSplit w:val="true"/>
        </w:trPr>
        <w:tc>
          <w:tcPr>
            <w:tcW w:type="dxa" w:w="2250"/>
            <w:shd w:fill="FAFBFC"/>
            <w:vAlign w:val="center"/>
            <w:tcMar>
              <w:top w:w="90" w:type="dxa"/>
              <w:start w:w="120" w:type="dxa"/>
              <w:bottom w:w="90" w:type="dxa"/>
              <w:end w:w="120" w:type="dxa"/>
            </w:tcMar>
          </w:tcPr>
          <w:p>
            <w:pPr>
              <w:spacing w:after="0" w:line="252" w:lineRule="auto"/>
            </w:pPr>
            <w:r>
              <w:rPr>
                <w:rFonts w:ascii="Calibri" w:hAnsi="Calibri"/>
                <w:sz w:val="17"/>
              </w:rPr>
              <w:t>Can schools operate it?</w:t>
            </w:r>
          </w:p>
        </w:tc>
        <w:tc>
          <w:tcPr>
            <w:tcW w:type="dxa" w:w="4100"/>
            <w:shd w:fill="FAFBFC"/>
            <w:vAlign w:val="center"/>
            <w:tcMar>
              <w:top w:w="90" w:type="dxa"/>
              <w:start w:w="120" w:type="dxa"/>
              <w:bottom w:w="90" w:type="dxa"/>
              <w:end w:w="120" w:type="dxa"/>
            </w:tcMar>
          </w:tcPr>
          <w:p>
            <w:pPr>
              <w:spacing w:after="0" w:line="252" w:lineRule="auto"/>
            </w:pPr>
            <w:r>
              <w:rPr>
                <w:rFonts w:ascii="Calibri" w:hAnsi="Calibri"/>
                <w:sz w:val="17"/>
              </w:rPr>
              <w:t>Download time, sync delay, support incidents, instructor preparation time, storage use, and recovery success.</w:t>
            </w:r>
          </w:p>
        </w:tc>
        <w:tc>
          <w:tcPr>
            <w:tcW w:type="dxa" w:w="3010"/>
            <w:shd w:fill="FAFBFC"/>
            <w:vAlign w:val="center"/>
            <w:tcMar>
              <w:top w:w="90" w:type="dxa"/>
              <w:start w:w="120" w:type="dxa"/>
              <w:bottom w:w="90" w:type="dxa"/>
              <w:end w:w="120" w:type="dxa"/>
            </w:tcMar>
          </w:tcPr>
          <w:p>
            <w:pPr>
              <w:spacing w:after="0" w:line="252" w:lineRule="auto"/>
            </w:pPr>
            <w:r>
              <w:rPr>
                <w:rFonts w:ascii="Calibri" w:hAnsi="Calibri"/>
                <w:sz w:val="17"/>
              </w:rPr>
              <w:t>A runbook tested by school staff without developer intervention.</w:t>
            </w:r>
          </w:p>
        </w:tc>
      </w:tr>
    </w:tbl>
    <w:p>
      <w:pPr>
        <w:spacing w:after="0"/>
      </w:pPr>
    </w:p>
    <w:p>
      <w:pPr>
        <w:pStyle w:val="Heading2"/>
      </w:pPr>
      <w:r>
        <w:t>Suggested pilot gates</w:t>
      </w:r>
    </w:p>
    <w:p>
      <w:pPr>
        <w:numPr>
          <w:ilvl w:val="0"/>
          <w:numId w:val="10"/>
        </w:numPr>
      </w:pPr>
      <w:r>
        <w:rPr>
          <w:rFonts w:ascii="Calibri" w:hAnsi="Calibri"/>
        </w:rPr>
        <w:t>Ethics and privacy approval, informed consent, withdrawal process, pseudonymization, retention schedule, and restricted research export are in place.</w:t>
      </w:r>
    </w:p>
    <w:p>
      <w:pPr>
        <w:numPr>
          <w:ilvl w:val="0"/>
          <w:numId w:val="10"/>
        </w:numPr>
      </w:pPr>
      <w:r>
        <w:rPr>
          <w:rFonts w:ascii="Calibri" w:hAnsi="Calibri"/>
        </w:rPr>
        <w:t>Every learner can choose or be assigned a non-AR equivalent without academic penalty.</w:t>
      </w:r>
    </w:p>
    <w:p>
      <w:pPr>
        <w:numPr>
          <w:ilvl w:val="0"/>
          <w:numId w:val="10"/>
        </w:numPr>
      </w:pPr>
      <w:r>
        <w:rPr>
          <w:rFonts w:ascii="Calibri" w:hAnsi="Calibri"/>
        </w:rPr>
        <w:t>No unresolved safety-critical defect; instructors retain authority to stop or invalidate an activity.</w:t>
      </w:r>
    </w:p>
    <w:p>
      <w:pPr>
        <w:numPr>
          <w:ilvl w:val="0"/>
          <w:numId w:val="10"/>
        </w:numPr>
      </w:pPr>
      <w:r>
        <w:rPr>
          <w:rFonts w:ascii="Calibri" w:hAnsi="Calibri"/>
        </w:rPr>
        <w:t>Recognition, fallback, and sync telemetry are operational before recruitment begins.</w:t>
      </w:r>
    </w:p>
    <w:p>
      <w:pPr>
        <w:numPr>
          <w:ilvl w:val="0"/>
          <w:numId w:val="10"/>
        </w:numPr>
      </w:pPr>
      <w:r>
        <w:rPr>
          <w:rFonts w:ascii="Calibri" w:hAnsi="Calibri"/>
        </w:rPr>
        <w:t>Analysis thresholds and exclusion rules are preregistered before outcomes are inspected.</w:t>
      </w:r>
    </w:p>
    <w:p>
      <w:r>
        <w:br w:type="page"/>
      </w:r>
    </w:p>
    <w:p>
      <w:pPr>
        <w:pStyle w:val="Heading1"/>
      </w:pPr>
      <w:r>
        <w:t>11. Risks and controls</w:t>
      </w:r>
    </w:p>
    <w:tbl>
      <w:tblPr>
        <w:tblStyle w:val="TableGrid"/>
        <w:tblW w:type="dxa" w:w="9360"/>
        <w:tblLayout w:type="fixed"/>
        <w:tblLook w:firstColumn="1" w:firstRow="1" w:lastColumn="0" w:lastRow="0" w:noHBand="0" w:noVBand="1" w:val="04A0"/>
        <w:jc w:val="left"/>
        <w:tblInd w:w="120" w:type="dxa"/>
        <w:tblBorders>
          <w:top w:val="single" w:sz="5" w:color="C7CDD4"/>
          <w:left w:val="single" w:sz="5" w:color="C7CDD4"/>
          <w:bottom w:val="single" w:sz="5" w:color="C7CDD4"/>
          <w:right w:val="single" w:sz="5" w:color="C7CDD4"/>
          <w:insideH w:val="single" w:sz="5" w:color="C7CDD4"/>
          <w:insideV w:val="single" w:sz="5" w:color="C7CDD4"/>
        </w:tblBorders>
      </w:tblPr>
      <w:tblGrid>
        <w:gridCol w:w="1900"/>
        <w:gridCol w:w="3300"/>
        <w:gridCol w:w="4160"/>
      </w:tblGrid>
      <w:tr>
        <w:trPr>
          <w:tblHeader w:val="true"/>
        </w:trPr>
        <w:tc>
          <w:tcPr>
            <w:tcW w:type="dxa" w:w="1900"/>
            <w:vAlign w:val="center"/>
            <w:tcMar>
              <w:top w:w="90" w:type="dxa"/>
              <w:start w:w="120" w:type="dxa"/>
              <w:bottom w:w="90" w:type="dxa"/>
              <w:end w:w="120" w:type="dxa"/>
            </w:tcMar>
            <w:shd w:fill="17365D"/>
          </w:tcPr>
          <w:p>
            <w:pPr>
              <w:spacing w:after="0"/>
              <w:jc w:val="left"/>
            </w:pPr>
            <w:r>
              <w:rPr>
                <w:rFonts w:ascii="Calibri" w:hAnsi="Calibri"/>
                <w:b/>
                <w:color w:val="FFFFFF"/>
                <w:sz w:val="17"/>
              </w:rPr>
              <w:t>Risk</w:t>
            </w:r>
          </w:p>
        </w:tc>
        <w:tc>
          <w:tcPr>
            <w:tcW w:type="dxa" w:w="3300"/>
            <w:vAlign w:val="center"/>
            <w:tcMar>
              <w:top w:w="90" w:type="dxa"/>
              <w:start w:w="120" w:type="dxa"/>
              <w:bottom w:w="90" w:type="dxa"/>
              <w:end w:w="120" w:type="dxa"/>
            </w:tcMar>
            <w:shd w:fill="17365D"/>
          </w:tcPr>
          <w:p>
            <w:pPr>
              <w:spacing w:after="0"/>
              <w:jc w:val="left"/>
            </w:pPr>
            <w:r>
              <w:rPr>
                <w:rFonts w:ascii="Calibri" w:hAnsi="Calibri"/>
                <w:b/>
                <w:color w:val="FFFFFF"/>
                <w:sz w:val="17"/>
              </w:rPr>
              <w:t>Why it matters</w:t>
            </w:r>
          </w:p>
        </w:tc>
        <w:tc>
          <w:tcPr>
            <w:tcW w:type="dxa" w:w="4160"/>
            <w:vAlign w:val="center"/>
            <w:tcMar>
              <w:top w:w="90" w:type="dxa"/>
              <w:start w:w="120" w:type="dxa"/>
              <w:bottom w:w="90" w:type="dxa"/>
              <w:end w:w="120" w:type="dxa"/>
            </w:tcMar>
            <w:shd w:fill="17365D"/>
          </w:tcPr>
          <w:p>
            <w:pPr>
              <w:spacing w:after="0"/>
              <w:jc w:val="left"/>
            </w:pPr>
            <w:r>
              <w:rPr>
                <w:rFonts w:ascii="Calibri" w:hAnsi="Calibri"/>
                <w:b/>
                <w:color w:val="FFFFFF"/>
                <w:sz w:val="17"/>
              </w:rPr>
              <w:t>Control</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Calibri" w:hAnsi="Calibri"/>
                <w:sz w:val="17"/>
              </w:rPr>
              <w:t>AR novelty mistaken for learning</w:t>
            </w:r>
          </w:p>
        </w:tc>
        <w:tc>
          <w:tcPr>
            <w:tcW w:type="dxa" w:w="3300"/>
            <w:vAlign w:val="center"/>
            <w:tcMar>
              <w:top w:w="90" w:type="dxa"/>
              <w:start w:w="120" w:type="dxa"/>
              <w:bottom w:w="90" w:type="dxa"/>
              <w:end w:w="120" w:type="dxa"/>
            </w:tcMar>
          </w:tcPr>
          <w:p>
            <w:pPr>
              <w:spacing w:after="0" w:line="252" w:lineRule="auto"/>
            </w:pPr>
            <w:r>
              <w:rPr>
                <w:rFonts w:ascii="Calibri" w:hAnsi="Calibri"/>
                <w:sz w:val="17"/>
              </w:rPr>
              <w:t>High engagement may not transfer to skill.</w:t>
            </w:r>
          </w:p>
        </w:tc>
        <w:tc>
          <w:tcPr>
            <w:tcW w:type="dxa" w:w="4160"/>
            <w:vAlign w:val="center"/>
            <w:tcMar>
              <w:top w:w="90" w:type="dxa"/>
              <w:start w:w="120" w:type="dxa"/>
              <w:bottom w:w="90" w:type="dxa"/>
              <w:end w:w="120" w:type="dxa"/>
            </w:tcMar>
          </w:tcPr>
          <w:p>
            <w:pPr>
              <w:spacing w:after="0" w:line="252" w:lineRule="auto"/>
            </w:pPr>
            <w:r>
              <w:rPr>
                <w:rFonts w:ascii="Calibri" w:hAnsi="Calibri"/>
                <w:sz w:val="17"/>
              </w:rPr>
              <w:t>Use aligned pre/post tests and an independent physical performance rubric.</w:t>
            </w:r>
          </w:p>
        </w:tc>
      </w:tr>
      <w:tr>
        <w:trPr>
          <w:cantSplit w:val="true"/>
        </w:trPr>
        <w:tc>
          <w:tcPr>
            <w:tcW w:type="dxa" w:w="1900"/>
            <w:shd w:fill="FAFBFC"/>
            <w:vAlign w:val="center"/>
            <w:tcMar>
              <w:top w:w="90" w:type="dxa"/>
              <w:start w:w="120" w:type="dxa"/>
              <w:bottom w:w="90" w:type="dxa"/>
              <w:end w:w="120" w:type="dxa"/>
            </w:tcMar>
          </w:tcPr>
          <w:p>
            <w:pPr>
              <w:spacing w:after="0" w:line="252" w:lineRule="auto"/>
            </w:pPr>
            <w:r>
              <w:rPr>
                <w:rFonts w:ascii="Calibri" w:hAnsi="Calibri"/>
                <w:sz w:val="17"/>
              </w:rPr>
              <w:t>Tracking failure treated as learner error</w:t>
            </w:r>
          </w:p>
        </w:tc>
        <w:tc>
          <w:tcPr>
            <w:tcW w:type="dxa" w:w="3300"/>
            <w:shd w:fill="FAFBFC"/>
            <w:vAlign w:val="center"/>
            <w:tcMar>
              <w:top w:w="90" w:type="dxa"/>
              <w:start w:w="120" w:type="dxa"/>
              <w:bottom w:w="90" w:type="dxa"/>
              <w:end w:w="120" w:type="dxa"/>
            </w:tcMar>
          </w:tcPr>
          <w:p>
            <w:pPr>
              <w:spacing w:after="0" w:line="252" w:lineRule="auto"/>
            </w:pPr>
            <w:r>
              <w:rPr>
                <w:rFonts w:ascii="Calibri" w:hAnsi="Calibri"/>
                <w:sz w:val="17"/>
              </w:rPr>
              <w:t>Creates unfair scores and damages trust.</w:t>
            </w:r>
          </w:p>
        </w:tc>
        <w:tc>
          <w:tcPr>
            <w:tcW w:type="dxa" w:w="4160"/>
            <w:shd w:fill="FAFBFC"/>
            <w:vAlign w:val="center"/>
            <w:tcMar>
              <w:top w:w="90" w:type="dxa"/>
              <w:start w:w="120" w:type="dxa"/>
              <w:bottom w:w="90" w:type="dxa"/>
              <w:end w:w="120" w:type="dxa"/>
            </w:tcMar>
          </w:tcPr>
          <w:p>
            <w:pPr>
              <w:spacing w:after="0" w:line="252" w:lineRule="auto"/>
            </w:pPr>
            <w:r>
              <w:rPr>
                <w:rFonts w:ascii="Calibri" w:hAnsi="Calibri"/>
                <w:sz w:val="17"/>
              </w:rPr>
              <w:t>Separate recognition events from competency events; allow fallback and instructor review.</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Calibri" w:hAnsi="Calibri"/>
                <w:sz w:val="17"/>
              </w:rPr>
              <w:t>Unsafe real-equipment use</w:t>
            </w:r>
          </w:p>
        </w:tc>
        <w:tc>
          <w:tcPr>
            <w:tcW w:type="dxa" w:w="3300"/>
            <w:vAlign w:val="center"/>
            <w:tcMar>
              <w:top w:w="90" w:type="dxa"/>
              <w:start w:w="120" w:type="dxa"/>
              <w:bottom w:w="90" w:type="dxa"/>
              <w:end w:w="120" w:type="dxa"/>
            </w:tcMar>
          </w:tcPr>
          <w:p>
            <w:pPr>
              <w:spacing w:after="0" w:line="252" w:lineRule="auto"/>
            </w:pPr>
            <w:r>
              <w:rPr>
                <w:rFonts w:ascii="Calibri" w:hAnsi="Calibri"/>
                <w:sz w:val="17"/>
              </w:rPr>
              <w:t>Overlays can distract or be spatially wrong.</w:t>
            </w:r>
          </w:p>
        </w:tc>
        <w:tc>
          <w:tcPr>
            <w:tcW w:type="dxa" w:w="4160"/>
            <w:vAlign w:val="center"/>
            <w:tcMar>
              <w:top w:w="90" w:type="dxa"/>
              <w:start w:w="120" w:type="dxa"/>
              <w:bottom w:w="90" w:type="dxa"/>
              <w:end w:w="120" w:type="dxa"/>
            </w:tcMar>
          </w:tcPr>
          <w:p>
            <w:pPr>
              <w:spacing w:after="0" w:line="252" w:lineRule="auto"/>
            </w:pPr>
            <w:r>
              <w:rPr>
                <w:rFonts w:ascii="Calibri" w:hAnsi="Calibri"/>
                <w:sz w:val="17"/>
              </w:rPr>
              <w:t>Start with training rigs; validate anchors; show stop conditions; require supervision.</w:t>
            </w:r>
          </w:p>
        </w:tc>
      </w:tr>
      <w:tr>
        <w:trPr>
          <w:cantSplit w:val="true"/>
        </w:trPr>
        <w:tc>
          <w:tcPr>
            <w:tcW w:type="dxa" w:w="1900"/>
            <w:shd w:fill="FAFBFC"/>
            <w:vAlign w:val="center"/>
            <w:tcMar>
              <w:top w:w="90" w:type="dxa"/>
              <w:start w:w="120" w:type="dxa"/>
              <w:bottom w:w="90" w:type="dxa"/>
              <w:end w:w="120" w:type="dxa"/>
            </w:tcMar>
          </w:tcPr>
          <w:p>
            <w:pPr>
              <w:spacing w:after="0" w:line="252" w:lineRule="auto"/>
            </w:pPr>
            <w:r>
              <w:rPr>
                <w:rFonts w:ascii="Calibri" w:hAnsi="Calibri"/>
                <w:sz w:val="17"/>
              </w:rPr>
              <w:t>High asset/network cost</w:t>
            </w:r>
          </w:p>
        </w:tc>
        <w:tc>
          <w:tcPr>
            <w:tcW w:type="dxa" w:w="3300"/>
            <w:shd w:fill="FAFBFC"/>
            <w:vAlign w:val="center"/>
            <w:tcMar>
              <w:top w:w="90" w:type="dxa"/>
              <w:start w:w="120" w:type="dxa"/>
              <w:bottom w:w="90" w:type="dxa"/>
              <w:end w:w="120" w:type="dxa"/>
            </w:tcMar>
          </w:tcPr>
          <w:p>
            <w:pPr>
              <w:spacing w:after="0" w:line="252" w:lineRule="auto"/>
            </w:pPr>
            <w:r>
              <w:rPr>
                <w:rFonts w:ascii="Calibri" w:hAnsi="Calibri"/>
                <w:sz w:val="17"/>
              </w:rPr>
              <w:t>Excludes the exact learners the research intends to serve.</w:t>
            </w:r>
          </w:p>
        </w:tc>
        <w:tc>
          <w:tcPr>
            <w:tcW w:type="dxa" w:w="4160"/>
            <w:shd w:fill="FAFBFC"/>
            <w:vAlign w:val="center"/>
            <w:tcMar>
              <w:top w:w="90" w:type="dxa"/>
              <w:start w:w="120" w:type="dxa"/>
              <w:bottom w:w="90" w:type="dxa"/>
              <w:end w:w="120" w:type="dxa"/>
            </w:tcMar>
          </w:tcPr>
          <w:p>
            <w:pPr>
              <w:spacing w:after="0" w:line="252" w:lineRule="auto"/>
            </w:pPr>
            <w:r>
              <w:rPr>
                <w:rFonts w:ascii="Calibri" w:hAnsi="Calibri"/>
                <w:sz w:val="17"/>
              </w:rPr>
              <w:t>Budgets, progressive loading, caching, quality tiers, offline completion, and field network tests.</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Calibri" w:hAnsi="Calibri"/>
                <w:sz w:val="17"/>
              </w:rPr>
              <w:t>Premature machine learning</w:t>
            </w:r>
          </w:p>
        </w:tc>
        <w:tc>
          <w:tcPr>
            <w:tcW w:type="dxa" w:w="3300"/>
            <w:vAlign w:val="center"/>
            <w:tcMar>
              <w:top w:w="90" w:type="dxa"/>
              <w:start w:w="120" w:type="dxa"/>
              <w:bottom w:w="90" w:type="dxa"/>
              <w:end w:w="120" w:type="dxa"/>
            </w:tcMar>
          </w:tcPr>
          <w:p>
            <w:pPr>
              <w:spacing w:after="0" w:line="252" w:lineRule="auto"/>
            </w:pPr>
            <w:r>
              <w:rPr>
                <w:rFonts w:ascii="Calibri" w:hAnsi="Calibri"/>
                <w:sz w:val="17"/>
              </w:rPr>
              <w:t>Small biased datasets can personalize incorrectly and obscure decisions.</w:t>
            </w:r>
          </w:p>
        </w:tc>
        <w:tc>
          <w:tcPr>
            <w:tcW w:type="dxa" w:w="4160"/>
            <w:vAlign w:val="center"/>
            <w:tcMar>
              <w:top w:w="90" w:type="dxa"/>
              <w:start w:w="120" w:type="dxa"/>
              <w:bottom w:w="90" w:type="dxa"/>
              <w:end w:w="120" w:type="dxa"/>
            </w:tcMar>
          </w:tcPr>
          <w:p>
            <w:pPr>
              <w:spacing w:after="0" w:line="252" w:lineRule="auto"/>
            </w:pPr>
            <w:r>
              <w:rPr>
                <w:rFonts w:ascii="Calibri" w:hAnsi="Calibri"/>
                <w:sz w:val="17"/>
              </w:rPr>
              <w:t>Use versioned transparent rules first; review fairness before any learned model.</w:t>
            </w:r>
          </w:p>
        </w:tc>
      </w:tr>
      <w:tr>
        <w:trPr>
          <w:cantSplit w:val="true"/>
        </w:trPr>
        <w:tc>
          <w:tcPr>
            <w:tcW w:type="dxa" w:w="1900"/>
            <w:shd w:fill="FAFBFC"/>
            <w:vAlign w:val="center"/>
            <w:tcMar>
              <w:top w:w="90" w:type="dxa"/>
              <w:start w:w="120" w:type="dxa"/>
              <w:bottom w:w="90" w:type="dxa"/>
              <w:end w:w="120" w:type="dxa"/>
            </w:tcMar>
          </w:tcPr>
          <w:p>
            <w:pPr>
              <w:spacing w:after="0" w:line="252" w:lineRule="auto"/>
            </w:pPr>
            <w:r>
              <w:rPr>
                <w:rFonts w:ascii="Calibri" w:hAnsi="Calibri"/>
                <w:sz w:val="17"/>
              </w:rPr>
              <w:t>Overclaiming evidence</w:t>
            </w:r>
          </w:p>
        </w:tc>
        <w:tc>
          <w:tcPr>
            <w:tcW w:type="dxa" w:w="3300"/>
            <w:shd w:fill="FAFBFC"/>
            <w:vAlign w:val="center"/>
            <w:tcMar>
              <w:top w:w="90" w:type="dxa"/>
              <w:start w:w="120" w:type="dxa"/>
              <w:bottom w:w="90" w:type="dxa"/>
              <w:end w:w="120" w:type="dxa"/>
            </w:tcMar>
          </w:tcPr>
          <w:p>
            <w:pPr>
              <w:spacing w:after="0" w:line="252" w:lineRule="auto"/>
            </w:pPr>
            <w:r>
              <w:rPr>
                <w:rFonts w:ascii="Calibri" w:hAnsi="Calibri"/>
                <w:sz w:val="17"/>
              </w:rPr>
              <w:t>The dissertation has no pilot results and OPedu has no AR field trial.</w:t>
            </w:r>
          </w:p>
        </w:tc>
        <w:tc>
          <w:tcPr>
            <w:tcW w:type="dxa" w:w="4160"/>
            <w:shd w:fill="FAFBFC"/>
            <w:vAlign w:val="center"/>
            <w:tcMar>
              <w:top w:w="90" w:type="dxa"/>
              <w:start w:w="120" w:type="dxa"/>
              <w:bottom w:w="90" w:type="dxa"/>
              <w:end w:w="120" w:type="dxa"/>
            </w:tcMar>
          </w:tcPr>
          <w:p>
            <w:pPr>
              <w:spacing w:after="0" w:line="252" w:lineRule="auto"/>
            </w:pPr>
            <w:r>
              <w:rPr>
                <w:rFonts w:ascii="Calibri" w:hAnsi="Calibri"/>
                <w:sz w:val="17"/>
              </w:rPr>
              <w:t>Use precise product language and publish limitations with every pilot result.</w:t>
            </w:r>
          </w:p>
        </w:tc>
      </w:tr>
      <w:tr>
        <w:trPr>
          <w:cantSplit w:val="true"/>
        </w:trPr>
        <w:tc>
          <w:tcPr>
            <w:tcW w:type="dxa" w:w="1900"/>
            <w:vAlign w:val="center"/>
            <w:tcMar>
              <w:top w:w="90" w:type="dxa"/>
              <w:start w:w="120" w:type="dxa"/>
              <w:bottom w:w="90" w:type="dxa"/>
              <w:end w:w="120" w:type="dxa"/>
            </w:tcMar>
          </w:tcPr>
          <w:p>
            <w:pPr>
              <w:spacing w:after="0" w:line="252" w:lineRule="auto"/>
            </w:pPr>
            <w:r>
              <w:rPr>
                <w:rFonts w:ascii="Calibri" w:hAnsi="Calibri"/>
                <w:sz w:val="17"/>
              </w:rPr>
              <w:t>Fragmented architecture</w:t>
            </w:r>
          </w:p>
        </w:tc>
        <w:tc>
          <w:tcPr>
            <w:tcW w:type="dxa" w:w="3300"/>
            <w:vAlign w:val="center"/>
            <w:tcMar>
              <w:top w:w="90" w:type="dxa"/>
              <w:start w:w="120" w:type="dxa"/>
              <w:bottom w:w="90" w:type="dxa"/>
              <w:end w:w="120" w:type="dxa"/>
            </w:tcMar>
          </w:tcPr>
          <w:p>
            <w:pPr>
              <w:spacing w:after="0" w:line="252" w:lineRule="auto"/>
            </w:pPr>
            <w:r>
              <w:rPr>
                <w:rFonts w:ascii="Calibri" w:hAnsi="Calibri"/>
                <w:sz w:val="17"/>
              </w:rPr>
              <w:t>New services can increase operational burden for schools.</w:t>
            </w:r>
          </w:p>
        </w:tc>
        <w:tc>
          <w:tcPr>
            <w:tcW w:type="dxa" w:w="4160"/>
            <w:vAlign w:val="center"/>
            <w:tcMar>
              <w:top w:w="90" w:type="dxa"/>
              <w:start w:w="120" w:type="dxa"/>
              <w:bottom w:w="90" w:type="dxa"/>
              <w:end w:w="120" w:type="dxa"/>
            </w:tcMar>
          </w:tcPr>
          <w:p>
            <w:pPr>
              <w:spacing w:after="0" w:line="252" w:lineRule="auto"/>
            </w:pPr>
            <w:r>
              <w:rPr>
                <w:rFonts w:ascii="Calibri" w:hAnsi="Calibri"/>
                <w:sz w:val="17"/>
              </w:rPr>
              <w:t>Keep the modular monolith; add adapters and background jobs only when evidence requires them.</w:t>
            </w:r>
          </w:p>
        </w:tc>
      </w:tr>
    </w:tbl>
    <w:p>
      <w:pPr>
        <w:spacing w:after="0"/>
      </w:pPr>
    </w:p>
    <w:p>
      <w:pPr>
        <w:pStyle w:val="Heading1"/>
      </w:pPr>
      <w:r>
        <w:t>12. Decisions required before implementation</w:t>
      </w:r>
    </w:p>
    <w:p>
      <w:r>
        <w:rPr>
          <w:rFonts w:ascii="Calibri" w:hAnsi="Calibri"/>
        </w:rPr>
        <w:t>These are product, research, curriculum, and institutional decisions rather than coding tasks:</w:t>
      </w:r>
    </w:p>
    <w:p>
      <w:pPr>
        <w:numPr>
          <w:ilvl w:val="0"/>
          <w:numId w:val="10"/>
        </w:numPr>
      </w:pPr>
      <w:r>
        <w:rPr>
          <w:rFonts w:ascii="Calibri" w:hAnsi="Calibri"/>
        </w:rPr>
        <w:t>Name the first pilot school(s), qualified technical instructor, curriculum standard, and approved training equipment.</w:t>
      </w:r>
    </w:p>
    <w:p>
      <w:pPr>
        <w:numPr>
          <w:ilvl w:val="0"/>
          <w:numId w:val="10"/>
        </w:numPr>
      </w:pPr>
      <w:r>
        <w:rPr>
          <w:rFonts w:ascii="Calibri" w:hAnsi="Calibri"/>
        </w:rPr>
        <w:t>Choose the first supported Android device/browser baseline and whether a marker is acceptable for the first pilot.</w:t>
      </w:r>
    </w:p>
    <w:p>
      <w:pPr>
        <w:numPr>
          <w:ilvl w:val="0"/>
          <w:numId w:val="10"/>
        </w:numPr>
      </w:pPr>
      <w:r>
        <w:rPr>
          <w:rFonts w:ascii="Calibri" w:hAnsi="Calibri"/>
        </w:rPr>
        <w:t>Define whether the pilot requires integration with an existing LMS or LRS; avoid building both without an institutional need.</w:t>
      </w:r>
    </w:p>
    <w:p>
      <w:pPr>
        <w:numPr>
          <w:ilvl w:val="0"/>
          <w:numId w:val="10"/>
        </w:numPr>
      </w:pPr>
      <w:r>
        <w:rPr>
          <w:rFonts w:ascii="Calibri" w:hAnsi="Calibri"/>
        </w:rPr>
        <w:t>Approve the minimum learner data set, lawful basis, consent materials, retention, and research export process.</w:t>
      </w:r>
    </w:p>
    <w:p>
      <w:pPr>
        <w:numPr>
          <w:ilvl w:val="0"/>
          <w:numId w:val="10"/>
        </w:numPr>
      </w:pPr>
      <w:r>
        <w:rPr>
          <w:rFonts w:ascii="Calibri" w:hAnsi="Calibri"/>
        </w:rPr>
        <w:t>Approve success thresholds for SUS, learning gain, practical transfer, recognition reliability, offline synchronization, accessibility, and instructor workload.</w:t>
      </w:r>
    </w:p>
    <w:p>
      <w:pPr>
        <w:numPr>
          <w:ilvl w:val="0"/>
          <w:numId w:val="10"/>
        </w:numPr>
      </w:pPr>
      <w:r>
        <w:rPr>
          <w:rFonts w:ascii="Calibri" w:hAnsi="Calibri"/>
        </w:rPr>
        <w:t>Approve product terminology: '3D technical learning platform' now; 'WebAR platform' only after the qualification gate.</w:t>
      </w:r>
    </w:p>
    <w:p>
      <w:r>
        <w:br w:type="page"/>
      </w:r>
    </w:p>
    <w:p>
      <w:pPr>
        <w:pStyle w:val="Heading1"/>
      </w:pPr>
      <w:r>
        <w:t>13. Final assessment</w:t>
      </w:r>
    </w:p>
    <w:p>
      <w:r>
        <w:rPr>
          <w:rFonts w:ascii="Calibri" w:hAnsi="Calibri"/>
        </w:rPr>
        <w:t>OPedu has progressed beyond the dissertation's simplified data and assessment specification in several important areas: tenant-aware institutional roles, content governance, versioned simulation packages, deterministic grading, safety evidence, and competency results are already concrete. This is valuable because these capabilities are difficult to retrofit after an AR demo is built.</w:t>
      </w:r>
    </w:p>
    <w:p>
      <w:r>
        <w:rPr>
          <w:rFonts w:ascii="Calibri" w:hAnsi="Calibri"/>
        </w:rPr>
        <w:t>The missing work is the research's distinctive contribution: a genuine low-bandwidth WebAR client, adaptive sequencing, xAPI-compatible analytics, equivalent fallback, and empirical evaluation. The recommended strategy is therefore not a rewrite. It is a disciplined extension of the current shared scenario and evidence model into AR, followed by an ethically governed technical-school pilot.</w:t>
      </w:r>
    </w:p>
    <w:tbl>
      <w:tblPr>
        <w:tblW w:type="dxa" w:w="9360"/>
        <w:jc w:val="left"/>
        <w:tblLayout w:type="fixed"/>
        <w:tblLook w:firstColumn="1" w:firstRow="1" w:lastColumn="0" w:lastRow="0" w:noHBand="0" w:noVBand="1" w:val="04A0"/>
        <w:tblInd w:w="120" w:type="dxa"/>
        <w:tblBorders>
          <w:top w:val="single" w:sz="4" w:color="E7F2EC"/>
          <w:left w:val="single" w:sz="4" w:color="E7F2EC"/>
          <w:bottom w:val="single" w:sz="4" w:color="E7F2EC"/>
          <w:right w:val="single" w:sz="4" w:color="E7F2EC"/>
          <w:insideH w:val="single" w:sz="4" w:color="E7F2EC"/>
          <w:insideV w:val="single" w:sz="4" w:color="E7F2EC"/>
        </w:tblBorders>
      </w:tblPr>
      <w:tblGrid>
        <w:gridCol w:w="9360"/>
      </w:tblGrid>
      <w:tr>
        <w:trPr>
          <w:tblHeader w:val="true"/>
          <w:cantSplit w:val="true"/>
        </w:trPr>
        <w:tc>
          <w:tcPr>
            <w:tcW w:type="dxa" w:w="9360"/>
            <w:vAlign w:val="center"/>
            <w:tcMar>
              <w:top w:w="90" w:type="dxa"/>
              <w:start w:w="120" w:type="dxa"/>
              <w:bottom w:w="90" w:type="dxa"/>
              <w:end w:w="120" w:type="dxa"/>
            </w:tcMar>
            <w:shd w:fill="E7F2EC"/>
          </w:tcPr>
          <w:p>
            <w:pPr>
              <w:spacing w:after="0"/>
            </w:pPr>
            <w:r>
              <w:rPr>
                <w:rFonts w:ascii="Calibri" w:hAnsi="Calibri"/>
                <w:b/>
                <w:color w:val="17365D"/>
              </w:rPr>
              <w:t xml:space="preserve">Decision recommendation: </w:t>
            </w:r>
            <w:r>
              <w:rPr>
                <w:rFonts w:ascii="Calibri" w:hAnsi="Calibri"/>
                <w:color w:val="1A1A1A"/>
              </w:rPr>
              <w:t>Proceed to an AR minimum vertical slice only after the first procedure, training rig, device baseline, fallback equivalence, data map, and pilot success criteria are approved. Build one evidence-complete battery AR lesson before expanding to additional trades or headsets.</w:t>
            </w:r>
          </w:p>
        </w:tc>
      </w:tr>
    </w:tbl>
    <w:p>
      <w:pPr>
        <w:spacing w:after="0"/>
      </w:pPr>
    </w:p>
    <w:p>
      <w:r>
        <w:br w:type="page"/>
      </w:r>
    </w:p>
    <w:p>
      <w:pPr>
        <w:pStyle w:val="Heading1"/>
      </w:pPr>
      <w:r>
        <w:t>Appendix A. Detailed requirement checklist</w:t>
      </w:r>
    </w:p>
    <w:tbl>
      <w:tblPr>
        <w:tblStyle w:val="TableGrid"/>
        <w:tblW w:type="dxa" w:w="9360"/>
        <w:tblLayout w:type="fixed"/>
        <w:tblLook w:firstColumn="1" w:firstRow="1" w:lastColumn="0" w:lastRow="0" w:noHBand="0" w:noVBand="1" w:val="04A0"/>
        <w:jc w:val="left"/>
        <w:tblInd w:w="120" w:type="dxa"/>
        <w:tblBorders>
          <w:top w:val="single" w:sz="5" w:color="C7CDD4"/>
          <w:left w:val="single" w:sz="5" w:color="C7CDD4"/>
          <w:bottom w:val="single" w:sz="5" w:color="C7CDD4"/>
          <w:right w:val="single" w:sz="5" w:color="C7CDD4"/>
          <w:insideH w:val="single" w:sz="5" w:color="C7CDD4"/>
          <w:insideV w:val="single" w:sz="5" w:color="C7CDD4"/>
        </w:tblBorders>
      </w:tblPr>
      <w:tblGrid>
        <w:gridCol w:w="750"/>
        <w:gridCol w:w="2800"/>
        <w:gridCol w:w="1200"/>
        <w:gridCol w:w="4610"/>
      </w:tblGrid>
      <w:tr>
        <w:trPr>
          <w:tblHeader w:val="true"/>
        </w:trPr>
        <w:tc>
          <w:tcPr>
            <w:tcW w:type="dxa" w:w="750"/>
            <w:vAlign w:val="center"/>
            <w:tcMar>
              <w:top w:w="90" w:type="dxa"/>
              <w:start w:w="120" w:type="dxa"/>
              <w:bottom w:w="90" w:type="dxa"/>
              <w:end w:w="120" w:type="dxa"/>
            </w:tcMar>
            <w:shd w:fill="17365D"/>
          </w:tcPr>
          <w:p>
            <w:pPr>
              <w:spacing w:after="0"/>
              <w:jc w:val="left"/>
            </w:pPr>
            <w:r>
              <w:rPr>
                <w:rFonts w:ascii="Calibri" w:hAnsi="Calibri"/>
                <w:b/>
                <w:color w:val="FFFFFF"/>
                <w:sz w:val="17"/>
              </w:rPr>
              <w:t>ID</w:t>
            </w:r>
          </w:p>
        </w:tc>
        <w:tc>
          <w:tcPr>
            <w:tcW w:type="dxa" w:w="2800"/>
            <w:vAlign w:val="center"/>
            <w:tcMar>
              <w:top w:w="90" w:type="dxa"/>
              <w:start w:w="120" w:type="dxa"/>
              <w:bottom w:w="90" w:type="dxa"/>
              <w:end w:w="120" w:type="dxa"/>
            </w:tcMar>
            <w:shd w:fill="17365D"/>
          </w:tcPr>
          <w:p>
            <w:pPr>
              <w:spacing w:after="0"/>
              <w:jc w:val="left"/>
            </w:pPr>
            <w:r>
              <w:rPr>
                <w:rFonts w:ascii="Calibri" w:hAnsi="Calibri"/>
                <w:b/>
                <w:color w:val="FFFFFF"/>
                <w:sz w:val="17"/>
              </w:rPr>
              <w:t>Requirement</w:t>
            </w:r>
          </w:p>
        </w:tc>
        <w:tc>
          <w:tcPr>
            <w:tcW w:type="dxa" w:w="1200"/>
            <w:vAlign w:val="center"/>
            <w:tcMar>
              <w:top w:w="90" w:type="dxa"/>
              <w:start w:w="120" w:type="dxa"/>
              <w:bottom w:w="90" w:type="dxa"/>
              <w:end w:w="120" w:type="dxa"/>
            </w:tcMar>
            <w:shd w:fill="17365D"/>
          </w:tcPr>
          <w:p>
            <w:pPr>
              <w:spacing w:after="0"/>
              <w:jc w:val="left"/>
            </w:pPr>
            <w:r>
              <w:rPr>
                <w:rFonts w:ascii="Calibri" w:hAnsi="Calibri"/>
                <w:b/>
                <w:color w:val="FFFFFF"/>
                <w:sz w:val="17"/>
              </w:rPr>
              <w:t>Current</w:t>
            </w:r>
          </w:p>
        </w:tc>
        <w:tc>
          <w:tcPr>
            <w:tcW w:type="dxa" w:w="4610"/>
            <w:vAlign w:val="center"/>
            <w:tcMar>
              <w:top w:w="90" w:type="dxa"/>
              <w:start w:w="120" w:type="dxa"/>
              <w:bottom w:w="90" w:type="dxa"/>
              <w:end w:w="120" w:type="dxa"/>
            </w:tcMar>
            <w:shd w:fill="17365D"/>
          </w:tcPr>
          <w:p>
            <w:pPr>
              <w:spacing w:after="0"/>
              <w:jc w:val="left"/>
            </w:pPr>
            <w:r>
              <w:rPr>
                <w:rFonts w:ascii="Calibri" w:hAnsi="Calibri"/>
                <w:b/>
                <w:color w:val="FFFFFF"/>
                <w:sz w:val="17"/>
              </w:rPr>
              <w:t>Target acceptance evidence</w:t>
            </w:r>
          </w:p>
        </w:tc>
      </w:tr>
      <w:tr>
        <w:trPr>
          <w:cantSplit w:val="true"/>
        </w:trPr>
        <w:tc>
          <w:tcPr>
            <w:tcW w:type="dxa" w:w="750"/>
            <w:vAlign w:val="center"/>
            <w:tcMar>
              <w:top w:w="90" w:type="dxa"/>
              <w:start w:w="120" w:type="dxa"/>
              <w:bottom w:w="90" w:type="dxa"/>
              <w:end w:w="120" w:type="dxa"/>
            </w:tcMar>
          </w:tcPr>
          <w:p>
            <w:pPr>
              <w:spacing w:after="0" w:line="252" w:lineRule="auto"/>
            </w:pPr>
            <w:r>
              <w:rPr>
                <w:rFonts w:ascii="Calibri" w:hAnsi="Calibri"/>
                <w:sz w:val="17"/>
              </w:rPr>
              <w:t>AR-01</w:t>
            </w:r>
          </w:p>
        </w:tc>
        <w:tc>
          <w:tcPr>
            <w:tcW w:type="dxa" w:w="2800"/>
            <w:vAlign w:val="center"/>
            <w:tcMar>
              <w:top w:w="90" w:type="dxa"/>
              <w:start w:w="120" w:type="dxa"/>
              <w:bottom w:w="90" w:type="dxa"/>
              <w:end w:w="120" w:type="dxa"/>
            </w:tcMar>
          </w:tcPr>
          <w:p>
            <w:pPr>
              <w:spacing w:after="0" w:line="252" w:lineRule="auto"/>
            </w:pPr>
            <w:r>
              <w:rPr>
                <w:rFonts w:ascii="Calibri" w:hAnsi="Calibri"/>
                <w:sz w:val="17"/>
              </w:rPr>
              <w:t>Camera-based browser AR session</w:t>
            </w:r>
          </w:p>
        </w:tc>
        <w:tc>
          <w:tcPr>
            <w:tcW w:type="dxa" w:w="1200"/>
            <w:vAlign w:val="center"/>
            <w:tcMar>
              <w:top w:w="90" w:type="dxa"/>
              <w:start w:w="120" w:type="dxa"/>
              <w:bottom w:w="90" w:type="dxa"/>
              <w:end w:w="120" w:type="dxa"/>
            </w:tcMar>
          </w:tcPr>
          <w:p>
            <w:pPr>
              <w:spacing w:after="0" w:line="252" w:lineRule="auto"/>
            </w:pPr>
            <w:r>
              <w:rPr>
                <w:rFonts w:ascii="Calibri" w:hAnsi="Calibri"/>
                <w:sz w:val="17"/>
              </w:rPr>
              <w:t>Missing</w:t>
            </w:r>
          </w:p>
        </w:tc>
        <w:tc>
          <w:tcPr>
            <w:tcW w:type="dxa" w:w="4610"/>
            <w:vAlign w:val="center"/>
            <w:tcMar>
              <w:top w:w="90" w:type="dxa"/>
              <w:start w:w="120" w:type="dxa"/>
              <w:bottom w:w="90" w:type="dxa"/>
              <w:end w:w="120" w:type="dxa"/>
            </w:tcMar>
          </w:tcPr>
          <w:p>
            <w:pPr>
              <w:spacing w:after="0" w:line="252" w:lineRule="auto"/>
            </w:pPr>
            <w:r>
              <w:rPr>
                <w:rFonts w:ascii="Calibri" w:hAnsi="Calibri"/>
                <w:sz w:val="17"/>
              </w:rPr>
              <w:t>Recorded run on each supported browser/device.</w:t>
            </w:r>
          </w:p>
        </w:tc>
      </w:tr>
      <w:tr>
        <w:trPr>
          <w:cantSplit w:val="true"/>
        </w:trPr>
        <w:tc>
          <w:tcPr>
            <w:tcW w:type="dxa" w:w="750"/>
            <w:shd w:fill="FAFBFC"/>
            <w:vAlign w:val="center"/>
            <w:tcMar>
              <w:top w:w="90" w:type="dxa"/>
              <w:start w:w="120" w:type="dxa"/>
              <w:bottom w:w="90" w:type="dxa"/>
              <w:end w:w="120" w:type="dxa"/>
            </w:tcMar>
          </w:tcPr>
          <w:p>
            <w:pPr>
              <w:spacing w:after="0" w:line="252" w:lineRule="auto"/>
            </w:pPr>
            <w:r>
              <w:rPr>
                <w:rFonts w:ascii="Calibri" w:hAnsi="Calibri"/>
                <w:sz w:val="17"/>
              </w:rPr>
              <w:t>AR-02</w:t>
            </w:r>
          </w:p>
        </w:tc>
        <w:tc>
          <w:tcPr>
            <w:tcW w:type="dxa" w:w="2800"/>
            <w:shd w:fill="FAFBFC"/>
            <w:vAlign w:val="center"/>
            <w:tcMar>
              <w:top w:w="90" w:type="dxa"/>
              <w:start w:w="120" w:type="dxa"/>
              <w:bottom w:w="90" w:type="dxa"/>
              <w:end w:w="120" w:type="dxa"/>
            </w:tcMar>
          </w:tcPr>
          <w:p>
            <w:pPr>
              <w:spacing w:after="0" w:line="252" w:lineRule="auto"/>
            </w:pPr>
            <w:r>
              <w:rPr>
                <w:rFonts w:ascii="Calibri" w:hAnsi="Calibri"/>
                <w:sz w:val="17"/>
              </w:rPr>
              <w:t>Marker or surface recognition</w:t>
            </w:r>
          </w:p>
        </w:tc>
        <w:tc>
          <w:tcPr>
            <w:tcW w:type="dxa" w:w="1200"/>
            <w:shd w:fill="FAFBFC"/>
            <w:vAlign w:val="center"/>
            <w:tcMar>
              <w:top w:w="90" w:type="dxa"/>
              <w:start w:w="120" w:type="dxa"/>
              <w:bottom w:w="90" w:type="dxa"/>
              <w:end w:w="120" w:type="dxa"/>
            </w:tcMar>
          </w:tcPr>
          <w:p>
            <w:pPr>
              <w:spacing w:after="0" w:line="252" w:lineRule="auto"/>
            </w:pPr>
            <w:r>
              <w:rPr>
                <w:rFonts w:ascii="Calibri" w:hAnsi="Calibri"/>
                <w:sz w:val="17"/>
              </w:rPr>
              <w:t>Missing</w:t>
            </w:r>
          </w:p>
        </w:tc>
        <w:tc>
          <w:tcPr>
            <w:tcW w:type="dxa" w:w="4610"/>
            <w:shd w:fill="FAFBFC"/>
            <w:vAlign w:val="center"/>
            <w:tcMar>
              <w:top w:w="90" w:type="dxa"/>
              <w:start w:w="120" w:type="dxa"/>
              <w:bottom w:w="90" w:type="dxa"/>
              <w:end w:w="120" w:type="dxa"/>
            </w:tcMar>
          </w:tcPr>
          <w:p>
            <w:pPr>
              <w:spacing w:after="0" w:line="252" w:lineRule="auto"/>
            </w:pPr>
            <w:r>
              <w:rPr>
                <w:rFonts w:ascii="Calibri" w:hAnsi="Calibri"/>
                <w:sz w:val="17"/>
              </w:rPr>
              <w:t>Accuracy, latency, false-placement, and recovery report.</w:t>
            </w:r>
          </w:p>
        </w:tc>
      </w:tr>
      <w:tr>
        <w:trPr>
          <w:cantSplit w:val="true"/>
        </w:trPr>
        <w:tc>
          <w:tcPr>
            <w:tcW w:type="dxa" w:w="750"/>
            <w:vAlign w:val="center"/>
            <w:tcMar>
              <w:top w:w="90" w:type="dxa"/>
              <w:start w:w="120" w:type="dxa"/>
              <w:bottom w:w="90" w:type="dxa"/>
              <w:end w:w="120" w:type="dxa"/>
            </w:tcMar>
          </w:tcPr>
          <w:p>
            <w:pPr>
              <w:spacing w:after="0" w:line="252" w:lineRule="auto"/>
            </w:pPr>
            <w:r>
              <w:rPr>
                <w:rFonts w:ascii="Calibri" w:hAnsi="Calibri"/>
                <w:sz w:val="17"/>
              </w:rPr>
              <w:t>AR-03</w:t>
            </w:r>
          </w:p>
        </w:tc>
        <w:tc>
          <w:tcPr>
            <w:tcW w:type="dxa" w:w="2800"/>
            <w:vAlign w:val="center"/>
            <w:tcMar>
              <w:top w:w="90" w:type="dxa"/>
              <w:start w:w="120" w:type="dxa"/>
              <w:bottom w:w="90" w:type="dxa"/>
              <w:end w:w="120" w:type="dxa"/>
            </w:tcMar>
          </w:tcPr>
          <w:p>
            <w:pPr>
              <w:spacing w:after="0" w:line="252" w:lineRule="auto"/>
            </w:pPr>
            <w:r>
              <w:rPr>
                <w:rFonts w:ascii="Calibri" w:hAnsi="Calibri"/>
                <w:sz w:val="17"/>
              </w:rPr>
              <w:t>Stable spatial placement</w:t>
            </w:r>
          </w:p>
        </w:tc>
        <w:tc>
          <w:tcPr>
            <w:tcW w:type="dxa" w:w="1200"/>
            <w:vAlign w:val="center"/>
            <w:tcMar>
              <w:top w:w="90" w:type="dxa"/>
              <w:start w:w="120" w:type="dxa"/>
              <w:bottom w:w="90" w:type="dxa"/>
              <w:end w:w="120" w:type="dxa"/>
            </w:tcMar>
          </w:tcPr>
          <w:p>
            <w:pPr>
              <w:spacing w:after="0" w:line="252" w:lineRule="auto"/>
            </w:pPr>
            <w:r>
              <w:rPr>
                <w:rFonts w:ascii="Calibri" w:hAnsi="Calibri"/>
                <w:sz w:val="17"/>
              </w:rPr>
              <w:t>Missing</w:t>
            </w:r>
          </w:p>
        </w:tc>
        <w:tc>
          <w:tcPr>
            <w:tcW w:type="dxa" w:w="4610"/>
            <w:vAlign w:val="center"/>
            <w:tcMar>
              <w:top w:w="90" w:type="dxa"/>
              <w:start w:w="120" w:type="dxa"/>
              <w:bottom w:w="90" w:type="dxa"/>
              <w:end w:w="120" w:type="dxa"/>
            </w:tcMar>
          </w:tcPr>
          <w:p>
            <w:pPr>
              <w:spacing w:after="0" w:line="252" w:lineRule="auto"/>
            </w:pPr>
            <w:r>
              <w:rPr>
                <w:rFonts w:ascii="Calibri" w:hAnsi="Calibri"/>
                <w:sz w:val="17"/>
              </w:rPr>
              <w:t>Anchor remains usable through the defined task envelope.</w:t>
            </w:r>
          </w:p>
        </w:tc>
      </w:tr>
      <w:tr>
        <w:trPr>
          <w:cantSplit w:val="true"/>
        </w:trPr>
        <w:tc>
          <w:tcPr>
            <w:tcW w:type="dxa" w:w="750"/>
            <w:shd w:fill="FAFBFC"/>
            <w:vAlign w:val="center"/>
            <w:tcMar>
              <w:top w:w="90" w:type="dxa"/>
              <w:start w:w="120" w:type="dxa"/>
              <w:bottom w:w="90" w:type="dxa"/>
              <w:end w:w="120" w:type="dxa"/>
            </w:tcMar>
          </w:tcPr>
          <w:p>
            <w:pPr>
              <w:spacing w:after="0" w:line="252" w:lineRule="auto"/>
            </w:pPr>
            <w:r>
              <w:rPr>
                <w:rFonts w:ascii="Calibri" w:hAnsi="Calibri"/>
                <w:sz w:val="17"/>
              </w:rPr>
              <w:t>AR-04</w:t>
            </w:r>
          </w:p>
        </w:tc>
        <w:tc>
          <w:tcPr>
            <w:tcW w:type="dxa" w:w="2800"/>
            <w:shd w:fill="FAFBFC"/>
            <w:vAlign w:val="center"/>
            <w:tcMar>
              <w:top w:w="90" w:type="dxa"/>
              <w:start w:w="120" w:type="dxa"/>
              <w:bottom w:w="90" w:type="dxa"/>
              <w:end w:w="120" w:type="dxa"/>
            </w:tcMar>
          </w:tcPr>
          <w:p>
            <w:pPr>
              <w:spacing w:after="0" w:line="252" w:lineRule="auto"/>
            </w:pPr>
            <w:r>
              <w:rPr>
                <w:rFonts w:ascii="Calibri" w:hAnsi="Calibri"/>
                <w:sz w:val="17"/>
              </w:rPr>
              <w:t>Shared desktop/AR action vocabulary</w:t>
            </w:r>
          </w:p>
        </w:tc>
        <w:tc>
          <w:tcPr>
            <w:tcW w:type="dxa" w:w="1200"/>
            <w:shd w:fill="FAFBFC"/>
            <w:vAlign w:val="center"/>
            <w:tcMar>
              <w:top w:w="90" w:type="dxa"/>
              <w:start w:w="120" w:type="dxa"/>
              <w:bottom w:w="90" w:type="dxa"/>
              <w:end w:w="120" w:type="dxa"/>
            </w:tcMar>
          </w:tcPr>
          <w:p>
            <w:pPr>
              <w:spacing w:after="0" w:line="252" w:lineRule="auto"/>
            </w:pPr>
            <w:r>
              <w:rPr>
                <w:rFonts w:ascii="Calibri" w:hAnsi="Calibri"/>
                <w:sz w:val="17"/>
              </w:rPr>
              <w:t>Foundation</w:t>
            </w:r>
          </w:p>
        </w:tc>
        <w:tc>
          <w:tcPr>
            <w:tcW w:type="dxa" w:w="4610"/>
            <w:shd w:fill="FAFBFC"/>
            <w:vAlign w:val="center"/>
            <w:tcMar>
              <w:top w:w="90" w:type="dxa"/>
              <w:start w:w="120" w:type="dxa"/>
              <w:bottom w:w="90" w:type="dxa"/>
              <w:end w:w="120" w:type="dxa"/>
            </w:tcMar>
          </w:tcPr>
          <w:p>
            <w:pPr>
              <w:spacing w:after="0" w:line="252" w:lineRule="auto"/>
            </w:pPr>
            <w:r>
              <w:rPr>
                <w:rFonts w:ascii="Calibri" w:hAnsi="Calibri"/>
                <w:sz w:val="17"/>
              </w:rPr>
              <w:t>Identical action codes and grading outcomes in parity tests.</w:t>
            </w:r>
          </w:p>
        </w:tc>
      </w:tr>
      <w:tr>
        <w:trPr>
          <w:cantSplit w:val="true"/>
        </w:trPr>
        <w:tc>
          <w:tcPr>
            <w:tcW w:type="dxa" w:w="750"/>
            <w:vAlign w:val="center"/>
            <w:tcMar>
              <w:top w:w="90" w:type="dxa"/>
              <w:start w:w="120" w:type="dxa"/>
              <w:bottom w:w="90" w:type="dxa"/>
              <w:end w:w="120" w:type="dxa"/>
            </w:tcMar>
          </w:tcPr>
          <w:p>
            <w:pPr>
              <w:spacing w:after="0" w:line="252" w:lineRule="auto"/>
            </w:pPr>
            <w:r>
              <w:rPr>
                <w:rFonts w:ascii="Calibri" w:hAnsi="Calibri"/>
                <w:sz w:val="17"/>
              </w:rPr>
              <w:t>AR-05</w:t>
            </w:r>
          </w:p>
        </w:tc>
        <w:tc>
          <w:tcPr>
            <w:tcW w:type="dxa" w:w="2800"/>
            <w:vAlign w:val="center"/>
            <w:tcMar>
              <w:top w:w="90" w:type="dxa"/>
              <w:start w:w="120" w:type="dxa"/>
              <w:bottom w:w="90" w:type="dxa"/>
              <w:end w:w="120" w:type="dxa"/>
            </w:tcMar>
          </w:tcPr>
          <w:p>
            <w:pPr>
              <w:spacing w:after="0" w:line="252" w:lineRule="auto"/>
            </w:pPr>
            <w:r>
              <w:rPr>
                <w:rFonts w:ascii="Calibri" w:hAnsi="Calibri"/>
                <w:sz w:val="17"/>
              </w:rPr>
              <w:t>Equivalent 2D fallback</w:t>
            </w:r>
          </w:p>
        </w:tc>
        <w:tc>
          <w:tcPr>
            <w:tcW w:type="dxa" w:w="1200"/>
            <w:vAlign w:val="center"/>
            <w:tcMar>
              <w:top w:w="90" w:type="dxa"/>
              <w:start w:w="120" w:type="dxa"/>
              <w:bottom w:w="90" w:type="dxa"/>
              <w:end w:w="120" w:type="dxa"/>
            </w:tcMar>
          </w:tcPr>
          <w:p>
            <w:pPr>
              <w:spacing w:after="0" w:line="252" w:lineRule="auto"/>
            </w:pPr>
            <w:r>
              <w:rPr>
                <w:rFonts w:ascii="Calibri" w:hAnsi="Calibri"/>
                <w:sz w:val="17"/>
              </w:rPr>
              <w:t>Partial</w:t>
            </w:r>
          </w:p>
        </w:tc>
        <w:tc>
          <w:tcPr>
            <w:tcW w:type="dxa" w:w="4610"/>
            <w:vAlign w:val="center"/>
            <w:tcMar>
              <w:top w:w="90" w:type="dxa"/>
              <w:start w:w="120" w:type="dxa"/>
              <w:bottom w:w="90" w:type="dxa"/>
              <w:end w:w="120" w:type="dxa"/>
            </w:tcMar>
          </w:tcPr>
          <w:p>
            <w:pPr>
              <w:spacing w:after="0" w:line="252" w:lineRule="auto"/>
            </w:pPr>
            <w:r>
              <w:rPr>
                <w:rFonts w:ascii="Calibri" w:hAnsi="Calibri"/>
                <w:sz w:val="17"/>
              </w:rPr>
              <w:t>All required steps and evidence complete without AR.</w:t>
            </w:r>
          </w:p>
        </w:tc>
      </w:tr>
      <w:tr>
        <w:trPr>
          <w:cantSplit w:val="true"/>
        </w:trPr>
        <w:tc>
          <w:tcPr>
            <w:tcW w:type="dxa" w:w="750"/>
            <w:shd w:fill="FAFBFC"/>
            <w:vAlign w:val="center"/>
            <w:tcMar>
              <w:top w:w="90" w:type="dxa"/>
              <w:start w:w="120" w:type="dxa"/>
              <w:bottom w:w="90" w:type="dxa"/>
              <w:end w:w="120" w:type="dxa"/>
            </w:tcMar>
          </w:tcPr>
          <w:p>
            <w:pPr>
              <w:spacing w:after="0" w:line="252" w:lineRule="auto"/>
            </w:pPr>
            <w:r>
              <w:rPr>
                <w:rFonts w:ascii="Calibri" w:hAnsi="Calibri"/>
                <w:sz w:val="17"/>
              </w:rPr>
              <w:t>PERF-01</w:t>
            </w:r>
          </w:p>
        </w:tc>
        <w:tc>
          <w:tcPr>
            <w:tcW w:type="dxa" w:w="2800"/>
            <w:shd w:fill="FAFBFC"/>
            <w:vAlign w:val="center"/>
            <w:tcMar>
              <w:top w:w="90" w:type="dxa"/>
              <w:start w:w="120" w:type="dxa"/>
              <w:bottom w:w="90" w:type="dxa"/>
              <w:end w:w="120" w:type="dxa"/>
            </w:tcMar>
          </w:tcPr>
          <w:p>
            <w:pPr>
              <w:spacing w:after="0" w:line="252" w:lineRule="auto"/>
            </w:pPr>
            <w:r>
              <w:rPr>
                <w:rFonts w:ascii="Calibri" w:hAnsi="Calibri"/>
                <w:sz w:val="17"/>
              </w:rPr>
              <w:t>Lowest-device performance budget</w:t>
            </w:r>
          </w:p>
        </w:tc>
        <w:tc>
          <w:tcPr>
            <w:tcW w:type="dxa" w:w="1200"/>
            <w:shd w:fill="FAFBFC"/>
            <w:vAlign w:val="center"/>
            <w:tcMar>
              <w:top w:w="90" w:type="dxa"/>
              <w:start w:w="120" w:type="dxa"/>
              <w:bottom w:w="90" w:type="dxa"/>
              <w:end w:w="120" w:type="dxa"/>
            </w:tcMar>
          </w:tcPr>
          <w:p>
            <w:pPr>
              <w:spacing w:after="0" w:line="252" w:lineRule="auto"/>
            </w:pPr>
            <w:r>
              <w:rPr>
                <w:rFonts w:ascii="Calibri" w:hAnsi="Calibri"/>
                <w:sz w:val="17"/>
              </w:rPr>
              <w:t>Missing</w:t>
            </w:r>
          </w:p>
        </w:tc>
        <w:tc>
          <w:tcPr>
            <w:tcW w:type="dxa" w:w="4610"/>
            <w:shd w:fill="FAFBFC"/>
            <w:vAlign w:val="center"/>
            <w:tcMar>
              <w:top w:w="90" w:type="dxa"/>
              <w:start w:w="120" w:type="dxa"/>
              <w:bottom w:w="90" w:type="dxa"/>
              <w:end w:w="120" w:type="dxa"/>
            </w:tcMar>
          </w:tcPr>
          <w:p>
            <w:pPr>
              <w:spacing w:after="0" w:line="252" w:lineRule="auto"/>
            </w:pPr>
            <w:r>
              <w:rPr>
                <w:rFonts w:ascii="Calibri" w:hAnsi="Calibri"/>
                <w:sz w:val="17"/>
              </w:rPr>
              <w:t>Load, frame-rate, memory, and thermal test results.</w:t>
            </w:r>
          </w:p>
        </w:tc>
      </w:tr>
      <w:tr>
        <w:trPr>
          <w:cantSplit w:val="true"/>
        </w:trPr>
        <w:tc>
          <w:tcPr>
            <w:tcW w:type="dxa" w:w="750"/>
            <w:vAlign w:val="center"/>
            <w:tcMar>
              <w:top w:w="90" w:type="dxa"/>
              <w:start w:w="120" w:type="dxa"/>
              <w:bottom w:w="90" w:type="dxa"/>
              <w:end w:w="120" w:type="dxa"/>
            </w:tcMar>
          </w:tcPr>
          <w:p>
            <w:pPr>
              <w:spacing w:after="0" w:line="252" w:lineRule="auto"/>
            </w:pPr>
            <w:r>
              <w:rPr>
                <w:rFonts w:ascii="Calibri" w:hAnsi="Calibri"/>
                <w:sz w:val="17"/>
              </w:rPr>
              <w:t>OFF-01</w:t>
            </w:r>
          </w:p>
        </w:tc>
        <w:tc>
          <w:tcPr>
            <w:tcW w:type="dxa" w:w="2800"/>
            <w:vAlign w:val="center"/>
            <w:tcMar>
              <w:top w:w="90" w:type="dxa"/>
              <w:start w:w="120" w:type="dxa"/>
              <w:bottom w:w="90" w:type="dxa"/>
              <w:end w:w="120" w:type="dxa"/>
            </w:tcMar>
          </w:tcPr>
          <w:p>
            <w:pPr>
              <w:spacing w:after="0" w:line="252" w:lineRule="auto"/>
            </w:pPr>
            <w:r>
              <w:rPr>
                <w:rFonts w:ascii="Calibri" w:hAnsi="Calibri"/>
                <w:sz w:val="17"/>
              </w:rPr>
              <w:t>Offline lesson and evidence</w:t>
            </w:r>
          </w:p>
        </w:tc>
        <w:tc>
          <w:tcPr>
            <w:tcW w:type="dxa" w:w="1200"/>
            <w:vAlign w:val="center"/>
            <w:tcMar>
              <w:top w:w="90" w:type="dxa"/>
              <w:start w:w="120" w:type="dxa"/>
              <w:bottom w:w="90" w:type="dxa"/>
              <w:end w:w="120" w:type="dxa"/>
            </w:tcMar>
          </w:tcPr>
          <w:p>
            <w:pPr>
              <w:spacing w:after="0" w:line="252" w:lineRule="auto"/>
            </w:pPr>
            <w:r>
              <w:rPr>
                <w:rFonts w:ascii="Calibri" w:hAnsi="Calibri"/>
                <w:sz w:val="17"/>
              </w:rPr>
              <w:t>Missing</w:t>
            </w:r>
          </w:p>
        </w:tc>
        <w:tc>
          <w:tcPr>
            <w:tcW w:type="dxa" w:w="4610"/>
            <w:vAlign w:val="center"/>
            <w:tcMar>
              <w:top w:w="90" w:type="dxa"/>
              <w:start w:w="120" w:type="dxa"/>
              <w:bottom w:w="90" w:type="dxa"/>
              <w:end w:w="120" w:type="dxa"/>
            </w:tcMar>
          </w:tcPr>
          <w:p>
            <w:pPr>
              <w:spacing w:after="0" w:line="252" w:lineRule="auto"/>
            </w:pPr>
            <w:r>
              <w:rPr>
                <w:rFonts w:ascii="Calibri" w:hAnsi="Calibri"/>
                <w:sz w:val="17"/>
              </w:rPr>
              <w:t>Outage completion and exactly-once synchronization test.</w:t>
            </w:r>
          </w:p>
        </w:tc>
      </w:tr>
      <w:tr>
        <w:trPr>
          <w:cantSplit w:val="true"/>
        </w:trPr>
        <w:tc>
          <w:tcPr>
            <w:tcW w:type="dxa" w:w="750"/>
            <w:shd w:fill="FAFBFC"/>
            <w:vAlign w:val="center"/>
            <w:tcMar>
              <w:top w:w="90" w:type="dxa"/>
              <w:start w:w="120" w:type="dxa"/>
              <w:bottom w:w="90" w:type="dxa"/>
              <w:end w:w="120" w:type="dxa"/>
            </w:tcMar>
          </w:tcPr>
          <w:p>
            <w:pPr>
              <w:spacing w:after="0" w:line="252" w:lineRule="auto"/>
            </w:pPr>
            <w:r>
              <w:rPr>
                <w:rFonts w:ascii="Calibri" w:hAnsi="Calibri"/>
                <w:sz w:val="17"/>
              </w:rPr>
              <w:t>DATA-01</w:t>
            </w:r>
          </w:p>
        </w:tc>
        <w:tc>
          <w:tcPr>
            <w:tcW w:type="dxa" w:w="2800"/>
            <w:shd w:fill="FAFBFC"/>
            <w:vAlign w:val="center"/>
            <w:tcMar>
              <w:top w:w="90" w:type="dxa"/>
              <w:start w:w="120" w:type="dxa"/>
              <w:bottom w:w="90" w:type="dxa"/>
              <w:end w:w="120" w:type="dxa"/>
            </w:tcMar>
          </w:tcPr>
          <w:p>
            <w:pPr>
              <w:spacing w:after="0" w:line="252" w:lineRule="auto"/>
            </w:pPr>
            <w:r>
              <w:rPr>
                <w:rFonts w:ascii="Calibri" w:hAnsi="Calibri"/>
                <w:sz w:val="17"/>
              </w:rPr>
              <w:t>xAPI-compatible identifiers</w:t>
            </w:r>
          </w:p>
        </w:tc>
        <w:tc>
          <w:tcPr>
            <w:tcW w:type="dxa" w:w="1200"/>
            <w:shd w:fill="FAFBFC"/>
            <w:vAlign w:val="center"/>
            <w:tcMar>
              <w:top w:w="90" w:type="dxa"/>
              <w:start w:w="120" w:type="dxa"/>
              <w:bottom w:w="90" w:type="dxa"/>
              <w:end w:w="120" w:type="dxa"/>
            </w:tcMar>
          </w:tcPr>
          <w:p>
            <w:pPr>
              <w:spacing w:after="0" w:line="252" w:lineRule="auto"/>
            </w:pPr>
            <w:r>
              <w:rPr>
                <w:rFonts w:ascii="Calibri" w:hAnsi="Calibri"/>
                <w:sz w:val="17"/>
              </w:rPr>
              <w:t>Planned</w:t>
            </w:r>
          </w:p>
        </w:tc>
        <w:tc>
          <w:tcPr>
            <w:tcW w:type="dxa" w:w="4610"/>
            <w:shd w:fill="FAFBFC"/>
            <w:vAlign w:val="center"/>
            <w:tcMar>
              <w:top w:w="90" w:type="dxa"/>
              <w:start w:w="120" w:type="dxa"/>
              <w:bottom w:w="90" w:type="dxa"/>
              <w:end w:w="120" w:type="dxa"/>
            </w:tcMar>
          </w:tcPr>
          <w:p>
            <w:pPr>
              <w:spacing w:after="0" w:line="252" w:lineRule="auto"/>
            </w:pPr>
            <w:r>
              <w:rPr>
                <w:rFonts w:ascii="Calibri" w:hAnsi="Calibri"/>
                <w:sz w:val="17"/>
              </w:rPr>
              <w:t>Stable URIs and versioned statement mapping.</w:t>
            </w:r>
          </w:p>
        </w:tc>
      </w:tr>
      <w:tr>
        <w:trPr>
          <w:cantSplit w:val="true"/>
        </w:trPr>
        <w:tc>
          <w:tcPr>
            <w:tcW w:type="dxa" w:w="750"/>
            <w:vAlign w:val="center"/>
            <w:tcMar>
              <w:top w:w="90" w:type="dxa"/>
              <w:start w:w="120" w:type="dxa"/>
              <w:bottom w:w="90" w:type="dxa"/>
              <w:end w:w="120" w:type="dxa"/>
            </w:tcMar>
          </w:tcPr>
          <w:p>
            <w:pPr>
              <w:spacing w:after="0" w:line="252" w:lineRule="auto"/>
            </w:pPr>
            <w:r>
              <w:rPr>
                <w:rFonts w:ascii="Calibri" w:hAnsi="Calibri"/>
                <w:sz w:val="17"/>
              </w:rPr>
              <w:t>DATA-02</w:t>
            </w:r>
          </w:p>
        </w:tc>
        <w:tc>
          <w:tcPr>
            <w:tcW w:type="dxa" w:w="2800"/>
            <w:vAlign w:val="center"/>
            <w:tcMar>
              <w:top w:w="90" w:type="dxa"/>
              <w:start w:w="120" w:type="dxa"/>
              <w:bottom w:w="90" w:type="dxa"/>
              <w:end w:w="120" w:type="dxa"/>
            </w:tcMar>
          </w:tcPr>
          <w:p>
            <w:pPr>
              <w:spacing w:after="0" w:line="252" w:lineRule="auto"/>
            </w:pPr>
            <w:r>
              <w:rPr>
                <w:rFonts w:ascii="Calibri" w:hAnsi="Calibri"/>
                <w:sz w:val="17"/>
              </w:rPr>
              <w:t>Idempotent event ingestion</w:t>
            </w:r>
          </w:p>
        </w:tc>
        <w:tc>
          <w:tcPr>
            <w:tcW w:type="dxa" w:w="1200"/>
            <w:vAlign w:val="center"/>
            <w:tcMar>
              <w:top w:w="90" w:type="dxa"/>
              <w:start w:w="120" w:type="dxa"/>
              <w:bottom w:w="90" w:type="dxa"/>
              <w:end w:w="120" w:type="dxa"/>
            </w:tcMar>
          </w:tcPr>
          <w:p>
            <w:pPr>
              <w:spacing w:after="0" w:line="252" w:lineRule="auto"/>
            </w:pPr>
            <w:r>
              <w:rPr>
                <w:rFonts w:ascii="Calibri" w:hAnsi="Calibri"/>
                <w:sz w:val="17"/>
              </w:rPr>
              <w:t>Missing</w:t>
            </w:r>
          </w:p>
        </w:tc>
        <w:tc>
          <w:tcPr>
            <w:tcW w:type="dxa" w:w="4610"/>
            <w:vAlign w:val="center"/>
            <w:tcMar>
              <w:top w:w="90" w:type="dxa"/>
              <w:start w:w="120" w:type="dxa"/>
              <w:bottom w:w="90" w:type="dxa"/>
              <w:end w:w="120" w:type="dxa"/>
            </w:tcMar>
          </w:tcPr>
          <w:p>
            <w:pPr>
              <w:spacing w:after="0" w:line="252" w:lineRule="auto"/>
            </w:pPr>
            <w:r>
              <w:rPr>
                <w:rFonts w:ascii="Calibri" w:hAnsi="Calibri"/>
                <w:sz w:val="17"/>
              </w:rPr>
              <w:t>Duplicate and out-of-order delivery tests.</w:t>
            </w:r>
          </w:p>
        </w:tc>
      </w:tr>
      <w:tr>
        <w:trPr>
          <w:cantSplit w:val="true"/>
        </w:trPr>
        <w:tc>
          <w:tcPr>
            <w:tcW w:type="dxa" w:w="750"/>
            <w:shd w:fill="FAFBFC"/>
            <w:vAlign w:val="center"/>
            <w:tcMar>
              <w:top w:w="90" w:type="dxa"/>
              <w:start w:w="120" w:type="dxa"/>
              <w:bottom w:w="90" w:type="dxa"/>
              <w:end w:w="120" w:type="dxa"/>
            </w:tcMar>
          </w:tcPr>
          <w:p>
            <w:pPr>
              <w:spacing w:after="0" w:line="252" w:lineRule="auto"/>
            </w:pPr>
            <w:r>
              <w:rPr>
                <w:rFonts w:ascii="Calibri" w:hAnsi="Calibri"/>
                <w:sz w:val="17"/>
              </w:rPr>
              <w:t>ADAPT-01</w:t>
            </w:r>
          </w:p>
        </w:tc>
        <w:tc>
          <w:tcPr>
            <w:tcW w:type="dxa" w:w="2800"/>
            <w:shd w:fill="FAFBFC"/>
            <w:vAlign w:val="center"/>
            <w:tcMar>
              <w:top w:w="90" w:type="dxa"/>
              <w:start w:w="120" w:type="dxa"/>
              <w:bottom w:w="90" w:type="dxa"/>
              <w:end w:w="120" w:type="dxa"/>
            </w:tcMar>
          </w:tcPr>
          <w:p>
            <w:pPr>
              <w:spacing w:after="0" w:line="252" w:lineRule="auto"/>
            </w:pPr>
            <w:r>
              <w:rPr>
                <w:rFonts w:ascii="Calibri" w:hAnsi="Calibri"/>
                <w:sz w:val="17"/>
              </w:rPr>
              <w:t>Explainable sequencing policy</w:t>
            </w:r>
          </w:p>
        </w:tc>
        <w:tc>
          <w:tcPr>
            <w:tcW w:type="dxa" w:w="1200"/>
            <w:shd w:fill="FAFBFC"/>
            <w:vAlign w:val="center"/>
            <w:tcMar>
              <w:top w:w="90" w:type="dxa"/>
              <w:start w:w="120" w:type="dxa"/>
              <w:bottom w:w="90" w:type="dxa"/>
              <w:end w:w="120" w:type="dxa"/>
            </w:tcMar>
          </w:tcPr>
          <w:p>
            <w:pPr>
              <w:spacing w:after="0" w:line="252" w:lineRule="auto"/>
            </w:pPr>
            <w:r>
              <w:rPr>
                <w:rFonts w:ascii="Calibri" w:hAnsi="Calibri"/>
                <w:sz w:val="17"/>
              </w:rPr>
              <w:t>Missing</w:t>
            </w:r>
          </w:p>
        </w:tc>
        <w:tc>
          <w:tcPr>
            <w:tcW w:type="dxa" w:w="4610"/>
            <w:shd w:fill="FAFBFC"/>
            <w:vAlign w:val="center"/>
            <w:tcMar>
              <w:top w:w="90" w:type="dxa"/>
              <w:start w:w="120" w:type="dxa"/>
              <w:bottom w:w="90" w:type="dxa"/>
              <w:end w:w="120" w:type="dxa"/>
            </w:tcMar>
          </w:tcPr>
          <w:p>
            <w:pPr>
              <w:spacing w:after="0" w:line="252" w:lineRule="auto"/>
            </w:pPr>
            <w:r>
              <w:rPr>
                <w:rFonts w:ascii="Calibri" w:hAnsi="Calibri"/>
                <w:sz w:val="17"/>
              </w:rPr>
              <w:t>Versioned recommendation and human-readable rationale.</w:t>
            </w:r>
          </w:p>
        </w:tc>
      </w:tr>
      <w:tr>
        <w:trPr>
          <w:cantSplit w:val="true"/>
        </w:trPr>
        <w:tc>
          <w:tcPr>
            <w:tcW w:type="dxa" w:w="750"/>
            <w:vAlign w:val="center"/>
            <w:tcMar>
              <w:top w:w="90" w:type="dxa"/>
              <w:start w:w="120" w:type="dxa"/>
              <w:bottom w:w="90" w:type="dxa"/>
              <w:end w:w="120" w:type="dxa"/>
            </w:tcMar>
          </w:tcPr>
          <w:p>
            <w:pPr>
              <w:spacing w:after="0" w:line="252" w:lineRule="auto"/>
            </w:pPr>
            <w:r>
              <w:rPr>
                <w:rFonts w:ascii="Calibri" w:hAnsi="Calibri"/>
                <w:sz w:val="17"/>
              </w:rPr>
              <w:t>AUTH-01</w:t>
            </w:r>
          </w:p>
        </w:tc>
        <w:tc>
          <w:tcPr>
            <w:tcW w:type="dxa" w:w="2800"/>
            <w:vAlign w:val="center"/>
            <w:tcMar>
              <w:top w:w="90" w:type="dxa"/>
              <w:start w:w="120" w:type="dxa"/>
              <w:bottom w:w="90" w:type="dxa"/>
              <w:end w:w="120" w:type="dxa"/>
            </w:tcMar>
          </w:tcPr>
          <w:p>
            <w:pPr>
              <w:spacing w:after="0" w:line="252" w:lineRule="auto"/>
            </w:pPr>
            <w:r>
              <w:rPr>
                <w:rFonts w:ascii="Calibri" w:hAnsi="Calibri"/>
                <w:sz w:val="17"/>
              </w:rPr>
              <w:t>Low/no-code content authoring</w:t>
            </w:r>
          </w:p>
        </w:tc>
        <w:tc>
          <w:tcPr>
            <w:tcW w:type="dxa" w:w="1200"/>
            <w:vAlign w:val="center"/>
            <w:tcMar>
              <w:top w:w="90" w:type="dxa"/>
              <w:start w:w="120" w:type="dxa"/>
              <w:bottom w:w="90" w:type="dxa"/>
              <w:end w:w="120" w:type="dxa"/>
            </w:tcMar>
          </w:tcPr>
          <w:p>
            <w:pPr>
              <w:spacing w:after="0" w:line="252" w:lineRule="auto"/>
            </w:pPr>
            <w:r>
              <w:rPr>
                <w:rFonts w:ascii="Calibri" w:hAnsi="Calibri"/>
                <w:sz w:val="17"/>
              </w:rPr>
              <w:t>Partial</w:t>
            </w:r>
          </w:p>
        </w:tc>
        <w:tc>
          <w:tcPr>
            <w:tcW w:type="dxa" w:w="4610"/>
            <w:vAlign w:val="center"/>
            <w:tcMar>
              <w:top w:w="90" w:type="dxa"/>
              <w:start w:w="120" w:type="dxa"/>
              <w:bottom w:w="90" w:type="dxa"/>
              <w:end w:w="120" w:type="dxa"/>
            </w:tcMar>
          </w:tcPr>
          <w:p>
            <w:pPr>
              <w:spacing w:after="0" w:line="252" w:lineRule="auto"/>
            </w:pPr>
            <w:r>
              <w:rPr>
                <w:rFonts w:ascii="Calibri" w:hAnsi="Calibri"/>
                <w:sz w:val="17"/>
              </w:rPr>
              <w:t>Instructor publishes a validated scenario without code.</w:t>
            </w:r>
          </w:p>
        </w:tc>
      </w:tr>
      <w:tr>
        <w:trPr>
          <w:cantSplit w:val="true"/>
        </w:trPr>
        <w:tc>
          <w:tcPr>
            <w:tcW w:type="dxa" w:w="750"/>
            <w:shd w:fill="FAFBFC"/>
            <w:vAlign w:val="center"/>
            <w:tcMar>
              <w:top w:w="90" w:type="dxa"/>
              <w:start w:w="120" w:type="dxa"/>
              <w:bottom w:w="90" w:type="dxa"/>
              <w:end w:w="120" w:type="dxa"/>
            </w:tcMar>
          </w:tcPr>
          <w:p>
            <w:pPr>
              <w:spacing w:after="0" w:line="252" w:lineRule="auto"/>
            </w:pPr>
            <w:r>
              <w:rPr>
                <w:rFonts w:ascii="Calibri" w:hAnsi="Calibri"/>
                <w:sz w:val="17"/>
              </w:rPr>
              <w:t>EVAL-01</w:t>
            </w:r>
          </w:p>
        </w:tc>
        <w:tc>
          <w:tcPr>
            <w:tcW w:type="dxa" w:w="2800"/>
            <w:shd w:fill="FAFBFC"/>
            <w:vAlign w:val="center"/>
            <w:tcMar>
              <w:top w:w="90" w:type="dxa"/>
              <w:start w:w="120" w:type="dxa"/>
              <w:bottom w:w="90" w:type="dxa"/>
              <w:end w:w="120" w:type="dxa"/>
            </w:tcMar>
          </w:tcPr>
          <w:p>
            <w:pPr>
              <w:spacing w:after="0" w:line="252" w:lineRule="auto"/>
            </w:pPr>
            <w:r>
              <w:rPr>
                <w:rFonts w:ascii="Calibri" w:hAnsi="Calibri"/>
                <w:sz w:val="17"/>
              </w:rPr>
              <w:t>TAM and SUS instruments</w:t>
            </w:r>
          </w:p>
        </w:tc>
        <w:tc>
          <w:tcPr>
            <w:tcW w:type="dxa" w:w="1200"/>
            <w:shd w:fill="FAFBFC"/>
            <w:vAlign w:val="center"/>
            <w:tcMar>
              <w:top w:w="90" w:type="dxa"/>
              <w:start w:w="120" w:type="dxa"/>
              <w:bottom w:w="90" w:type="dxa"/>
              <w:end w:w="120" w:type="dxa"/>
            </w:tcMar>
          </w:tcPr>
          <w:p>
            <w:pPr>
              <w:spacing w:after="0" w:line="252" w:lineRule="auto"/>
            </w:pPr>
            <w:r>
              <w:rPr>
                <w:rFonts w:ascii="Calibri" w:hAnsi="Calibri"/>
                <w:sz w:val="17"/>
              </w:rPr>
              <w:t>Missing</w:t>
            </w:r>
          </w:p>
        </w:tc>
        <w:tc>
          <w:tcPr>
            <w:tcW w:type="dxa" w:w="4610"/>
            <w:shd w:fill="FAFBFC"/>
            <w:vAlign w:val="center"/>
            <w:tcMar>
              <w:top w:w="90" w:type="dxa"/>
              <w:start w:w="120" w:type="dxa"/>
              <w:bottom w:w="90" w:type="dxa"/>
              <w:end w:w="120" w:type="dxa"/>
            </w:tcMar>
          </w:tcPr>
          <w:p>
            <w:pPr>
              <w:spacing w:after="0" w:line="252" w:lineRule="auto"/>
            </w:pPr>
            <w:r>
              <w:rPr>
                <w:rFonts w:ascii="Calibri" w:hAnsi="Calibri"/>
                <w:sz w:val="17"/>
              </w:rPr>
              <w:t>Consent-aware responses and reliability calculation.</w:t>
            </w:r>
          </w:p>
        </w:tc>
      </w:tr>
      <w:tr>
        <w:trPr>
          <w:cantSplit w:val="true"/>
        </w:trPr>
        <w:tc>
          <w:tcPr>
            <w:tcW w:type="dxa" w:w="750"/>
            <w:vAlign w:val="center"/>
            <w:tcMar>
              <w:top w:w="90" w:type="dxa"/>
              <w:start w:w="120" w:type="dxa"/>
              <w:bottom w:w="90" w:type="dxa"/>
              <w:end w:w="120" w:type="dxa"/>
            </w:tcMar>
          </w:tcPr>
          <w:p>
            <w:pPr>
              <w:spacing w:after="0" w:line="252" w:lineRule="auto"/>
            </w:pPr>
            <w:r>
              <w:rPr>
                <w:rFonts w:ascii="Calibri" w:hAnsi="Calibri"/>
                <w:sz w:val="17"/>
              </w:rPr>
              <w:t>EVAL-02</w:t>
            </w:r>
          </w:p>
        </w:tc>
        <w:tc>
          <w:tcPr>
            <w:tcW w:type="dxa" w:w="2800"/>
            <w:vAlign w:val="center"/>
            <w:tcMar>
              <w:top w:w="90" w:type="dxa"/>
              <w:start w:w="120" w:type="dxa"/>
              <w:bottom w:w="90" w:type="dxa"/>
              <w:end w:w="120" w:type="dxa"/>
            </w:tcMar>
          </w:tcPr>
          <w:p>
            <w:pPr>
              <w:spacing w:after="0" w:line="252" w:lineRule="auto"/>
            </w:pPr>
            <w:r>
              <w:rPr>
                <w:rFonts w:ascii="Calibri" w:hAnsi="Calibri"/>
                <w:sz w:val="17"/>
              </w:rPr>
              <w:t>Pre/post knowledge evaluation</w:t>
            </w:r>
          </w:p>
        </w:tc>
        <w:tc>
          <w:tcPr>
            <w:tcW w:type="dxa" w:w="1200"/>
            <w:vAlign w:val="center"/>
            <w:tcMar>
              <w:top w:w="90" w:type="dxa"/>
              <w:start w:w="120" w:type="dxa"/>
              <w:bottom w:w="90" w:type="dxa"/>
              <w:end w:w="120" w:type="dxa"/>
            </w:tcMar>
          </w:tcPr>
          <w:p>
            <w:pPr>
              <w:spacing w:after="0" w:line="252" w:lineRule="auto"/>
            </w:pPr>
            <w:r>
              <w:rPr>
                <w:rFonts w:ascii="Calibri" w:hAnsi="Calibri"/>
                <w:sz w:val="17"/>
              </w:rPr>
              <w:t>Missing</w:t>
            </w:r>
          </w:p>
        </w:tc>
        <w:tc>
          <w:tcPr>
            <w:tcW w:type="dxa" w:w="4610"/>
            <w:vAlign w:val="center"/>
            <w:tcMar>
              <w:top w:w="90" w:type="dxa"/>
              <w:start w:w="120" w:type="dxa"/>
              <w:bottom w:w="90" w:type="dxa"/>
              <w:end w:w="120" w:type="dxa"/>
            </w:tcMar>
          </w:tcPr>
          <w:p>
            <w:pPr>
              <w:spacing w:after="0" w:line="252" w:lineRule="auto"/>
            </w:pPr>
            <w:r>
              <w:rPr>
                <w:rFonts w:ascii="Calibri" w:hAnsi="Calibri"/>
                <w:sz w:val="17"/>
              </w:rPr>
              <w:t>Aligned instrument and analysis plan.</w:t>
            </w:r>
          </w:p>
        </w:tc>
      </w:tr>
      <w:tr>
        <w:trPr>
          <w:cantSplit w:val="true"/>
        </w:trPr>
        <w:tc>
          <w:tcPr>
            <w:tcW w:type="dxa" w:w="750"/>
            <w:shd w:fill="FAFBFC"/>
            <w:vAlign w:val="center"/>
            <w:tcMar>
              <w:top w:w="90" w:type="dxa"/>
              <w:start w:w="120" w:type="dxa"/>
              <w:bottom w:w="90" w:type="dxa"/>
              <w:end w:w="120" w:type="dxa"/>
            </w:tcMar>
          </w:tcPr>
          <w:p>
            <w:pPr>
              <w:spacing w:after="0" w:line="252" w:lineRule="auto"/>
            </w:pPr>
            <w:r>
              <w:rPr>
                <w:rFonts w:ascii="Calibri" w:hAnsi="Calibri"/>
                <w:sz w:val="17"/>
              </w:rPr>
              <w:t>EVAL-03</w:t>
            </w:r>
          </w:p>
        </w:tc>
        <w:tc>
          <w:tcPr>
            <w:tcW w:type="dxa" w:w="2800"/>
            <w:shd w:fill="FAFBFC"/>
            <w:vAlign w:val="center"/>
            <w:tcMar>
              <w:top w:w="90" w:type="dxa"/>
              <w:start w:w="120" w:type="dxa"/>
              <w:bottom w:w="90" w:type="dxa"/>
              <w:end w:w="120" w:type="dxa"/>
            </w:tcMar>
          </w:tcPr>
          <w:p>
            <w:pPr>
              <w:spacing w:after="0" w:line="252" w:lineRule="auto"/>
            </w:pPr>
            <w:r>
              <w:rPr>
                <w:rFonts w:ascii="Calibri" w:hAnsi="Calibri"/>
                <w:sz w:val="17"/>
              </w:rPr>
              <w:t>Physical skill transfer</w:t>
            </w:r>
          </w:p>
        </w:tc>
        <w:tc>
          <w:tcPr>
            <w:tcW w:type="dxa" w:w="1200"/>
            <w:shd w:fill="FAFBFC"/>
            <w:vAlign w:val="center"/>
            <w:tcMar>
              <w:top w:w="90" w:type="dxa"/>
              <w:start w:w="120" w:type="dxa"/>
              <w:bottom w:w="90" w:type="dxa"/>
              <w:end w:w="120" w:type="dxa"/>
            </w:tcMar>
          </w:tcPr>
          <w:p>
            <w:pPr>
              <w:spacing w:after="0" w:line="252" w:lineRule="auto"/>
            </w:pPr>
            <w:r>
              <w:rPr>
                <w:rFonts w:ascii="Calibri" w:hAnsi="Calibri"/>
                <w:sz w:val="17"/>
              </w:rPr>
              <w:t>Missing</w:t>
            </w:r>
          </w:p>
        </w:tc>
        <w:tc>
          <w:tcPr>
            <w:tcW w:type="dxa" w:w="4610"/>
            <w:shd w:fill="FAFBFC"/>
            <w:vAlign w:val="center"/>
            <w:tcMar>
              <w:top w:w="90" w:type="dxa"/>
              <w:start w:w="120" w:type="dxa"/>
              <w:bottom w:w="90" w:type="dxa"/>
              <w:end w:w="120" w:type="dxa"/>
            </w:tcMar>
          </w:tcPr>
          <w:p>
            <w:pPr>
              <w:spacing w:after="0" w:line="252" w:lineRule="auto"/>
            </w:pPr>
            <w:r>
              <w:rPr>
                <w:rFonts w:ascii="Calibri" w:hAnsi="Calibri"/>
                <w:sz w:val="17"/>
              </w:rPr>
              <w:t>Independent instructor rubric and scored workshop task.</w:t>
            </w:r>
          </w:p>
        </w:tc>
      </w:tr>
      <w:tr>
        <w:trPr>
          <w:cantSplit w:val="true"/>
        </w:trPr>
        <w:tc>
          <w:tcPr>
            <w:tcW w:type="dxa" w:w="750"/>
            <w:vAlign w:val="center"/>
            <w:tcMar>
              <w:top w:w="90" w:type="dxa"/>
              <w:start w:w="120" w:type="dxa"/>
              <w:bottom w:w="90" w:type="dxa"/>
              <w:end w:w="120" w:type="dxa"/>
            </w:tcMar>
          </w:tcPr>
          <w:p>
            <w:pPr>
              <w:spacing w:after="0" w:line="252" w:lineRule="auto"/>
            </w:pPr>
            <w:r>
              <w:rPr>
                <w:rFonts w:ascii="Calibri" w:hAnsi="Calibri"/>
                <w:sz w:val="17"/>
              </w:rPr>
              <w:t>SAFE-01</w:t>
            </w:r>
          </w:p>
        </w:tc>
        <w:tc>
          <w:tcPr>
            <w:tcW w:type="dxa" w:w="2800"/>
            <w:vAlign w:val="center"/>
            <w:tcMar>
              <w:top w:w="90" w:type="dxa"/>
              <w:start w:w="120" w:type="dxa"/>
              <w:bottom w:w="90" w:type="dxa"/>
              <w:end w:w="120" w:type="dxa"/>
            </w:tcMar>
          </w:tcPr>
          <w:p>
            <w:pPr>
              <w:spacing w:after="0" w:line="252" w:lineRule="auto"/>
            </w:pPr>
            <w:r>
              <w:rPr>
                <w:rFonts w:ascii="Calibri" w:hAnsi="Calibri"/>
                <w:sz w:val="17"/>
              </w:rPr>
              <w:t>AR safety review</w:t>
            </w:r>
          </w:p>
        </w:tc>
        <w:tc>
          <w:tcPr>
            <w:tcW w:type="dxa" w:w="1200"/>
            <w:vAlign w:val="center"/>
            <w:tcMar>
              <w:top w:w="90" w:type="dxa"/>
              <w:start w:w="120" w:type="dxa"/>
              <w:bottom w:w="90" w:type="dxa"/>
              <w:end w:w="120" w:type="dxa"/>
            </w:tcMar>
          </w:tcPr>
          <w:p>
            <w:pPr>
              <w:spacing w:after="0" w:line="252" w:lineRule="auto"/>
            </w:pPr>
            <w:r>
              <w:rPr>
                <w:rFonts w:ascii="Calibri" w:hAnsi="Calibri"/>
                <w:sz w:val="17"/>
              </w:rPr>
              <w:t>Missing</w:t>
            </w:r>
          </w:p>
        </w:tc>
        <w:tc>
          <w:tcPr>
            <w:tcW w:type="dxa" w:w="4610"/>
            <w:vAlign w:val="center"/>
            <w:tcMar>
              <w:top w:w="90" w:type="dxa"/>
              <w:start w:w="120" w:type="dxa"/>
              <w:bottom w:w="90" w:type="dxa"/>
              <w:end w:w="120" w:type="dxa"/>
            </w:tcMar>
          </w:tcPr>
          <w:p>
            <w:pPr>
              <w:spacing w:after="0" w:line="252" w:lineRule="auto"/>
            </w:pPr>
            <w:r>
              <w:rPr>
                <w:rFonts w:ascii="Calibri" w:hAnsi="Calibri"/>
                <w:sz w:val="17"/>
              </w:rPr>
              <w:t>Instructor approval, stop conditions, incident procedure.</w:t>
            </w:r>
          </w:p>
        </w:tc>
      </w:tr>
      <w:tr>
        <w:trPr>
          <w:cantSplit w:val="true"/>
        </w:trPr>
        <w:tc>
          <w:tcPr>
            <w:tcW w:type="dxa" w:w="750"/>
            <w:shd w:fill="FAFBFC"/>
            <w:vAlign w:val="center"/>
            <w:tcMar>
              <w:top w:w="90" w:type="dxa"/>
              <w:start w:w="120" w:type="dxa"/>
              <w:bottom w:w="90" w:type="dxa"/>
              <w:end w:w="120" w:type="dxa"/>
            </w:tcMar>
          </w:tcPr>
          <w:p>
            <w:pPr>
              <w:spacing w:after="0" w:line="252" w:lineRule="auto"/>
            </w:pPr>
            <w:r>
              <w:rPr>
                <w:rFonts w:ascii="Calibri" w:hAnsi="Calibri"/>
                <w:sz w:val="17"/>
              </w:rPr>
              <w:t>OPS-01</w:t>
            </w:r>
          </w:p>
        </w:tc>
        <w:tc>
          <w:tcPr>
            <w:tcW w:type="dxa" w:w="2800"/>
            <w:shd w:fill="FAFBFC"/>
            <w:vAlign w:val="center"/>
            <w:tcMar>
              <w:top w:w="90" w:type="dxa"/>
              <w:start w:w="120" w:type="dxa"/>
              <w:bottom w:w="90" w:type="dxa"/>
              <w:end w:w="120" w:type="dxa"/>
            </w:tcMar>
          </w:tcPr>
          <w:p>
            <w:pPr>
              <w:spacing w:after="0" w:line="252" w:lineRule="auto"/>
            </w:pPr>
            <w:r>
              <w:rPr>
                <w:rFonts w:ascii="Calibri" w:hAnsi="Calibri"/>
                <w:sz w:val="17"/>
              </w:rPr>
              <w:t>School operations readiness</w:t>
            </w:r>
          </w:p>
        </w:tc>
        <w:tc>
          <w:tcPr>
            <w:tcW w:type="dxa" w:w="1200"/>
            <w:shd w:fill="FAFBFC"/>
            <w:vAlign w:val="center"/>
            <w:tcMar>
              <w:top w:w="90" w:type="dxa"/>
              <w:start w:w="120" w:type="dxa"/>
              <w:bottom w:w="90" w:type="dxa"/>
              <w:end w:w="120" w:type="dxa"/>
            </w:tcMar>
          </w:tcPr>
          <w:p>
            <w:pPr>
              <w:spacing w:after="0" w:line="252" w:lineRule="auto"/>
            </w:pPr>
            <w:r>
              <w:rPr>
                <w:rFonts w:ascii="Calibri" w:hAnsi="Calibri"/>
                <w:sz w:val="17"/>
              </w:rPr>
              <w:t>Missing</w:t>
            </w:r>
          </w:p>
        </w:tc>
        <w:tc>
          <w:tcPr>
            <w:tcW w:type="dxa" w:w="4610"/>
            <w:shd w:fill="FAFBFC"/>
            <w:vAlign w:val="center"/>
            <w:tcMar>
              <w:top w:w="90" w:type="dxa"/>
              <w:start w:w="120" w:type="dxa"/>
              <w:bottom w:w="90" w:type="dxa"/>
              <w:end w:w="120" w:type="dxa"/>
            </w:tcMar>
          </w:tcPr>
          <w:p>
            <w:pPr>
              <w:spacing w:after="0" w:line="252" w:lineRule="auto"/>
            </w:pPr>
            <w:r>
              <w:rPr>
                <w:rFonts w:ascii="Calibri" w:hAnsi="Calibri"/>
                <w:sz w:val="17"/>
              </w:rPr>
              <w:t>Download, device, charging, storage, support, and recovery runbook.</w:t>
            </w:r>
          </w:p>
        </w:tc>
      </w:tr>
    </w:tbl>
    <w:p>
      <w:pPr>
        <w:spacing w:after="0"/>
      </w:pPr>
    </w:p>
    <w:p>
      <w:pPr>
        <w:pStyle w:val="Heading1"/>
      </w:pPr>
      <w:r>
        <w:t>Appendix B. Sources and repository evidence</w:t>
      </w:r>
    </w:p>
    <w:p>
      <w:pPr>
        <w:pStyle w:val="Heading2"/>
      </w:pPr>
      <w:r>
        <w:t>Primary research source</w:t>
      </w:r>
    </w:p>
    <w:p>
      <w:r>
        <w:rPr>
          <w:rFonts w:ascii="Calibri" w:hAnsi="Calibri"/>
        </w:rPr>
        <w:t>25093891 AR ELearning Dissertation, 48 pages. Key evidence used: abstract and objectives (pp. 12-15); conceptual framework and gap analysis (pp. 23-24); methodology, data, adaptive formula, metrics, and ethics (pp. 25-29); architecture and implementation specification (pp. 30-41); planned results, limitations, conclusions, recommendations, and future work (pp. 41-44); sample schedule and TAM/SUS items (p. 48).</w:t>
      </w:r>
    </w:p>
    <w:p>
      <w:r>
        <w:rPr>
          <w:rFonts w:ascii="Calibri" w:hAnsi="Calibri"/>
        </w:rPr>
        <w:t>The dissertation's cited studies were not independently re-verified for this repository evaluation. Several bibliography entries use publication-platform labels rather than complete citations; formal academic or procurement use should verify each underlying source.</w:t>
      </w:r>
    </w:p>
    <w:p>
      <w:pPr>
        <w:pStyle w:val="Heading2"/>
      </w:pPr>
      <w:r>
        <w:t>Repository evidence</w:t>
      </w:r>
    </w:p>
    <w:p>
      <w:pPr>
        <w:numPr>
          <w:ilvl w:val="0"/>
          <w:numId w:val="10"/>
        </w:numPr>
      </w:pPr>
      <w:r>
        <w:rPr>
          <w:rFonts w:ascii="Calibri" w:hAnsi="Calibri"/>
        </w:rPr>
        <w:t>readme.md</w:t>
      </w:r>
    </w:p>
    <w:p>
      <w:pPr>
        <w:numPr>
          <w:ilvl w:val="0"/>
          <w:numId w:val="10"/>
        </w:numPr>
      </w:pPr>
      <w:r>
        <w:rPr>
          <w:rFonts w:ascii="Calibri" w:hAnsi="Calibri"/>
        </w:rPr>
        <w:t>frontend/package.json</w:t>
      </w:r>
    </w:p>
    <w:p>
      <w:pPr>
        <w:numPr>
          <w:ilvl w:val="0"/>
          <w:numId w:val="10"/>
        </w:numPr>
      </w:pPr>
      <w:r>
        <w:rPr>
          <w:rFonts w:ascii="Calibri" w:hAnsi="Calibri"/>
        </w:rPr>
        <w:t>frontend/src/pages/SimulationPage.tsx</w:t>
      </w:r>
    </w:p>
    <w:p>
      <w:pPr>
        <w:numPr>
          <w:ilvl w:val="0"/>
          <w:numId w:val="10"/>
        </w:numPr>
      </w:pPr>
      <w:r>
        <w:rPr>
          <w:rFonts w:ascii="Calibri" w:hAnsi="Calibri"/>
        </w:rPr>
        <w:t>frontend/src/components/simulation/BatteryWorkshopScene.tsx</w:t>
      </w:r>
    </w:p>
    <w:p>
      <w:pPr>
        <w:numPr>
          <w:ilvl w:val="0"/>
          <w:numId w:val="10"/>
        </w:numPr>
      </w:pPr>
      <w:r>
        <w:rPr>
          <w:rFonts w:ascii="Calibri" w:hAnsi="Calibri"/>
        </w:rPr>
        <w:t>mechlab/lab/models.py</w:t>
      </w:r>
    </w:p>
    <w:p>
      <w:pPr>
        <w:numPr>
          <w:ilvl w:val="0"/>
          <w:numId w:val="10"/>
        </w:numPr>
      </w:pPr>
      <w:r>
        <w:rPr>
          <w:rFonts w:ascii="Calibri" w:hAnsi="Calibri"/>
        </w:rPr>
        <w:t>mechlab/lab/learning_views.py</w:t>
      </w:r>
    </w:p>
    <w:p>
      <w:pPr>
        <w:numPr>
          <w:ilvl w:val="0"/>
          <w:numId w:val="10"/>
        </w:numPr>
      </w:pPr>
      <w:r>
        <w:rPr>
          <w:rFonts w:ascii="Calibri" w:hAnsi="Calibri"/>
        </w:rPr>
        <w:t>docs/architecture/0001-platform-architecture.md</w:t>
      </w:r>
    </w:p>
    <w:p>
      <w:pPr>
        <w:numPr>
          <w:ilvl w:val="0"/>
          <w:numId w:val="10"/>
        </w:numPr>
      </w:pPr>
      <w:r>
        <w:rPr>
          <w:rFonts w:ascii="Calibri" w:hAnsi="Calibri"/>
        </w:rPr>
        <w:t>docs/architecture/assessment-evidence.md</w:t>
      </w:r>
    </w:p>
    <w:p>
      <w:pPr>
        <w:numPr>
          <w:ilvl w:val="0"/>
          <w:numId w:val="10"/>
        </w:numPr>
      </w:pPr>
      <w:r>
        <w:rPr>
          <w:rFonts w:ascii="Calibri" w:hAnsi="Calibri"/>
        </w:rPr>
        <w:t>docs/architecture/content-versioning.md</w:t>
      </w:r>
    </w:p>
    <w:p>
      <w:pPr>
        <w:numPr>
          <w:ilvl w:val="0"/>
          <w:numId w:val="10"/>
        </w:numPr>
      </w:pPr>
      <w:r>
        <w:rPr>
          <w:rFonts w:ascii="Calibri" w:hAnsi="Calibri"/>
        </w:rPr>
        <w:t>docs/product/current-mvp.md</w:t>
      </w:r>
    </w:p>
    <w:p>
      <w:pPr>
        <w:numPr>
          <w:ilvl w:val="0"/>
          <w:numId w:val="10"/>
        </w:numPr>
      </w:pPr>
      <w:r>
        <w:rPr>
          <w:rFonts w:ascii="Calibri" w:hAnsi="Calibri"/>
        </w:rPr>
        <w:t>docs/pilot/README.md</w:t>
      </w:r>
    </w:p>
    <w:p>
      <w:pPr>
        <w:numPr>
          <w:ilvl w:val="0"/>
          <w:numId w:val="10"/>
        </w:numPr>
      </w:pPr>
      <w:r>
        <w:rPr>
          <w:rFonts w:ascii="Calibri" w:hAnsi="Calibri"/>
        </w:rPr>
        <w:t>EXECUTION_TODO.md</w:t>
      </w:r>
    </w:p>
    <w:p>
      <w:pPr>
        <w:pStyle w:val="Heading2"/>
      </w:pPr>
      <w:r>
        <w:t>Interpretation note</w:t>
      </w:r>
    </w:p>
    <w:p>
      <w:r>
        <w:rPr>
          <w:rFonts w:ascii="Calibri" w:hAnsi="Calibri"/>
        </w:rPr>
        <w:t>Status labels describe the repository state reviewed on 22 August 2026. 'Implemented' means the core capability is represented in working application code or authoritative domain models; it does not imply that a school pilot, accessibility audit, physical-device test, or independent security review has passed.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B6573"/>
        <w:sz w:val="18"/>
      </w:rPr>
      <w:t xml:space="preserve">Evaluation report  |  Page </w:t>
    </w:r>
    <w:r>
      <w:rPr>
        <w:rFonts w:ascii="Calibri" w:hAnsi="Calibri"/>
        <w:color w:val="5B6573"/>
        <w:sz w:val="18"/>
      </w:rPr>
      <w:fldChar w:fldCharType="begin"/>
      <w:instrText xml:space="preserve">PAGE</w:instrText>
      <w:fldChar w:fldCharType="separate"/>
      <w:t>1</w:t>
      <w:fldChar w:fldCharType="end"/>
    </w:r>
    <w:r>
      <w:rPr>
        <w:rFonts w:ascii="Calibri" w:hAnsi="Calibri"/>
        <w:color w:val="5B6573"/>
        <w:sz w:val="18"/>
      </w:rPr>
      <w:t xml:space="preserve"> of </w:t>
    </w:r>
    <w:r>
      <w:rPr>
        <w:rFonts w:ascii="Calibri" w:hAnsi="Calibri"/>
        <w:color w:val="5B6573"/>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8"/>
      </w:rPr>
      <w:t>OPedu | AR Platform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abstractNum w:abstractNumId="10">
    <w:multiLevelType w:val="singleLevel"/>
    <w:lvl w:ilvl="0">
      <w:start w:val="1"/>
      <w:numFmt w:val="decimal"/>
      <w:lvlText w:val="%1."/>
      <w:lvlJc w:val="left"/>
      <w:pPr>
        <w:tabs>
          <w:tab w:val="num" w:pos="720"/>
        </w:tabs>
        <w:ind w:left="720" w:hanging="360"/>
        <w:spacing w:after="160" w:line="280" w:lineRule="auto"/>
      </w:pPr>
    </w:lvl>
  </w:abstractNum>
  <w:abstractNum w:abstractNumId="11">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abstractNum w:abstractNumId="12">
    <w:multiLevelType w:val="singleLevel"/>
    <w:lvl w:ilvl="0">
      <w:start w:val="1"/>
      <w:numFmt w:val="decimal"/>
      <w:lvlText w:val="%1."/>
      <w:lvlJc w:val="left"/>
      <w:pPr>
        <w:tabs>
          <w:tab w:val="num" w:pos="720"/>
        </w:tabs>
        <w:ind w:left="720" w:hanging="360"/>
        <w:spacing w:after="160" w:line="280" w:lineRule="auto"/>
      </w:pPr>
    </w:lvl>
  </w:abstractNum>
  <w:abstractNum w:abstractNumId="13">
    <w:multiLevelType w:val="singleLevel"/>
    <w:lvl w:ilvl="0">
      <w:start w:val="1"/>
      <w:numFmt w:val="bullet"/>
      <w:lvlText w:val=""/>
      <w:lvlJc w:val="left"/>
      <w:pPr>
        <w:tabs>
          <w:tab w:val="num" w:pos="720"/>
        </w:tabs>
        <w:ind w:left="720" w:hanging="360"/>
        <w:spacing w:after="160" w:line="280" w:lineRule="auto"/>
      </w:pPr>
      <w:rPr>
        <w:rFonts w:ascii="Symbol" w:hAnsi="Symbol"/>
      </w:rPr>
    </w:lvl>
  </w:abstractNum>
  <w:abstractNum w:abstractNumId="14">
    <w:multiLevelType w:val="singleLevel"/>
    <w:lvl w:ilvl="0">
      <w:start w:val="1"/>
      <w:numFmt w:val="decimal"/>
      <w:lvlText w:val="%1."/>
      <w:lvlJc w:val="left"/>
      <w:pPr>
        <w:tabs>
          <w:tab w:val="num" w:pos="720"/>
        </w:tabs>
        <w:ind w:left="720" w:hanging="360"/>
        <w:spacing w:after="160" w:line="28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OPedu AR Platform Evaluation</dc:title>
  <dc:subject>Evaluation against low-bandwidth WebAR e-learning research</dc:subject>
  <dc:creator>OPedu evaluation</dc:creator>
  <cp:keywords>OPedu, augmented reality, WebAR, technical education, evaluation</cp:keywords>
  <dc:description>generated by python-docx</dc:description>
  <cp:lastModifiedBy/>
  <cp:revision>1</cp:revision>
  <dcterms:created xsi:type="dcterms:W3CDTF">2013-12-23T23:15:00Z</dcterms:created>
  <dcterms:modified xsi:type="dcterms:W3CDTF">2013-12-23T23:15:00Z</dcterms:modified>
  <cp:category/>
</cp:coreProperties>
</file>