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9800" w:type="dxa"/>
      </w:tblGrid>
      <w:tr>
        <w:trPr>
          <w:trHeight w:val="1000" w:hRule="exact"/>
        </w:trPr>
        <w:tc>
          <w:tcPr>
            <w:tcW w:w="200" w:type="dxa"/>
          </w:tcPr>
          <w:p>
            <w:pPr/>
            <w:r>
              <w:pict>
                <v:shape type="#_x0000_t75" style="width:59pt; height:66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9800" w:type="dxa"/>
            <w:vAlign w:val="center"/>
          </w:tcPr>
          <w:p>
            <w:pPr/>
            <w:r>
              <w:rPr>
                <w:sz w:val="28"/>
                <w:szCs w:val="28"/>
                <w:b w:val="1"/>
                <w:bCs w:val="1"/>
              </w:rPr>
              <w:t xml:space="preserve">Rapport Mensuel SIS du Centre de Sante/Dispensaire</w:t>
            </w:r>
          </w:p>
        </w:tc>
      </w:tr>
    </w:tbl>
    <w:tbl>
      <w:tblGrid>
        <w:gridCol w:w="5000" w:type="dxa"/>
        <w:gridCol w:w="2500" w:type="dxa"/>
        <w:gridCol w:w="1500" w:type="dxa"/>
        <w:gridCol w:w="1000" w:type="dxa"/>
      </w:tblGrid>
      <w:tblPr>
        <w:tblStyle w:val="ID Table"/>
      </w:tblP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I. Identification and Important communications</w:t>
            </w:r>
          </w:p>
        </w:tc>
      </w:t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>
              <w:jc w:val="left"/>
            </w:pPr>
            <w:r>
              <w:rPr/>
              <w:t xml:space="preserve">A) Report Identification</w:t>
            </w:r>
          </w:p>
        </w:tc>
      </w:tr>
      <w:tr>
        <w:trPr>
          <w:trHeight w:val="300" w:hRule="exact"/>
        </w:trPr>
        <w:tc>
          <w:tcPr>
            <w:tcW w:w="5000" w:type="dxa"/>
          </w:tcPr>
          <w:p>
            <w:pPr/>
            <w:r>
              <w:rPr/>
              <w:t xml:space="preserve">1. Facility Name</w:t>
            </w:r>
          </w:p>
        </w:tc>
        <w:tc>
          <w:tcPr>
            <w:tcW w:w="2500" w:type="dxa"/>
          </w:tcPr>
          <w:p>
            <w:pPr/>
            <w:r>
              <w:rPr/>
              <w:t xml:space="preserve">Kigoma Health Center</w:t>
            </w:r>
          </w:p>
        </w:tc>
        <w:tc>
          <w:tcPr>
            <w:tcW w:w="1500" w:type="dxa"/>
          </w:tcPr>
          <w:p>
            <w:pPr/>
            <w:r>
              <w:rPr/>
              <w:t xml:space="preserve">5. Year</w:t>
            </w:r>
          </w:p>
        </w:tc>
        <w:tc>
          <w:tcPr>
            <w:tcW w:w="1000" w:type="dxa"/>
          </w:tcPr>
          <w:p>
            <w:pPr/>
            <w:r>
              <w:rPr/>
              <w:t xml:space="preserve">2020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2. Catchment Area Population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6. Month</w:t>
            </w:r>
          </w:p>
        </w:tc>
        <w:tc>
          <w:tcPr>
            <w:tcW w:w="1000" w:type="dxa"/>
          </w:tcPr>
          <w:p>
            <w:pPr/>
            <w:r>
              <w:rPr/>
              <w:t xml:space="preserve">01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3. Province</w:t>
            </w:r>
          </w:p>
        </w:tc>
        <w:tc>
          <w:tcPr>
            <w:tcW w:w="2500" w:type="dxa"/>
          </w:tcPr>
          <w:p>
            <w:pPr/>
            <w:r>
              <w:rPr/>
              <w:t xml:space="preserve">Southern</w:t>
            </w:r>
          </w:p>
        </w:tc>
        <w:tc>
          <w:tcPr>
            <w:tcW w:w="1500" w:type="dxa"/>
          </w:tcPr>
          <w:p>
            <w:pPr/>
            <w:r>
              <w:rPr/>
              <w:t xml:space="preserve">7. Sector</w:t>
            </w:r>
          </w:p>
        </w:tc>
        <w:tc>
          <w:tcPr>
            <w:tcW w:w="1000" w:type="dxa"/>
          </w:tcPr>
          <w:p>
            <w:pPr/>
            <w:r>
              <w:rPr/>
              <w:t xml:space="preserve">Kigoma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4.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Ruhango</w:t>
            </w:r>
          </w:p>
        </w:tc>
        <w:tc>
          <w:tcPr>
            <w:tcW w:w="1500" w:type="dxa"/>
          </w:tcPr>
          <w:p>
            <w:pPr/>
            <w:r>
              <w:rPr/>
              <w:t xml:space="preserve">8. Cell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1656.2" w:type="dxa"/>
        <w:gridCol w:w="2484.3" w:type="dxa"/>
        <w:gridCol w:w="1656.2" w:type="dxa"/>
        <w:gridCol w:w="2484.3" w:type="dxa"/>
      </w:tblGrid>
      <w:tblPr>
        <w:tblStyle w:val="Process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>
              <w:jc w:val="left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B) Report Approvals Processing</w:t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1. Name of in-charge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5. Date received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2. Qualification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6. Name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3. Date of sent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7. Signature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</w:tcPr>
          <w:p>
            <w:pPr/>
            <w:r>
              <w:rPr/>
              <w:t xml:space="preserve">4. Signature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  <w:tc>
          <w:tcPr>
            <w:tcW w:w="2484.3" w:type="dxa"/>
          </w:tcPr>
          <w:p>
            <w:pPr/>
            <w:r>
              <w:rPr/>
              <w:t xml:space="preserve">8. Date entered in DHIS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82.81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0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II. Outpatient Consultations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7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A) Outpatient Morbidity summary table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gridSpan w:val="1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B) Health insurance status of new cases</w:t>
            </w:r>
          </w:p>
        </w:tc>
        <w:tc>
          <w:tcPr>
            <w:tcW w:w="745.29" w:type="dxa"/>
            <w:vAlign w:val="center"/>
            <w:gridSpan w:val="1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&lt;5 yr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yr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≥20 yr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Insured (Mutuelle or other insurance members)</w:t>
            </w:r>
          </w:p>
        </w:tc>
        <w:tc>
          <w:tcPr>
            <w:tcW w:w="745.29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663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 New cases(NC)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315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Non-Paying New cases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gridSpan w:val="1"/>
          </w:tcPr>
          <w:p>
            <w:pPr/>
            <w:r>
              <w:rPr/>
              <w:t xml:space="preserve">Old cases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Number of indigent new cases 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</w:tbl>
    <w:p/>
    <w:tbl>
      <w:tblGrid>
        <w:gridCol w:w="3312.4" w:type="dxa"/>
        <w:gridCol w:w="828.1" w:type="dxa"/>
        <w:gridCol w:w="82.81" w:type="dxa"/>
        <w:gridCol w:w="3312.4" w:type="dxa"/>
        <w:gridCol w:w="745.29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C) Referrals</w:t>
            </w:r>
          </w:p>
        </w:tc>
        <w:tc>
          <w:tcPr>
            <w:tcW w:w="828.1" w:type="dxa"/>
          </w:tcPr>
          <w:p>
            <w:pPr/>
            <w:r>
              <w:rPr/>
              <w:t xml:space="preserve">Total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D) Origin of outpatients</w:t>
            </w:r>
          </w:p>
        </w:tc>
        <w:tc>
          <w:tcPr>
            <w:tcW w:w="745.29" w:type="dxa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1. Referred to other levels</w:t>
            </w:r>
          </w:p>
        </w:tc>
        <w:tc>
          <w:tcPr>
            <w:tcW w:w="828.1" w:type="dxa"/>
          </w:tcPr>
          <w:p>
            <w:pPr/>
            <w:r>
              <w:rPr/>
              <w:t xml:space="preserve">42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1. New cases from the catchment area (zone)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2. Counter referrals received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2. New cases (hors 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664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3. Adults referrals by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3. International patients (hors pays)</w:t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4. Enfants de  &lt; 5 ans Référés par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/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E) Nouveaux cas de maladies (Consultation pour enfants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Fièvres ≥ 37,5oC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l’oreille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Schistosomiase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Ascaris lumbricoides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Trichuristrichiura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Ankylostome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Entamoeba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Giardia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Ténia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Elephantiasis (imidido/ibitimbo)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B74 B89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Tungiasis (Chiques)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B88.1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présumé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simplex infections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 Suspect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J18.9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aigues des voies respiratoires (IRA)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J22 J06.9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Gastrite et Duodénite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Abcès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Ulcères cutanés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Mycoses Superficielles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B36.9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Cutanées -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L00 L08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N39.0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(confirmée)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D64.9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A80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F) Nouveaux cas de VIH/SIDA/TB et maladies non-transmissibles (pour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Tuberculoses pulmonaire à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Chronique (&gt;15 jours)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SIDA clinique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Dermatose généralisée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Zoster (Zona / shingles)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Candidoses oral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Chronique (&gt; 1 mois)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Chronique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K52.9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dues aux aiguilles (et autres exposition professionnelle aux VIH)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E50.4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4140.5" w:type="dxa"/>
        <w:gridCol w:w="414.05" w:type="dxa"/>
        <w:gridCol w:w="538.265" w:type="dxa"/>
        <w:gridCol w:w="538.265" w:type="dxa"/>
        <w:gridCol w:w="538.265" w:type="dxa"/>
        <w:gridCol w:w="538.265" w:type="dxa"/>
        <w:gridCol w:w="579.67" w:type="dxa"/>
        <w:gridCol w:w="579.67" w:type="dxa"/>
      </w:tblGrid>
      <w:tblPr>
        <w:tblStyle w:val="Process Table"/>
      </w:tblPr>
      <w:tr>
        <w:trPr>
          <w:trHeight w:val="300" w:hRule="exact"/>
        </w:trPr>
        <w:tc>
          <w:tcPr>
            <w:tcW w:w="4968.6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G) Les Maladies Oculaires et Orales</w:t>
            </w:r>
          </w:p>
        </w:tc>
        <w:tc>
          <w:tcPr>
            <w:tcW w:w="3312.4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Nouveaux cas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 ans</w:t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 ans</w:t>
            </w:r>
          </w:p>
        </w:tc>
        <w:tc>
          <w:tcPr>
            <w:tcW w:w="1159.34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Condition Médicale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ICD-10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Erreur de réfraction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H52.7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Conjonctivite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H10.9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H57.9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Carie dentaire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K02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périodontales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K05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Infections des dents et de gencives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802.98" w:type="dxa"/>
        <w:gridCol w:w="993.72" w:type="dxa"/>
        <w:gridCol w:w="1159.34" w:type="dxa"/>
        <w:gridCol w:w="1076.5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III. Prise en charge intégrée des maladies de l’enfance (PECIME &lt; 5 ans) :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/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0 - 7 Jours</w:t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8 jours - 2 Mois</w:t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A) Enfants traités selon le protocole PCIME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B) Nombre d’enfants &lt; 5 visés par les ASC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C) Les enfants ayant de la fièvre  ≥ 37,5 °C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/>
              <w:t xml:space="preserve">Diagnostic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Bactérienne, sévère ou grave (septicémie)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 locale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 modérée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sévère à la naissance (&lt; 1,5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modérée à la naissance (1,5 - 2,5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d’alimentation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Conjonctivite purulente du nouveau né ou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Gonococcie oculaire (probable)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oculaires, autres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déshydratation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des signes évidents de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sans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probable ou suspect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possible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 sévère ou maladie respiratoire grave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ou rhume, autres infections respiratoires (IRA) sans 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grave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grave (plasmodium négative)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Mastoïdite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chronique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simple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Autres pathologies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sévère compliquée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avec complications aux yeux et/ou bouche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sans complications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Rubéole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 Superficielle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Parasitose Intestinale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dents et de gencives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Physique, autre que 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IV. Santé Mentale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Psychologiques/mentaux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Epilepsie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Suicide (Tentative ou Réussie)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X84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21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V. Maladies chroniques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Hypertension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I10 I15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Asthme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J45 J46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Broncho-pneumopathie chronique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J44 J47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1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2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gestationnaire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VI. Autres Maladies Cardiovasculaires et Rénale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Medical condition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Cardiomyopathie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I42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Infarctus ou hémorragie cérébrale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G45, I60-I64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rhumatismale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I05-I09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congénitale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Q20-Q28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de l'artère coronaire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I25.1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péricardique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I30-I31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cardiaque globale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I50, I11.0, I97.1, P29.0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I51.6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post-chirurgie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N17-N19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Maladies Cardiovasculaires et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N00-N08, N10-N16, N20-N23, N25-N29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VII. Blessures (Injuries)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Cause de Blessures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cause par la circulation routière (dont vélo)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Auto-mutilation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Violence interpersonnelle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blessure intentionnelle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Chute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Noyade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Incendie/brûlure  (thermique, électrique, chimique)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T20-T32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Contact avec Animal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T35-T50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Calamité (Catastrophe naturelle)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VIII.	(Checkup) Dépistage de la population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personnes qui ont consulté pour l’examen médical de checkup annuel pendant la période de rapportage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7204.47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Personnes suspectées comme positives pour checkup qui sont référées pour diagnostique approfondi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chronique des voies respiratoires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Handicap (Disability)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IX. (Screening) Dépistage du Cancer 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cervical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pendant le dépistage du cancer du col utérin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traitées par cryothérapie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envoyés pour traitement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référées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Biopsies recueillies pour tous les types de 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070.25" w:type="dxa"/>
        <w:gridCol w:w="828.1" w:type="dxa"/>
        <w:gridCol w:w="82.81" w:type="dxa"/>
        <w:gridCol w:w="4057.69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X.	Hospitalisations</w:t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A) Présents début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E) Nombre de lits</w:t>
            </w:r>
          </w:p>
        </w:tc>
        <w:tc>
          <w:tcPr>
            <w:tcW w:w="828.1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/>
              <w:t xml:space="preserve">B) Entrants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C) Sortants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F) Entrants membres d’une assurance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00" w:hRule="exact"/>
        </w:trPr>
        <w:tc>
          <w:tcPr>
            <w:tcW w:w="414.05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 Guéris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G) Nombre de jours d’hospitalisation potentielle (Lits x jours du mois en cours)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Décédés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H) Nombre total jours hospitalisation : Hospitalisation Effective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Evadés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I)  Nombre de jours hospitalisation des sortants (e)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 Référés à l’hôpital de district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D) Présents fin du mois (D=A+B-C)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898.3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J) Synthèse par âge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&lt; 1 an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1 à 4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5 à 19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Hospitalisés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</w:tblGrid>
      <w:tblPr>
        <w:tblStyle w:val="Process Table"/>
      </w:tblP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K) Causes principales d’hospitalisation à la sortie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Hospitalisés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Décès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J12.9 J15.9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aigüe des voies respiratoires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J06.9 J22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Cholera (présumé)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A00.9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Méningites (présumée)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des os et articulations (dont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M86.9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 (sans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T79.9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TB Pulmonaire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au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2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XI.	Violence Basé Sur Le Genre (GBV)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5-9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10-18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19-24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25 ans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Sexuelle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Physique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à l’échelon supérieur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la police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les animateurs de santé communautaire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VIH + 3 mois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séquelles irréversibles dues au GBV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GBV Décédés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enceintes 4 semaines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contraception d’urgence endéans 72h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prophylaxie post exposition au VIH endéans 48 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624.8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XII.	Consultations Prénatales (CPN)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Nouvelles inscrites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Première visite standard au 1er trimestre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Femmes enceintes ayant fait 4 visites standard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Nombre grossesses à risques dépistées (inclus grossesse chez les moins de 15 ans)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chez les moins de 15 ans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à risque référées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2 à 5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Nouvelles inscrites complètement vaccinées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recevant suppléments de Fer et Acide Folique Administré (90 Comprimés)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Moustiquaires Imprégnées d'Insecticide distribuées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Déparasitage effectué (mebendazole/albendazole)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dépistage pour la malnutrition (MUAC)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malnutrition détectée (MUAC &lt; 21 cm)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anémie testée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modérée  7 à 9.9 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Sévère&lt;7gm/dl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VIH positive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qui ont reçus leurs résultats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pour la syphilis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positive pour la syphilis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XIII.	Complications Obstétriques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A</w:t>
            </w:r>
          </w:p>
        </w:tc>
        <w:tc>
          <w:tcPr>
            <w:tcW w:w="4720.17" w:type="dxa"/>
            <w:vAlign w:val="center"/>
            <w:shd w:val="clear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Cas et Décès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Consultation Ext. NC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Hospitalisés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(symptômes suggérant un avortement induit)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Spontanés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Grossesse ectopique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Menace d’accouchement prématuré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O47.9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prénatale (APH)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Post-natale (PPH) *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O72.1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puerpérale (après naissance)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O85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Travail prolongé (ou dystocie mécanique)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O66.9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Eclampsie / Pré Eclampsie Sévère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O15.9 O14.1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Rupture Utérine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S37.6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Déchirure du périnée (3eme Degré)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O70.2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Fistule (vesico vaginale or rectale)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N82.0 K60.4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 (&lt;7gm/dl)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avec troubles digestifs mineurs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à l’infection à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complications obstétriques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O75.4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décès Maternels audités au niveau de la Communauté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B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Interventions soins Obstétricaux d’urgence (de base) :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Nombre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Antibiotiques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Anti-hypertensives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Extraction Manuelle du placenta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Aspiration Manuelle (Soins Post-Avortement)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Accouchement par ventouse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Cas de (pré)éclampsie qui ont reçu le sulfate de magnésium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C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Femmes placées sous observation pour 72 heures et plus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Femmes référées d’urgence à l’échelon supérieur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</w:tbl>
    <w:p/>
    <w:tbl>
      <w:tblGrid>
        <w:gridCol w:w="414.05" w:type="dxa"/>
        <w:gridCol w:w="7038.85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XIV.	Accouchement et naissances au Centre de Santé/Dispensaire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total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accompagnées/référées par ASC au CS pour l’accouchement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eutocique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dystocique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de l’enfant à la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Fente Labio-palatine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16 - 19 ans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15 ans ou moins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35 ans et plus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grossesses gémellaires (Jumeaux, triplets, etc.)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Femmes référées à l’hôpital pendant le travail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maternel pendant l’accouchement (=l'ensemble des décès dans le tableau ci-dessus VIII.A)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Naissance vivantes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de poids &lt; 2,5 kg (né vivant, non pas prématuré)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prématuré de poids &lt; 2,5 kg (vivant, 22-37 semaines)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macérés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frais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des nouveaux nés vivant dans 30 minutes (nés dans cette FOSA)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Allaitement maternel du nouveau né endéans la première heure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avec absence de cri à la naissance qui sont réanimés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réanimé avec succès (cri à 5 minutes)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en service post-partum dans les 24 heures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avant la sortie du service post-partum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référé à l’échelon supérieur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210.75" w:type="dxa"/>
        <w:gridCol w:w="828.1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6624.8" w:type="dxa"/>
            <w:vAlign w:val="center"/>
            <w:gridSpan w:val="2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XV.	Consultations Post natales (PNC)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Mère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Bébé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enregistrements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1 endéans 3 jours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2 entre 4 - 9 jours après naissance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3 entre 10 jours et 6 mois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femmes ayant reçu vitamine A 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dépistées pour malnutrition avec MUAC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avec malnutrition (MUAC &lt; 21 cm)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référée pour complications (mère ou enfant)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Enfants à faible poids à la naissance sortis de Kangaroo Mother Care et suivis au CS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1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XVI.	Causes d’hospitalisation et de décès en néonatologie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3009.315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Admis pour hospitalisation</w:t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Décès</w:t>
            </w:r>
          </w:p>
        </w:tc>
      </w:tr>
      <w:tr>
        <w:trPr>
          <w:trHeight w:val="900" w:hRule="exact"/>
        </w:trPr>
        <w:tc>
          <w:tcPr>
            <w:tcW w:w="303.58146" w:type="dxa"/>
            <w:vAlign w:val="center"/>
            <w:shd w:val="clear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3009.265714" w:type="dxa"/>
            <w:vAlign w:val="center"/>
            <w:shd w:val="clear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ICD-10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0 - 7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8 - 28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0 - 7 jours (sauf décès à la naissance)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8 - 28 jours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F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Asphyxie (détresse respiratoire)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P21.9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P80.9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 (22 à 37 semaines)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P07.3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Malformation congénitales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Q89.9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respiratoire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P28.8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P36.9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la peau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P39.4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Tétanos Néonatal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A33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Infection Néonatale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cause de pathologie néonatale non citée ci-haut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dans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hors de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720.17" w:type="dxa"/>
        <w:gridCol w:w="1656.2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XVII.	Vaccinations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Vaccins distribués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0 - 11 Mois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1 an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BCG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Polio-Zero (P0)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Polio-1 (OPV1)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Polio-2 (OPV2)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Polio-3 (OPV3)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et Rubéole (RR)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Moustiquaires imprégnées d’insecticide distribuées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fill="D5D5D5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4720.17" w:type="dxa"/>
            <w:shd w:val="clear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Vaccins pour les autres groupes d'âge :</w:t>
            </w:r>
          </w:p>
        </w:tc>
        <w:tc>
          <w:tcPr>
            <w:tcW w:w="1656.2" w:type="dxa"/>
            <w:shd w:val="clear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12 ans</w:t>
            </w:r>
          </w:p>
        </w:tc>
        <w:tc>
          <w:tcPr>
            <w:tcW w:w="1656.2" w:type="dxa"/>
            <w:shd w:val="clear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fill="D5D5D5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4720.17" w:type="dxa"/>
            <w:shd w:val="clear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656.2" w:type="dxa"/>
            <w:shd w:val="clear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15 mois</w:t>
            </w:r>
          </w:p>
        </w:tc>
        <w:tc>
          <w:tcPr>
            <w:tcW w:w="1656.2" w:type="dxa"/>
            <w:shd w:val="clear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16 mois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Vaccination contre la rougeole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XVIII.	Dépistage des maladies nutritionnelles en ambulatoire (tous services)</w:t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EPI – Vaccination</w:t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IMCI - PCME</w:t>
            </w:r>
          </w:p>
        </w:tc>
        <w:tc>
          <w:tcPr>
            <w:tcW w:w="690.05573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&gt; 5 – 14 ans</w:t>
            </w:r>
          </w:p>
        </w:tc>
        <w:tc>
          <w:tcPr>
            <w:tcW w:w="690.05573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≥ 15 ans</w:t>
            </w:r>
          </w:p>
        </w:tc>
      </w:tr>
      <w:tr>
        <w:trPr>
          <w:trHeight w:val="54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Dépistage de la malnutrition (Total)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Malnutris (Total) 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Malnutrition aigüe sévère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2.2 Malnutrition aigüe sévère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2.3 Malnutrition aigüe modérée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2.4 Malnutrition aigüe modérée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2.5 Insuffisance pondérale modérée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2.6 Malnutrition chronique sévère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2.7 Malnutrition chronique modérée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Référé au programme de la malnutrition (ambulatoire)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03.58146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8.281" w:type="dxa"/>
        <w:gridCol w:w="690.05573" w:type="dxa"/>
        <w:gridCol w:w="690.05573" w:type="dxa"/>
        <w:gridCol w:w="8.281" w:type="dxa"/>
        <w:gridCol w:w="690.05573" w:type="dxa"/>
        <w:gridCol w:w="690.05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3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XIX. Réhabilitation ambulatoires des malnutris</w:t>
            </w:r>
          </w:p>
        </w:tc>
      </w:tr>
      <w:tr>
        <w:trPr>
          <w:trHeight w:val="330" w:hRule="exact"/>
        </w:trPr>
        <w:tc>
          <w:tcPr>
            <w:tcW w:w="2760.55416" w:type="dxa"/>
            <w:vAlign w:val="center"/>
            <w:shd w:val="clear" w:fill="FFFFFF"/>
            <w:gridSpan w:val="3"/>
            <w:vMerge w:val="restart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070.16719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Malnutrition aigue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690.05573" w:type="dxa"/>
            <w:vAlign w:val="center"/>
            <w:shd w:val="clear" w:fill="FFFFFF"/>
            <w:gridSpan w:val="2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Malnutrition chronique (Stunting)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690.05573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Malnutris femmes enceintes</w:t>
            </w:r>
          </w:p>
        </w:tc>
        <w:tc>
          <w:tcPr>
            <w:tcW w:w="690.05573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Malnutris femmes allaitantes</w:t>
            </w:r>
          </w:p>
        </w:tc>
      </w:tr>
      <w:tr>
        <w:trPr>
          <w:trHeight w:val="330" w:hRule="exact"/>
        </w:trPr>
        <w:tc>
          <w:tcPr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modérée</w:t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sévère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au début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2</w:t>
            </w:r>
          </w:p>
        </w:tc>
        <w:tc>
          <w:tcPr>
            <w:tcW w:w="690.05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Admissions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Nouveaux cas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2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2.2 Rechute/Reprise après abandon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3</w:t>
            </w:r>
          </w:p>
        </w:tc>
        <w:tc>
          <w:tcPr>
            <w:tcW w:w="690.05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Sortant du mois dont: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Guéris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3.2 Référés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3.3 Abandonnés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3.4 Décès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à la fin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76.00573" w:type="dxa"/>
        <w:gridCol w:w="2898.26719" w:type="dxa"/>
        <w:gridCol w:w="1104.10573" w:type="dxa"/>
        <w:gridCol w:w="1104.10573" w:type="dxa"/>
        <w:gridCol w:w="1104.10573" w:type="dxa"/>
        <w:gridCol w:w="1104.10573" w:type="dxa"/>
        <w:gridCol w:w="1104.10573" w:type="dxa"/>
        <w:gridCol w:w="1104.10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8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XX.	Planning familial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Méthodes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Nouveaux utilisateurs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Arrêts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Utilisateurs en fin de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Quantité distribuée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Stock à la fin du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Nbre de jours de rupture de stock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progestatif</w:t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combinée</w:t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(Depo-Provera)</w:t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(Norristerat)</w:t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Implants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masculins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féminins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4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méthodes de barrière (gel, diaphragme)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MJF (Collier)</w:t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Auto-observation </w:t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nouvelles utilisatrices référées par ASC pour les méthodes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fill="D5D5D5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579.67" w:type="dxa"/>
        <w:gridCol w:w="3726.45" w:type="dxa"/>
        <w:gridCol w:w="1242.15" w:type="dxa"/>
        <w:gridCol w:w="1242.15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XXI.	Laboratoire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484.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Résultats</w:t>
            </w:r>
          </w:p>
        </w:tc>
        <w:tc>
          <w:tcPr>
            <w:tcW w:w="1242.15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Total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Examens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Négatifs</w:t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1. G.E  (Examens de sang)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184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198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1.1 Plasmodium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1.2 Microfilaire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1.3 Borellia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1.4 Trypanosome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2. Test rapide du paludisme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3. Examens de selles (nombre d’échantillons analysés)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141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Entamoeba histolytica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44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3.2 Giardia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3.3 Ascaris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3.4 Ankylostome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3.5 Schistosome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3.6 Trichuris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3.7 Tænia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3.8 Autres parasites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66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4. Urine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4.2 Sucre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Albumine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Test de grossesse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5. Crachats (Nombre de patients)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Diagnostique BK par  microscopie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Contrôle BK pour les patients 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6. Sang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6.1. RPR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6.2. Résultat final VIH (SRV)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6.3. Hémoglobine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6.4. VS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6.5. NFS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6.6. ALAT (GPT)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6.8. Glycémie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6.9. Amylase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6.10. CD4</w:t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07.025" w:type="dxa"/>
        <w:gridCol w:w="4968.6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7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XXII. Gestion de la pharmacie</w:t>
            </w:r>
          </w:p>
        </w:tc>
      </w:tr>
      <w:tr>
        <w:trPr>
          <w:trHeight w:val="75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Médicaments traceurs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Quantité Reçue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Quantité distribuée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Péremption / Perte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Stock à la fin du mois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Jours de rupture de stock</w:t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Albendazole – comprimé 400mg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sirop 100mg/5ml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comprimé 500mg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Praziquantel – comprimé 200mg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(100000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(200000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comprimé 250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sirop 125mg/5ml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Coartem_Artéméther  + Lumefanthrine tab 20 mg + 120mg  (6x1)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(6x2)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(6x3)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(6x4)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Sulfate deferet acide folique tab 200mg/0.25mg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Artéméther flacon 20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Artesunate flacon 60mg/ml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rapide du paludisme (RDT)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flacon 300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tab 300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Ciprofloxacine tab 250mg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Metronidazolevial 500mg/ml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Cotrimoxazole tab 400 mg + 80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10 mg/ml injection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30 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hcl 10mg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F100, sachet 456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F75, sachet 410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Plumpynut, sachet 920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Corn Soya Mix (CSM), kilo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Médicaments offerts a la Communauté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tab 125 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Red)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Yellow)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de Diagnostique Rapide pour Malaria (TDR)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Misoprostol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Gants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4140.5" w:type="dxa"/>
        <w:gridCol w:w="1242.15" w:type="dxa"/>
        <w:gridCol w:w="1242.15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XXIII.	des moustiquaires imprégnées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Canal de distribution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Quantité reçue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Quantité distribuée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Stock à la fin du mois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CPN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Vaccination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Campagne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312.4" w:type="dxa"/>
        <w:gridCol w:w="828.1" w:type="dxa"/>
        <w:gridCol w:w="3312.4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>
              <w:jc w:val="left"/>
            </w:pPr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XXIV. Trésorerie (Finances)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A) Recettes /Entrées (de toutes sources, y compris mutuelle)</w:t>
            </w:r>
          </w:p>
        </w:tc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B) Dépenses /Sorties</w:t>
            </w:r>
          </w:p>
        </w:tc>
      </w:tr>
      <w:tr>
        <w:trPr>
          <w:trHeight w:val="300" w:hRule="exact"/>
        </w:trPr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Montant total</w:t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1. Soins préventifs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1. Achat de médicaments, matériel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2. Soins Curative (y compris les hospitalisations)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Salaires, sécurité sociale, taxes prof. Personnel payés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3. Accouchements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Primes du personnel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4. Laboratoire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4. Frais de missions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5. Vente médicaments/ petit matériel 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5. Fournitures bureau / imprimés / 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6. Petite chirurgie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6. Entretien &amp; maintenance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7. Documents médico-légaux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7. Entretien &amp; maintenance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8. Vente d’imprimés/carnets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8. Entretien &amp; maintenance des moyens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9. Transport des patients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9. Entretien &amp; réhabilitation infrastructures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10. Financement basé sur la performance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10. Matériel d’entretien, produits nettoyage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11. Autres Subsides de l’Etat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11. Carburant, lubrifiants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12. Autres Contributions des partenaires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12. Eau, électricité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13. Intérêts bancaires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13. Communication (Téléphone, Internet…)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14. Autres recettes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14. Formations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1"/>
                <w:bCs w:val="1"/>
              </w:rPr>
              <w:t xml:space="preserve">Total des Recettes (A)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15. Frais liés aux indigents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shd w:val="clear" w:fill="FFFFFF"/>
            <w:gridSpan w:val="2"/>
            <w:vMerge w:val="restart"/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16. Achat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17. Achat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18. Achat moyen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19. Autres dépenses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1"/>
                <w:bCs w:val="1"/>
              </w:rPr>
              <w:t xml:space="preserve">Total des Dépenses (B)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898.35" w:type="dxa"/>
        <w:gridCol w:w="1242.15" w:type="dxa"/>
        <w:gridCol w:w="2898.35" w:type="dxa"/>
        <w:gridCol w:w="1242.15" w:type="dxa"/>
      </w:tblGrid>
      <w:tblPr>
        <w:tblStyle w:val="Process Table"/>
      </w:tblPr>
      <w:tr>
        <w:trPr>
          <w:trHeight w:val="84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C. Recettes Mutuelle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Montant total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D. Recettes des autres assurances maladies (RAMA / MMI / FARG/ Assurances privées)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14.1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15.1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14.2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15.2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14.3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 w:val="1"/>
                <w:bCs w:val="1"/>
              </w:rPr>
              <w:t xml:space="preserve">E) Créances</w:t>
            </w:r>
          </w:p>
        </w:tc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 w:val="1"/>
                <w:bCs w:val="1"/>
              </w:rPr>
              <w:t xml:space="preserve">F) Déttes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1. Créances au début du mois (e)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1. Dettes au début du mois (i)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2. (+)Ensemble des créances du mois (f)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2. (+) Ensemble des dettes du mois (j)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3. (-)Remboursement du mois 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3. (-) Remboursement du mois 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4. Créances fin de mois de mois (H) = (e+f)-(g)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 w:val="0"/>
                <w:bCs w:val="0"/>
              </w:rPr>
              <w:t xml:space="preserve">4. Dettes fin de mois (L)  = (i+ j) -(k)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80" w:hRule="exact"/>
        </w:trPr>
        <w:tc>
          <w:tcPr>
            <w:tcW w:w="2898.35" w:type="dxa"/>
            <w:vAlign w:val="center"/>
            <w:gridSpan w:val="4"/>
          </w:tcPr>
          <w:p>
            <w:pPr/>
            <w:r>
              <w:rPr>
                <w:color w:val="000000"/>
                <w:sz w:val="14"/>
                <w:szCs w:val="14"/>
                <w:b w:val="0"/>
                <w:bCs w:val="0"/>
              </w:rPr>
              <w:t xml:space="preserve">Ensemble des créances : tout ce que l'on doit à la FOSA  en argent, en bien (ex : médicaments..) ou en service (ex : consultations…)&lt;br /&gt; Ensemble des dettes : tout ce que la FOSA doit en argent  en bien (ex : médicaments..) ou service (consultations…)</w:t>
            </w:r>
          </w:p>
        </w:tc>
      </w:tr>
    </w:tbl>
    <w:sectPr>
      <w:pgSz w:orient="portrait" w:w="11905.511811024" w:h="16837.795275591"/>
      <w:pgMar w:top="20" w:right="20" w:bottom="20" w:left="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D Table">
    <w:name w:val="ID Table"/>
    <w:uiPriority w:val="99"/>
    <w:tblPr>
      <w:jc w:val="center"/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000000"/>
        </w:tcPr>
      </w:tcPr>
    </w:tblStylePr>
  </w:style>
  <w:style w:type="table" w:customStyle="1" w:styleId="Process Table">
    <w:name w:val="Process Table"/>
    <w:uiPriority w:val="99"/>
    <w:tblPr>
      <w:jc w:val="center"/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2020-01-13T08:03:43+00:00</dcterms:created>
  <dcterms:modified xsi:type="dcterms:W3CDTF">2020-01-13T08:03:43+00:00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