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9800" w:type="dxa"/>
      </w:tblGrid>
      <w:tr>
        <w:trPr>
          <w:trHeight w:val="1000" w:hRule="exact"/>
        </w:trPr>
        <w:tc>
          <w:tcPr>
            <w:tcW w:w="200" w:type="dxa"/>
          </w:tcPr>
          <w:p>
            <w:pPr/>
            <w:r>
              <w:pict>
                <v:shape type="#_x0000_t75" style="width:59px; height:66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98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Rapport Mensuel SIS du Centre de Sante/Dispensaire</w:t>
            </w:r>
          </w:p>
        </w:tc>
      </w:tr>
    </w:tbl>
    <w:tbl>
      <w:tblGrid>
        <w:gridCol w:w="5000" w:type="dxa"/>
        <w:gridCol w:w="2500" w:type="dxa"/>
        <w:gridCol w:w="1500" w:type="dxa"/>
        <w:gridCol w:w="1000" w:type="dxa"/>
      </w:tblGrid>
      <w:tblPr>
        <w:tblStyle w:val="ID Table"/>
      </w:tblPr>
      <w:tr>
        <w:trPr>
          <w:trHeight w:val="300" w:hRule="exact"/>
        </w:trPr>
        <w:tc>
          <w:tcPr>
            <w:tcW w:w="10000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I. Identification and Important communications</w:t>
            </w:r>
          </w:p>
        </w:tc>
      </w:tr>
      <w:tr>
        <w:trPr>
          <w:trHeight w:val="300" w:hRule="exact"/>
        </w:trPr>
        <w:tc>
          <w:tcPr>
            <w:tcW w:w="10000" w:type="dxa"/>
            <w:vAlign w:val="center"/>
            <w:gridSpan w:val="4"/>
          </w:tcPr>
          <w:p>
            <w:pPr/>
            <w:r>
              <w:rPr/>
              <w:t xml:space="preserve">A) Report Identification</w:t>
            </w:r>
          </w:p>
        </w:tc>
      </w:tr>
      <w:tr>
        <w:trPr>
          <w:trHeight w:val="300" w:hRule="exact"/>
        </w:trPr>
        <w:tc>
          <w:tcPr>
            <w:tcW w:w="5000" w:type="dxa"/>
          </w:tcPr>
          <w:p>
            <w:pPr/>
            <w:r>
              <w:rPr/>
              <w:t xml:space="preserve">1. Facility Name</w:t>
            </w:r>
          </w:p>
        </w:tc>
        <w:tc>
          <w:tcPr>
            <w:tcW w:w="2500" w:type="dxa"/>
          </w:tcPr>
          <w:p>
            <w:pPr/>
            <w:r>
              <w:rPr/>
              <w:t xml:space="preserve">Gihundwe Health Center</w:t>
            </w:r>
          </w:p>
        </w:tc>
        <w:tc>
          <w:tcPr>
            <w:tcW w:w="1500" w:type="dxa"/>
          </w:tcPr>
          <w:p>
            <w:pPr/>
            <w:r>
              <w:rPr/>
              <w:t xml:space="preserve">5. Year</w:t>
            </w:r>
          </w:p>
        </w:tc>
        <w:tc>
          <w:tcPr>
            <w:tcW w:w="1000" w:type="dxa"/>
          </w:tcPr>
          <w:p>
            <w:pPr/>
            <w:r>
              <w:rPr/>
              <w:t xml:space="preserve">2018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2. Catchment Area Population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6. Month</w:t>
            </w:r>
          </w:p>
        </w:tc>
        <w:tc>
          <w:tcPr>
            <w:tcW w:w="1000" w:type="dxa"/>
          </w:tcPr>
          <w:p>
            <w:pPr/>
            <w:r>
              <w:rPr/>
              <w:t xml:space="preserve">09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3. Province</w:t>
            </w:r>
          </w:p>
        </w:tc>
        <w:tc>
          <w:tcPr>
            <w:tcW w:w="2500" w:type="dxa"/>
          </w:tcPr>
          <w:p>
            <w:pPr/>
            <w:r>
              <w:rPr/>
              <w:t xml:space="preserve">Western</w:t>
            </w:r>
          </w:p>
        </w:tc>
        <w:tc>
          <w:tcPr>
            <w:tcW w:w="1500" w:type="dxa"/>
          </w:tcPr>
          <w:p>
            <w:pPr/>
            <w:r>
              <w:rPr/>
              <w:t xml:space="preserve">7. Sector</w:t>
            </w:r>
          </w:p>
        </w:tc>
        <w:tc>
          <w:tcPr>
            <w:tcW w:w="1000" w:type="dxa"/>
          </w:tcPr>
          <w:p>
            <w:pPr/>
            <w:r>
              <w:rPr/>
              <w:t xml:space="preserve">Kamembe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4.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Rusizi</w:t>
            </w:r>
          </w:p>
        </w:tc>
        <w:tc>
          <w:tcPr>
            <w:tcW w:w="1500" w:type="dxa"/>
          </w:tcPr>
          <w:p>
            <w:pPr/>
            <w:r>
              <w:rPr/>
              <w:t xml:space="preserve">8. Cell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1656.2" w:type="dxa"/>
        <w:gridCol w:w="2484.3" w:type="dxa"/>
        <w:gridCol w:w="1656.2" w:type="dxa"/>
        <w:gridCol w:w="2484.3" w:type="dxa"/>
      </w:tblGrid>
      <w:tblPr>
        <w:tblStyle w:val="Process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B) Report Approvals Processing</w:t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1. Name of in-charge</w:t>
            </w:r>
          </w:p>
        </w:tc>
        <w:tc>
          <w:tcPr>
            <w:tcW w:w="2484.3" w:type="dxa"/>
          </w:tcPr>
          <w:p>
            <w:pPr/>
            <w:r>
              <w:rPr/>
              <w:t xml:space="preserve">DAPHROSE IYAKAREMYE</w:t>
            </w:r>
          </w:p>
        </w:tc>
        <w:tc>
          <w:tcPr>
            <w:tcW w:w="1656.2" w:type="dxa"/>
          </w:tcPr>
          <w:p>
            <w:pPr/>
            <w:r>
              <w:rPr/>
              <w:t xml:space="preserve">5. Date received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2. Qualification</w:t>
            </w:r>
          </w:p>
        </w:tc>
        <w:tc>
          <w:tcPr>
            <w:tcW w:w="2484.3" w:type="dxa"/>
          </w:tcPr>
          <w:p>
            <w:pPr/>
            <w:r>
              <w:rPr/>
              <w:t xml:space="preserve">INFIRMIERE A1</w:t>
            </w:r>
          </w:p>
        </w:tc>
        <w:tc>
          <w:tcPr>
            <w:tcW w:w="1656.2" w:type="dxa"/>
          </w:tcPr>
          <w:p>
            <w:pPr/>
            <w:r>
              <w:rPr/>
              <w:t xml:space="preserve">6. Name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3. Date of sent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</w:tcPr>
          <w:p>
            <w:pPr/>
            <w:r>
              <w:rPr/>
              <w:t xml:space="preserve">7. Signature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</w:tcPr>
          <w:p>
            <w:pPr/>
            <w:r>
              <w:rPr/>
              <w:t xml:space="preserve">4. Signature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  <w:tc>
          <w:tcPr>
            <w:tcW w:w="2484.3" w:type="dxa"/>
          </w:tcPr>
          <w:p>
            <w:pPr/>
            <w:r>
              <w:rPr/>
              <w:t xml:space="preserve">8. Date entered in DHIS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82.81" w:type="dxa"/>
        <w:gridCol/>
        <w:gridCol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0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II. Outpatient Consultations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center"/>
            <w:gridSpan w:val="7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A) Outpatient Morbidity summary table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center"/>
            <w:gridSpan w:val="1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B) Health insurance status of new cases</w:t>
            </w:r>
          </w:p>
        </w:tc>
        <w:tc>
          <w:tcPr>
            <w:tcW w:w="745.29" w:type="dxa"/>
            <w:vAlign w:val="center"/>
            <w:gridSpan w:val="1"/>
          </w:tcPr>
          <w:p>
            <w:pPr/>
            <w:r>
              <w:rPr/>
              <w:t xml:space="preserve">TOTAL</w:t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&lt;5 yr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yr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≥20 yr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Insured (Mutuelle or other insurance members)</w:t>
            </w:r>
          </w:p>
        </w:tc>
        <w:tc>
          <w:tcPr>
            <w:tcW w:w="745.29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431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 New cases(NC)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180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Non-Paying New cases</w:t>
            </w:r>
          </w:p>
        </w:tc>
        <w:tc>
          <w:tcPr>
            <w:tcW w:w="745.2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gridSpan w:val="1"/>
          </w:tcPr>
          <w:p>
            <w:pPr/>
            <w:r>
              <w:rPr/>
              <w:t xml:space="preserve">Old cases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Number of indigent new cases </w:t>
            </w:r>
          </w:p>
        </w:tc>
        <w:tc>
          <w:tcPr>
            <w:tcW w:w="745.2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</w:tbl>
    <w:p/>
    <w:tbl>
      <w:tblGrid>
        <w:gridCol w:w="3312.4" w:type="dxa"/>
        <w:gridCol w:w="828.1" w:type="dxa"/>
        <w:gridCol w:w="82.81" w:type="dxa"/>
        <w:gridCol w:w="3312.4" w:type="dxa"/>
        <w:gridCol w:w="745.29" w:type="dxa"/>
      </w:tblGrid>
      <w:tblPr>
        <w:tblStyle w:val="Process Table"/>
      </w:tblPr>
      <w:tr>
        <w:trPr>
          <w:trHeight w:val="300" w:hRule="exact"/>
        </w:trPr>
        <w:tc>
          <w:tcPr>
            <w:tcW w:w="3312.4" w:type="dxa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C) Referrals</w:t>
            </w:r>
          </w:p>
        </w:tc>
        <w:tc>
          <w:tcPr>
            <w:tcW w:w="828.1" w:type="dxa"/>
          </w:tcPr>
          <w:p>
            <w:pPr/>
            <w:r>
              <w:rPr/>
              <w:t xml:space="preserve">Total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D) Origin of outpatients</w:t>
            </w:r>
          </w:p>
        </w:tc>
        <w:tc>
          <w:tcPr>
            <w:tcW w:w="745.29" w:type="dxa"/>
          </w:tcPr>
          <w:p>
            <w:pPr/>
            <w:r>
              <w:rPr/>
              <w:t xml:space="preserve">Total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1. Referred to other levels</w:t>
            </w:r>
          </w:p>
        </w:tc>
        <w:tc>
          <w:tcPr>
            <w:tcW w:w="828.1" w:type="dxa"/>
          </w:tcPr>
          <w:p>
            <w:pPr/>
            <w:r>
              <w:rPr/>
              <w:t xml:space="preserve">122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1. New cases from the catchment area (zone)</w:t>
            </w:r>
          </w:p>
        </w:tc>
        <w:tc>
          <w:tcPr>
            <w:tcW w:w="745.29" w:type="dxa"/>
          </w:tcPr>
          <w:p>
            <w:pPr/>
            <w:r>
              <w:rPr/>
              <w:t xml:space="preserve">124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2. Counter referrals received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2. New cases (hors zone)</w:t>
            </w:r>
          </w:p>
        </w:tc>
        <w:tc>
          <w:tcPr>
            <w:tcW w:w="745.29" w:type="dxa"/>
          </w:tcPr>
          <w:p>
            <w:pPr/>
            <w:r>
              <w:rPr/>
              <w:t xml:space="preserve">323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3. Adults referrals by CHW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3. International patients (hors pays)</w:t>
            </w:r>
          </w:p>
        </w:tc>
        <w:tc>
          <w:tcPr>
            <w:tcW w:w="745.29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4. Enfants de  &lt; 5 ans Référés par CHW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/>
            </w:r>
          </w:p>
        </w:tc>
        <w:tc>
          <w:tcPr>
            <w:tcW w:w="745.29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5382.65" w:type="dxa"/>
        <w:gridCol w:w="828.1" w:type="dxa"/>
        <w:gridCol w:w="414.05" w:type="dxa"/>
        <w:gridCol w:w="414.05" w:type="dxa"/>
        <w:gridCol w:w="414.05" w:type="dxa"/>
        <w:gridCol w:w="414.05" w:type="dxa"/>
      </w:tblGrid>
      <w:tblPr>
        <w:tblStyle w:val="Process Table"/>
      </w:tblPr>
      <w:tr>
        <w:trPr>
          <w:trHeight w:val="300" w:hRule="exact"/>
        </w:trPr>
        <w:tc>
          <w:tcPr>
            <w:tcW w:w="6624.8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E) Nouveaux cas de maladies (Consultation pour enfants &lt; 5 ans voir PECIME)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Fièvres ≥ 37,5oC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avec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sans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 l’oreille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H65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Schistosomiase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B65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Ascaris lumbricoides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Trichuristrichiura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Ankylostome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Entamoeba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Giardia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Ténia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B68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Elephantiasis (imidido/ibitimbo)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B74 B89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Tungiasis (Chiques)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B88.1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(pas femme enceinte)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avec troubles digestifs mineurs (pas femme enceinte)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B53.8.0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présumé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Herpes simplex infections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B00.9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 Suspect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G03.9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J18.9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aigues des voies respiratoires (IRA) autres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J22 J06.9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Gastrite et Duodénite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K29.9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Abcès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L02.9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Ulcères cutanés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L89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Gale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B86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Mycoses Superficielles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B36.9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Cutanées - Autres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L00 L08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N39.0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(confirmée)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D64.9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Paralysie flasque aigüe (polio suspect)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A80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5382.65" w:type="dxa"/>
        <w:gridCol w:w="828.1" w:type="dxa"/>
        <w:gridCol w:w="414.05" w:type="dxa"/>
        <w:gridCol w:w="414.05" w:type="dxa"/>
        <w:gridCol w:w="414.05" w:type="dxa"/>
        <w:gridCol w:w="414.05" w:type="dxa"/>
      </w:tblGrid>
      <w:tblPr>
        <w:tblStyle w:val="Process Table"/>
      </w:tblPr>
      <w:tr>
        <w:trPr>
          <w:trHeight w:val="300" w:hRule="exact"/>
        </w:trPr>
        <w:tc>
          <w:tcPr>
            <w:tcW w:w="6624.8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F) Nouveaux cas de VIH/SIDA/TB et maladies non-transmissibles (pour &lt; 5 ans voir PECIME)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gynécologiques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N94.9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Tuberculoses pulmonaire à microscopie positive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A15.0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Toux Chronique (&gt;15 jours)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SIDA clinique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Dermatose généralisée due au 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Herpes Zoster (Zona / shingles)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Candidoses oral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 Chronique (&gt; 1 mois)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Chronique due au 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K52.9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Blessures dues aux aiguilles (et autres exposition professionnelle aux VIH)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Cécité Nocturne – carence en Vitamine 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E50.4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4140.5" w:type="dxa"/>
        <w:gridCol w:w="414.05" w:type="dxa"/>
        <w:gridCol w:w="538.265" w:type="dxa"/>
        <w:gridCol w:w="538.265" w:type="dxa"/>
        <w:gridCol w:w="538.265" w:type="dxa"/>
        <w:gridCol w:w="538.265" w:type="dxa"/>
        <w:gridCol w:w="579.67" w:type="dxa"/>
        <w:gridCol w:w="579.67" w:type="dxa"/>
      </w:tblGrid>
      <w:tblPr>
        <w:tblStyle w:val="Process Table"/>
      </w:tblPr>
      <w:tr>
        <w:trPr>
          <w:trHeight w:val="300" w:hRule="exact"/>
        </w:trPr>
        <w:tc>
          <w:tcPr>
            <w:tcW w:w="4968.6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 G) Les Maladies Oculaires et Orales</w:t>
            </w:r>
          </w:p>
        </w:tc>
        <w:tc>
          <w:tcPr>
            <w:tcW w:w="3312.4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Nouveaux cas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 ans</w:t>
            </w:r>
          </w:p>
        </w:tc>
        <w:tc>
          <w:tcPr>
            <w:tcW w:w="1076.53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 ans</w:t>
            </w:r>
          </w:p>
        </w:tc>
        <w:tc>
          <w:tcPr>
            <w:tcW w:w="1159.34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Condition Médicale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Erreur de réfraction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H52.7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Conjonctivite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H10.9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Autre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H57.9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Carie dentaire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K02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périodontales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K05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Infections des dents et de gencives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K29.9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4802.98" w:type="dxa"/>
        <w:gridCol w:w="993.72" w:type="dxa"/>
        <w:gridCol w:w="1159.34" w:type="dxa"/>
        <w:gridCol w:w="1076.5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III. Prise en charge intégrée des maladies de l’enfance (PECIME &lt; 5 ans) :</w:t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/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0 - 7 Jours</w:t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8 jours - 2 Mois</w:t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A) Enfants traités selon le protocole PCIME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B) Nombre d’enfants &lt; 5 visés par les ASC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C) Les enfants ayant de la fièvre  ≥ 37,5 °C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/>
              <w:t xml:space="preserve">Diagnostic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Bactérienne, sévère ou grave (septicémie)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Bactérienne locale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Hypothermie modérée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Prématurité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pondérale sévère à la naissance (&lt; 1,5 kg)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pondérale modérée à la naissance (1,5 - 2,5 kg)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d’alimentation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Conjonctivite purulente du nouveau né ou autre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Gonococcie oculaire (probable)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oculaires, autres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avec déshydratation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avec des signes évidents de déshydratation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sans déshydratation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persistante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persistante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probable ou suspect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possible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 sévère ou maladie respiratoire grave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Toux ou rhume, autres infections respiratoires (IRA) sans pneumonie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grave (confirmée)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 grave (plasmodium négative)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(confirmée)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Mastoïdite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aigue de l’oreille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chronique de l’oreille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simple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Autres pathologies :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sévère compliquée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avec complications aux yeux et/ou bouche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sans complications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Rubéole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Gale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Mycose Superficielle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Autre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Parasitose Intestinale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dents et de gencives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Fracture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Physique, autre que Fracture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Cécité Nocturne – carence en Vitamine A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Paralysie flasque aigüe (polio suspect)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IV. Santé Mentale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Anciens cas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Troubles Psychologiques/mentaux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FXX.9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Epilepsie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G40.9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Suicide (Tentative ou Réussie)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X84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21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V. Maladies chroniques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Anciens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Hypertension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I10 I15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Asthme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J45 J46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Broncho-pneumopathie chronique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J44 J47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- Type 1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- Type 2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E11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gestationnaire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O24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VI. Autres Maladies Cardiovasculaires et Rénale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Medical condition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Cardiomyopathie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I42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Infarctus ou hémorragie cérébrale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G45, I60-I64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Cardiopathie rhumatismale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I05-I09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Cardiopathie congénitale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Q20-Q28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de l'artère coronaire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I25.1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péricardique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I30-I31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cardiaque globale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I50, I11.0, I97.1, P29.0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maladie cardiovasculaire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I51.6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post-chirurgie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N17-N19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Maladies Cardiovasculaires et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N00-N08, N10-N16, N20-N23, N25-N29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VII. Blessures (Injuries)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Cause de Blessures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Blessures cause par la circulation routière (dont vélo)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Auto-mutilation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Violence interpersonnelle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blessure intentionnelle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Chute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Noyade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Incendie/brûlure  (thermique, électrique, chimique)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T20-T32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Contact avec Animal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T35-T50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Calamité (Catastrophe naturelle)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 w:w="248.43" w:type="dxa"/>
        <w:gridCol w:w="7204.47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VIII.	(Checkup) Dépistage de la population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total de personnes qui ont consulté pour l’examen médical de checkup annuel pendant la période de rapportage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7204.47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Personnes suspectées comme positives pour checkup qui sont référées pour diagnostique approfondi :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Cardiovasculaire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chronique des voies respiratoires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Cancer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Handicap (Disability)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7204.47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IX. (Screening) Dépistage du Cancer 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dépistées pour le cancer cervical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pendant le dépistage du cancer du col utérin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et traitées par cryothérapie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et envoyés pour traitement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dépistées pour le cancer du Sein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référées pour le cancer du Sein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Biopsies recueillies pour tous les types de cancer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2070.25" w:type="dxa"/>
        <w:gridCol w:w="828.1" w:type="dxa"/>
        <w:gridCol w:w="82.81" w:type="dxa"/>
        <w:gridCol w:w="4057.69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X.	Hospitalisations</w:t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A) Présents début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E) Nombre de lits</w:t>
            </w:r>
          </w:p>
        </w:tc>
        <w:tc>
          <w:tcPr>
            <w:tcW w:w="828.1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312.4" w:type="dxa"/>
            <w:vAlign w:val="center"/>
            <w:gridSpan w:val="2"/>
          </w:tcPr>
          <w:p>
            <w:pPr/>
            <w:r>
              <w:rPr/>
              <w:t xml:space="preserve">B) Entrants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C) Sortants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F) Entrants membres d’une assurance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500" w:hRule="exact"/>
        </w:trPr>
        <w:tc>
          <w:tcPr>
            <w:tcW w:w="414.05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 Guéris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G) Nombre de jours d’hospitalisation potentielle (Lits x jours du mois en cours)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 Décédés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H) Nombre total jours hospitalisation : Hospitalisation Effective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 Evadés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I)  Nombre de jours hospitalisation des sortants (e)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 Référés à l’hôpital de district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D) Présents fin du mois (D=A+B-C)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2898.3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</w:tblGrid>
      <w:tblPr>
        <w:tblStyle w:val="Process Table"/>
      </w:tblPr>
      <w:tr>
        <w:trPr>
          <w:trHeight w:val="300" w:hRule="exact"/>
        </w:trPr>
        <w:tc>
          <w:tcPr>
            <w:tcW w:w="3312.4" w:type="dxa"/>
            <w:vAlign w:val="center"/>
            <w:gridSpan w:val="2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J) Synthèse par âge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1 an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1 à 4 ans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5 à 19 ans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Hospitalisés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/>
        <w:gridCol/>
        <w:gridCol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</w:tblGrid>
      <w:tblPr>
        <w:tblStyle w:val="Process Table"/>
      </w:tblPr>
      <w:tr>
        <w:trPr>
          <w:trHeight w:val="300" w:hRule="exact"/>
        </w:trPr>
        <w:tc>
          <w:tcPr>
            <w:tcW w:w="3726.45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K) Causes principales d’hospitalisation à la sortie</w:t>
            </w:r>
          </w:p>
        </w:tc>
        <w:tc>
          <w:tcPr>
            <w:tcW w:w="1863.225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Hospitalisés</w:t>
            </w:r>
          </w:p>
        </w:tc>
        <w:tc>
          <w:tcPr>
            <w:tcW w:w="1863.225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 à 19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20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 à 19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B50-B53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avec troubles digestifs mineurs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B50-B53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J12.9 J15.9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aigüe des voies respiratoires - Autre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J06.9 J22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B05.9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avec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A09.1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sans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A09.2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Cholera (présumé)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A00.9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A05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Méningites (présumée)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G03.9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Troubles mentaux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FXX.9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Affections des os et articulations (dont fractures)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M86.9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Physique (sans fractures)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T79.9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TB Pulmonaire microscopie positive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A15.0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opportunistes au VIH/Sida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B24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Affections gynécologiques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N94.9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/>
        <w:gridCol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2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XI.	Violence Basé Sur Le Genre (GBV)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5-9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10-18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19-24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25 ans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Symptômes de Violence Sexuelle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Symptômes de Violence Physique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à l’échelon supérieur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par la police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par les animateurs de santé communautaire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VIH + 3 mois après exposition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séquelles irréversibles dues au GBV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GBV Décédés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enceintes 4 semaines après exposition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qui ont reçu la contraception d’urgence endéans 72h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qui ont reçu la prophylaxie post exposition au VIH endéans 48 h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6624.8" w:type="dxa"/>
        <w:gridCol w:w="1242.1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XII.	Consultations Prénatales (CPN)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Nouvelles inscrites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Première visite standard au 1er trimestre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Femmes enceintes ayant fait 4 visites standard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Nombre grossesses à risques dépistées (inclus grossesse chez les moins de 15 ans)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Grossesses chez les moins de 15 ans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Grossesses à risque référées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2 à 5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Nouvelles inscrites complètement vaccinées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recevant suppléments de Fer et Acide Folique Administré (90 Comprimés)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Moustiquaires Imprégnées d'Insecticide distribuées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Déparasitage effectué (mebendazole/albendazole)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dépistage pour la malnutrition (MUAC)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malnutrition détectée (MUAC &lt; 21 cm)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anémie testée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Anémie modérée  7 à 9.9 gm/dl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Anémie Sévère&lt;7gm/dl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au VIH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VIH positive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au VIH qui ont reçus leurs résultats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pour la syphilis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positive pour la syphilis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9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XIII.	Complications Obstétriques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A</w:t>
            </w:r>
          </w:p>
        </w:tc>
        <w:tc>
          <w:tcPr>
            <w:tcW w:w="4720.17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Cas et Décès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Consultation Ext. NC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Hospitalisés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Avortements (symptômes suggérant un avortement induit)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Avortements Spontanés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Grossesse ectopique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Menace d’accouchement prématuré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O47.9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Hémorragie prénatale (APH)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O46.9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Hémorragie Post-natale (PPH) *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O72.1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puerpérale (après naissance)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O85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Travail prolongé (ou dystocie mécanique)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O66.9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Eclampsie / Pré Eclampsie Sévère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O15.9 O14.1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Rupture Utérine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S37.6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Déchirure du périnée (3eme Degré)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O70.2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Fistule (vesico vaginale or rectale)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N82.0 K60.4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Sévère (&lt;7gm/dl)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pendant grossesse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avec troubles digestifs mineurs pendant grossesse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O98.6.1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Opportunistes à l’infection à VIH/sida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complications obstétriques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O75.4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total de décès Maternels audités au niveau de la Communauté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Interventions soins Obstétricaux d’urgence (de base) :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Nombre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Antibiotiques intraveineuses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Anti-hypertensives intraveineuses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Extraction Manuelle du placenta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Aspiration Manuelle (Soins Post-Avortement)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Accouchement par ventouse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Cas de (pré)éclampsie qui ont reçu le sulfate de magnésium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C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Femmes placées sous observation pour 72 heures et plus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D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Femmes référées d’urgence à l’échelon supérieur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</w:tbl>
    <w:p/>
    <w:tbl>
      <w:tblGrid>
        <w:gridCol w:w="414.05" w:type="dxa"/>
        <w:gridCol w:w="7038.85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XIV.	Accouchement et naissances au Centre de Santé/Dispensaire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total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de Femmes accompagnées/référées par ASC au CS pour l’accouchement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eutocique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dystocique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de l’enfant à la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Fente Labio-palatine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16 - 19 ans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15 ans ou moins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35 ans et plus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grossesses gémellaires (Jumeaux, triplets, etc.)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Femmes référées à l’hôpital pendant le travail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 maternel pendant l’accouchement (=l'ensemble des décès dans le tableau ci-dessus VIII.A)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Naissance vivantes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de poids &lt; 2,5 kg (né vivant, non pas prématuré)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prématuré de poids &lt; 2,5 kg (vivant, 22-37 semaines)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Mort nés macérés (&gt;22 semaines ou &gt;500 grammes)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Mort nés frais (&gt;22 semaines ou &gt;500 grammes)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 des nouveaux nés vivant dans 30 minutes (nés dans cette FOSA)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Allaitement maternel du nouveau né endéans la première heure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Nouveaux nés avec absence de cri à la naissance qui sont réanimés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Nouveaux nés réanimé avec succès (cri à 5 minutes)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Nouveau-nés contrôlés pour les signes de danger en service post-partum dans les 24 heures (si la mère est hospitalisée)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Nouveau-nés contrôlés pour les signes de danger avant la sortie du service post-partum (si la mère est hospitalisée)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référé à l’échelon supérieur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6210.75" w:type="dxa"/>
        <w:gridCol w:w="828.1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6624.8" w:type="dxa"/>
            <w:vAlign w:val="center"/>
            <w:gridSpan w:val="2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XV.	Consultations Post natales (PNC)</w:t>
            </w:r>
          </w:p>
        </w:tc>
        <w:tc>
          <w:tcPr>
            <w:tcW w:w="828.1" w:type="dxa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/>
              </w:rPr>
              <w:t xml:space="preserve">Mère</w:t>
            </w:r>
          </w:p>
        </w:tc>
        <w:tc>
          <w:tcPr>
            <w:tcW w:w="828.1" w:type="dxa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/>
              </w:rPr>
              <w:t xml:space="preserve">Bébé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enregistrements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1 endéans 3 jours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2 entre 4 - 9 jours après naissance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3 entre 10 jours et 6 mois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femmes ayant reçu vitamine A 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femmes enregistrées dépistées pour malnutrition avec MUAC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femmes enregistrées avec malnutrition (MUAC &lt; 21 cm)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référée pour complications (mère ou enfant)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Enfants à faible poids à la naissance sortis de Kangaroo Mother Care et suivis au CS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/>
        <w:gridCol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1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XVI.	Causes d’hospitalisation et de décès en néonatologie</w:t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3009.315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08.21146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Admis pour hospitalisation</w:t>
            </w:r>
          </w:p>
        </w:tc>
        <w:tc>
          <w:tcPr>
            <w:tcW w:w="2208.21146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Décès</w:t>
            </w:r>
          </w:p>
        </w:tc>
      </w:tr>
      <w:tr>
        <w:trPr>
          <w:trHeight w:val="900" w:hRule="exact"/>
        </w:trPr>
        <w:tc>
          <w:tcPr>
            <w:tcW w:w="303.58146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3009.265714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0 - 7 jours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8 - 28 jours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0 - 7 jours (sauf décès à la naissance)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8 - 28 jours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Asphyxie (détresse respiratoire)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P21.9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Hypothermie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P80.9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Prématurité (22 à 37 semaines)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P07.3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Malformation congénitales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Q89.9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respiratoire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P28.8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P36.9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 la peau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P39.4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Tétanos Néonatal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A33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Infection Néonatale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cause de pathologie néonatale non citée ci-haut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Total nouveaux nés admis (nés dans cette FOSA)/mort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Total nouveaux nés admis (nés hors de cette FOSA)/mort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4720.17" w:type="dxa"/>
        <w:gridCol w:w="1656.2" w:type="dxa"/>
        <w:gridCol w:w="1656.2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XVII.	Vaccinations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Vaccins distribués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0 - 11 Mois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1 an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BCG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Polio-Zero (P0)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Polio-1 (OPV1)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Polio-2 (OPV2)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Polio-3 (OPV3)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et Rubéole (RR)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Moustiquaires imprégnées d’insecticide distribuées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shd w:val="clear" w:color="" w:fill="D5D5D5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4720.17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Vaccins pour les autres groupes d'âge :</w:t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12 ans</w:t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shd w:val="clear" w:color="" w:fill="D5D5D5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4720.17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15 mois</w:t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16 mois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Vaccination contre la rougeole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 w:w="690.05573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/>
        <w:gridCol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9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XVIII.	Dépistage des maladies nutritionnelles en ambulatoire (tous services)</w:t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70.16719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EPI – Vaccination</w:t>
            </w:r>
          </w:p>
        </w:tc>
        <w:tc>
          <w:tcPr>
            <w:tcW w:w="2070.16719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IMCI - PCME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/>
              <w:t xml:space="preserve">&gt; 5 – 14 ans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/>
              <w:t xml:space="preserve">≥ 15 ans</w:t>
            </w:r>
          </w:p>
        </w:tc>
      </w:tr>
      <w:tr>
        <w:trPr>
          <w:trHeight w:val="54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0 - 6 j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7 j - 2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0 - 6 j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7 j - 2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Dépistage de la malnutrition (Total)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Malnutris (Total) :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2.1 Malnutrition aigüe sévère (sans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2.2 Malnutrition aigüe sévère (avec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2.3 Malnutrition aigüe modérée (sans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2.4 Malnutrition aigüe modérée (avec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2.5 Insuffisance pondérale modérée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2.6 Malnutrition chronique sévère (sturting)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2.7 Malnutrition chronique modérée (sturting)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Référé au programme de la malnutrition (ambulatoire)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303.58146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 w:w="8.281" w:type="dxa"/>
        <w:gridCol w:w="690.05573" w:type="dxa"/>
        <w:gridCol w:w="690.05573" w:type="dxa"/>
        <w:gridCol w:w="8.281" w:type="dxa"/>
        <w:gridCol w:w="690.05573" w:type="dxa"/>
        <w:gridCol w:w="690.0557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XIX. Réhabilitation ambulatoires des malnutris</w:t>
            </w:r>
          </w:p>
        </w:tc>
      </w:tr>
      <w:tr>
        <w:trPr>
          <w:trHeight w:val="330" w:hRule="exact"/>
        </w:trPr>
        <w:tc>
          <w:tcPr>
            <w:tcW w:w="2760.55416" w:type="dxa"/>
            <w:vAlign w:val="center"/>
            <w:shd w:val="clear" w:color="" w:fill="FFFFFF"/>
            <w:gridSpan w:val="3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070.16719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Malnutrition aigue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90.05573" w:type="dxa"/>
            <w:vAlign w:val="center"/>
            <w:shd w:val="clear" w:color="" w:fill="FFFFFF"/>
            <w:gridSpan w:val="2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Malnutrition chronique (Stunting)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Malnutris femmes enceintes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Malnutris femmes allaitantes</w:t>
            </w:r>
          </w:p>
        </w:tc>
      </w:tr>
      <w:tr>
        <w:trPr>
          <w:trHeight w:val="330" w:hRule="exact"/>
        </w:trPr>
        <w:tc>
          <w:tcPr>
            <w:tcW w:w="" w:type="dxa"/>
            <w:gridSpan w:val="3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modérée</w:t>
            </w:r>
          </w:p>
        </w:tc>
        <w:tc>
          <w:tcPr>
            <w:tcW w:w="690.05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sévère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3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5 ans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5 ans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90.05573" w:type="dxa"/>
            <w:vAlign w:val="center"/>
            <w:gridSpan w:val="2"/>
          </w:tcPr>
          <w:p>
            <w:pPr/>
            <w:r>
              <w:rPr/>
              <w:t xml:space="preserve">Présent au début du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2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Admissions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2.1 Nouveaux cas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42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2.2 Rechute/Reprise après abandon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3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Sortant du mois dont: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3.1 Guéris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3.2 Référés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3.3 Abandonnés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3.4 Décès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90.05573" w:type="dxa"/>
            <w:vAlign w:val="center"/>
            <w:gridSpan w:val="2"/>
          </w:tcPr>
          <w:p>
            <w:pPr/>
            <w:r>
              <w:rPr/>
              <w:t xml:space="preserve">Présent à la fin du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76.00573" w:type="dxa"/>
        <w:gridCol w:w="2898.26719" w:type="dxa"/>
        <w:gridCol w:w="1104.10573" w:type="dxa"/>
        <w:gridCol w:w="1104.10573" w:type="dxa"/>
        <w:gridCol w:w="1104.10573" w:type="dxa"/>
        <w:gridCol w:w="1104.10573" w:type="dxa"/>
        <w:gridCol w:w="1104.10573" w:type="dxa"/>
        <w:gridCol w:w="1104.1057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8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XX.	Planning familial</w:t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Méthodes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Nouveaux utilisateurs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Arrêts de PF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Utilisateurs en fin de mois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distribuée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Stock à la fin du mois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Nbre de jours de rupture de stock</w:t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Contraceptifs oraux, progestatif</w:t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Contraceptifs oraux, combinée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Injectables (Depo-Provera)</w:t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Injectables (Norristerat)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Implants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DIU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Préservatifs masculins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Préservatifs féminins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54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méthodes de barrière (gel, diaphragme)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MJF (Collier)</w:t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Auto-observation 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de femmes nouvelles utilisatrices référées par ASC pour les méthodes de PF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 w:w="248.43" w:type="dxa"/>
        <w:gridCol w:w="579.67" w:type="dxa"/>
        <w:gridCol w:w="3726.45" w:type="dxa"/>
        <w:gridCol w:w="1242.15" w:type="dxa"/>
        <w:gridCol w:w="1242.15" w:type="dxa"/>
        <w:gridCol w:w="1242.1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XXI.	Laboratoire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484.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Résultats</w:t>
            </w:r>
          </w:p>
        </w:tc>
        <w:tc>
          <w:tcPr>
            <w:tcW w:w="1242.15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Total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Examens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Positifs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Négatifs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1. G.E  (Examens de sang)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65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78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1.1 Plasmodium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1.2 Microfilaire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1.3 Borellia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1.4 Trypanosome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2. Test rapide du paludisme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3. Examens de selles (nombre d’échantillons analysés)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95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3.1 Entamoeba histolytica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3.2 Giardia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3.3 Ascaris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3.4 Ankylostome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3.5 Schistosome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3.6 Trichuris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3.7 Tænia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3.8 Autres parasites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4. Urine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4.2 Sucre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4.3 Albumine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4.3 Test de grossesse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5. Crachats (Nombre de patients)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5.2 Diagnostique BK par  microscopie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5.2 Contrôle BK pour les patients positifs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6. Sang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6.1. RPR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6.2. Résultat final VIH (SRV)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6.3. Hémoglobine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6.4. VS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6.5. NFS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6.6. ALAT (GPT)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6.8. Glycémie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6.9. Amylase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6.10. CD4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726.45" w:type="dxa"/>
            <w:vAlign w:val="center"/>
            <w:gridSpan w:val="3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07.025" w:type="dxa"/>
        <w:gridCol w:w="4968.6" w:type="dxa"/>
        <w:gridCol w:w="621.075" w:type="dxa"/>
        <w:gridCol w:w="621.075" w:type="dxa"/>
        <w:gridCol w:w="621.075" w:type="dxa"/>
        <w:gridCol w:w="621.075" w:type="dxa"/>
        <w:gridCol w:w="621.07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7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XXII. Gestion de la pharmacie</w:t>
            </w:r>
          </w:p>
        </w:tc>
      </w:tr>
      <w:tr>
        <w:trPr>
          <w:trHeight w:val="75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Médicaments traceurs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Reçue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distribuée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Péremption / Perte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Stock à la fin du mois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Jours de rupture de stock</w:t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Albendazole – comprimé 400mg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Mebendazole – sirop 100mg/5ml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Mebendazole – comprimé 500mg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Praziquantel – comprimé 200mg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Sels de réhydratation orale (paquets)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Vitamine A (100000 ui)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Vitamine A (200000 ui)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Zinc tab 10mg 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– comprimé 250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– sirop 125mg/5ml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Coartem_Artéméther  + Lumefanthrine tab 20 mg + 120mg  (6x1)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(6x2)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(6x3)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(6x4)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Sulfate deferet acide folique tab 200mg/0.25mg 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Artéméther flacon 20 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Artesunate flacon 60mg/ml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Test rapide du paludisme (RDT)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Quinine flacon 300 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Quinine tab 300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Ciprofloxacine tab 250mg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Metronidazolevial 500mg/ml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Cotrimoxazole tab 400 mg + 80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10 mg/ml injection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30 mg tablet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hcl 10mg tablet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Lait thérapeutique F100, sachet 456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Lait thérapeutique F75, sachet 410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Plumpynut, sachet 920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Corn Soya Mix (CSM), kilo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Médicaments offerts a la Communauté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Sels de réhydratation orale (paquets)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Zinc tab 10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tab 125 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ACT (Primo Red)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ACT (Primo Yellow)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Test de Diagnostique Rapide pour Malaria (TDR)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Misoprostol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Gants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4140.5" w:type="dxa"/>
        <w:gridCol w:w="1242.15" w:type="dxa"/>
        <w:gridCol w:w="1242.15" w:type="dxa"/>
        <w:gridCol w:w="1656.2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XXIII.	des moustiquaires imprégnées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Canal de distribution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reçue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distribuée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Stock à la fin du mois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CPN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Vaccination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Campagne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3312.4" w:type="dxa"/>
        <w:gridCol w:w="828.1" w:type="dxa"/>
        <w:gridCol w:w="3312.4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XXIV. Trésorerie (Finances)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A) Recettes /Entrées (de toutes sources, y compris mutuelle)</w:t>
            </w:r>
          </w:p>
        </w:tc>
        <w:tc>
          <w:tcPr>
            <w:tcW w:w="4140.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B) Dépenses /Sorties</w:t>
            </w:r>
          </w:p>
        </w:tc>
      </w:tr>
      <w:tr>
        <w:trPr>
          <w:trHeight w:val="300" w:hRule="exact"/>
        </w:trPr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Libellé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Libellé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Soins préventifs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Achat de médicaments, matériel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 Soins Curative (y compris les hospitalisations)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 Salaires, sécurité sociale, taxes prof. Personnel payés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 Accouchements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 Primes du personnel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Laboratoire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Frais de missions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5. Vente médicaments/ petit matériel 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5. Fournitures bureau / imprimés / carnets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6. Petite chirurgie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6. Entretien &amp; maintenance équipement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7. Documents médico-légaux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7. Entretien &amp; maintenance équipement non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8. Vente d’imprimés/carnets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8. Entretien &amp; maintenance des moyens de transport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9. Transport des patients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9. Entretien &amp; réhabilitation infrastructures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10. Financement basé sur la performance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10. Matériel d’entretien, produits nettoyage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11. Autres Subsides de l’Etat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11. Carburant, lubrifiants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12. Autres Contributions des partenaires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12. Eau, électricité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13. Intérêts bancaires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13. Communication (Téléphone, Internet…)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 Autres recettes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14. Formations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Total des Recettes (A)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15. Frais liés aux indigents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center"/>
            <w:shd w:val="clear" w:color="" w:fill="FFFFFF"/>
            <w:gridSpan w:val="2"/>
            <w:vMerge w:val="restart"/>
          </w:tcPr>
          <w:p>
            <w:pPr/>
            <w:r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16. Achat équipement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17. Achat équipement non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18. Achat moyen de transport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19. Autres dépenses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Total des Dépenses (B)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898.35" w:type="dxa"/>
        <w:gridCol w:w="1242.15" w:type="dxa"/>
        <w:gridCol w:w="2898.35" w:type="dxa"/>
        <w:gridCol w:w="1242.15" w:type="dxa"/>
      </w:tblGrid>
      <w:tblPr>
        <w:tblStyle w:val="Process Table"/>
      </w:tblPr>
      <w:tr>
        <w:trPr>
          <w:trHeight w:val="84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C. Recettes Mutuelle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D. Recettes des autres assurances maladies (RAMA / MMI / FARG/ Assurances privées)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14.1 Tickets modérateurs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15.1 Tickets modérateurs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14.2 Paiement des soins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15.2 Paiement des soins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14.3 Paiement des médicaments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16.3 Paiement des médicaments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center"/>
            <w:gridSpan w:val="2"/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E) Créances</w:t>
            </w:r>
          </w:p>
        </w:tc>
        <w:tc>
          <w:tcPr>
            <w:tcW w:w="2898.35" w:type="dxa"/>
            <w:vAlign w:val="center"/>
            <w:gridSpan w:val="2"/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F) Déttes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Libellé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Montant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Libellé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Montant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Créances au début du mois (e)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Dettes au début du mois (i)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 (+)Ensemble des créances du mois (f)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 (+) Ensemble des dettes du mois (j)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 (-)Remboursement du mois (g)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 (-) Remboursement du mois (k)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Créances fin de mois de mois (H) = (e+f)-(g)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Dettes fin de mois (L)  = (i+ j) -(k)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480" w:hRule="exact"/>
        </w:trPr>
        <w:tc>
          <w:tcPr>
            <w:tcW w:w="2898.35" w:type="dxa"/>
            <w:vAlign w:val="center"/>
            <w:gridSpan w:val="4"/>
          </w:tcPr>
          <w:p>
            <w:pPr/>
            <w:r>
              <w:rPr>
                <w:color w:val="000000"/>
                <w:sz w:val="14"/>
                <w:szCs w:val="14"/>
              </w:rPr>
              <w:t xml:space="preserve">Ensemble des créances : tout ce que l'on doit à la FOSA  en argent, en bien (ex : médicaments..) ou en service (ex : consultations…)&lt;br /&gt; Ensemble des dettes : tout ce que la FOSA doit en argent  en bien (ex : médicaments..) ou service (consultations…)</w:t>
            </w:r>
          </w:p>
        </w:tc>
      </w:tr>
    </w:tbl>
    <w:sectPr>
      <w:pgSz w:orient="portrait" w:w="11870" w:h="16787"/>
      <w:pgMar w:top="20" w:right="20" w:bottom="20" w:left="2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8"/>
        <w:szCs w:val="1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ID Table">
    <w:name w:val="ID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000000"/>
        </w:tcPr>
      </w:tcPr>
    </w:tblStylePr>
  </w:style>
  <w:style w:type="table" w:customStyle="1" w:styleId="Process Table">
    <w:name w:val="Process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2018-09-08T19:22:29+00:00</dcterms:created>
  <dcterms:modified xsi:type="dcterms:W3CDTF">2018-09-08T19:22:29+00:00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