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FA3B17" w:rsidRPr="00BF61CC" w:rsidRDefault="00407305">
      <w:pPr>
        <w:keepNext/>
        <w:widowControl w:val="0"/>
        <w:pBdr>
          <w:top w:val="nil"/>
          <w:left w:val="nil"/>
          <w:bottom w:val="nil"/>
          <w:right w:val="nil"/>
          <w:between w:val="nil"/>
        </w:pBdr>
        <w:spacing w:line="360" w:lineRule="auto"/>
        <w:ind w:firstLine="0"/>
        <w:jc w:val="center"/>
        <w:rPr>
          <w:b/>
          <w:color w:val="000000"/>
          <w:sz w:val="24"/>
          <w:szCs w:val="24"/>
        </w:rPr>
      </w:pPr>
      <w:r w:rsidRPr="00BF61CC">
        <w:rPr>
          <w:b/>
          <w:sz w:val="24"/>
          <w:szCs w:val="24"/>
        </w:rPr>
        <w:t>Incoterm Effects Throughout Global Supply Chains</w:t>
      </w:r>
    </w:p>
    <w:p w14:paraId="00000002" w14:textId="77777777" w:rsidR="00FA3B17" w:rsidRPr="00BF61CC" w:rsidRDefault="00FA3B17">
      <w:pPr>
        <w:pStyle w:val="Subtitle"/>
        <w:spacing w:line="360" w:lineRule="auto"/>
        <w:jc w:val="center"/>
      </w:pPr>
    </w:p>
    <w:p w14:paraId="00000004" w14:textId="5E3CB617" w:rsidR="00FA3B17" w:rsidRPr="00BF61CC" w:rsidRDefault="00407305" w:rsidP="00BF61CC">
      <w:pPr>
        <w:pStyle w:val="Subtitle"/>
        <w:spacing w:line="360" w:lineRule="auto"/>
        <w:jc w:val="center"/>
      </w:pPr>
      <w:r w:rsidRPr="00BF61CC">
        <w:t>Marco Nunez Moctezuma</w:t>
      </w:r>
      <w:r w:rsidRPr="00BF61CC">
        <w:rPr>
          <w:vertAlign w:val="superscript"/>
        </w:rPr>
        <w:t>1</w:t>
      </w:r>
      <w:r w:rsidRPr="00BF61CC">
        <w:t>, Brandon Ledesma</w:t>
      </w:r>
      <w:r w:rsidRPr="00BF61CC">
        <w:rPr>
          <w:vertAlign w:val="superscript"/>
        </w:rPr>
        <w:t>1</w:t>
      </w:r>
      <w:r w:rsidRPr="00BF61CC">
        <w:t>, Bhagyashri Patil</w:t>
      </w:r>
      <w:r w:rsidRPr="00BF61CC">
        <w:rPr>
          <w:vertAlign w:val="superscript"/>
        </w:rPr>
        <w:t>2</w:t>
      </w:r>
    </w:p>
    <w:p w14:paraId="00000005" w14:textId="77777777" w:rsidR="00FA3B17" w:rsidRPr="00BF61CC" w:rsidRDefault="00407305">
      <w:pPr>
        <w:pStyle w:val="Subtitle"/>
        <w:spacing w:line="360" w:lineRule="auto"/>
        <w:jc w:val="center"/>
      </w:pPr>
      <w:r w:rsidRPr="00BF61CC">
        <w:t>1: Management Information Systems, San Diego State University, USA</w:t>
      </w:r>
    </w:p>
    <w:p w14:paraId="00000006" w14:textId="77777777" w:rsidR="00FA3B17" w:rsidRPr="00BF61CC" w:rsidRDefault="00407305">
      <w:pPr>
        <w:pStyle w:val="Subtitle"/>
        <w:spacing w:line="360" w:lineRule="auto"/>
        <w:jc w:val="center"/>
      </w:pPr>
      <w:r w:rsidRPr="00BF61CC">
        <w:t>2: Big Data Analytics, San Diego State University, USA</w:t>
      </w:r>
    </w:p>
    <w:p w14:paraId="00000007" w14:textId="77777777" w:rsidR="00FA3B17" w:rsidRPr="00BF61CC" w:rsidRDefault="00FA3B17">
      <w:pPr>
        <w:spacing w:line="360" w:lineRule="auto"/>
        <w:rPr>
          <w:sz w:val="24"/>
          <w:szCs w:val="24"/>
        </w:rPr>
      </w:pPr>
    </w:p>
    <w:p w14:paraId="00000008" w14:textId="77777777" w:rsidR="00FA3B17" w:rsidRPr="00BF61CC" w:rsidRDefault="00407305">
      <w:pPr>
        <w:keepNext/>
        <w:widowControl w:val="0"/>
        <w:pBdr>
          <w:top w:val="nil"/>
          <w:left w:val="nil"/>
          <w:bottom w:val="nil"/>
          <w:right w:val="nil"/>
          <w:between w:val="nil"/>
        </w:pBdr>
        <w:spacing w:line="360" w:lineRule="auto"/>
        <w:ind w:firstLine="0"/>
        <w:jc w:val="center"/>
        <w:rPr>
          <w:i/>
          <w:color w:val="000000"/>
          <w:sz w:val="24"/>
          <w:szCs w:val="24"/>
        </w:rPr>
      </w:pPr>
      <w:r w:rsidRPr="00BF61CC">
        <w:rPr>
          <w:b/>
          <w:color w:val="000000"/>
          <w:sz w:val="24"/>
          <w:szCs w:val="24"/>
        </w:rPr>
        <w:t xml:space="preserve">Abstract </w:t>
      </w:r>
    </w:p>
    <w:p w14:paraId="00000009" w14:textId="77777777" w:rsidR="00FA3B17" w:rsidRPr="00BF61CC" w:rsidRDefault="00407305">
      <w:pPr>
        <w:keepNext/>
        <w:widowControl w:val="0"/>
        <w:spacing w:line="360" w:lineRule="auto"/>
        <w:ind w:firstLine="720"/>
        <w:rPr>
          <w:i/>
          <w:sz w:val="24"/>
          <w:szCs w:val="24"/>
        </w:rPr>
      </w:pPr>
      <w:r w:rsidRPr="00BF61CC">
        <w:rPr>
          <w:sz w:val="24"/>
          <w:szCs w:val="24"/>
        </w:rPr>
        <w:t xml:space="preserve">Blanco et al. in their 2015 paper, </w:t>
      </w:r>
      <w:r w:rsidRPr="00BF61CC">
        <w:rPr>
          <w:i/>
          <w:sz w:val="24"/>
          <w:szCs w:val="24"/>
        </w:rPr>
        <w:t>Modelling the Impact of Trade Facilitation in Global Supply Chains</w:t>
      </w:r>
      <w:r w:rsidRPr="00BF61CC">
        <w:rPr>
          <w:sz w:val="24"/>
          <w:szCs w:val="24"/>
        </w:rPr>
        <w:t xml:space="preserve"> sought to establish “high resolution models that allow measuring the impact of trade fac</w:t>
      </w:r>
      <w:r w:rsidRPr="00BF61CC">
        <w:rPr>
          <w:sz w:val="24"/>
          <w:szCs w:val="24"/>
        </w:rPr>
        <w:t>ilitation policies in supply chain operations.”  Five years later we seek to update this model by examining the impacts, if any, of the 2020 revision to Incoterms and the passing of the American Tax Cuts and Jobs Act of 2017.  We additionally propose incor</w:t>
      </w:r>
      <w:r w:rsidRPr="00BF61CC">
        <w:rPr>
          <w:sz w:val="24"/>
          <w:szCs w:val="24"/>
        </w:rPr>
        <w:t>porating the choice of flag flown by ships into the equation.  Finally, we will attempt to validate the model as much as possible using logistics data from Dole and Acesco.</w:t>
      </w:r>
    </w:p>
    <w:p w14:paraId="0000000B" w14:textId="7A333993" w:rsidR="00FA3B17" w:rsidRPr="00BF61CC" w:rsidRDefault="00407305" w:rsidP="00BF61CC">
      <w:pPr>
        <w:spacing w:line="360" w:lineRule="auto"/>
        <w:ind w:firstLine="0"/>
        <w:rPr>
          <w:sz w:val="24"/>
          <w:szCs w:val="24"/>
        </w:rPr>
      </w:pPr>
      <w:r w:rsidRPr="00BF61CC">
        <w:rPr>
          <w:sz w:val="24"/>
          <w:szCs w:val="24"/>
        </w:rPr>
        <w:t>Keywords: Cost modelling, international logistics, Incoterms, Tax Cuts and Jobs Act</w:t>
      </w:r>
      <w:r w:rsidRPr="00BF61CC">
        <w:rPr>
          <w:sz w:val="24"/>
          <w:szCs w:val="24"/>
        </w:rPr>
        <w:t>, Maritime Flags</w:t>
      </w:r>
    </w:p>
    <w:p w14:paraId="1A34C693" w14:textId="77777777" w:rsidR="00BF61CC" w:rsidRPr="00BF61CC" w:rsidRDefault="00BF61CC" w:rsidP="00BF61CC">
      <w:pPr>
        <w:spacing w:line="360" w:lineRule="auto"/>
        <w:ind w:firstLine="0"/>
        <w:rPr>
          <w:b/>
          <w:color w:val="000000"/>
          <w:sz w:val="24"/>
          <w:szCs w:val="24"/>
          <w:u w:val="single"/>
        </w:rPr>
      </w:pPr>
    </w:p>
    <w:p w14:paraId="0000000C" w14:textId="77777777" w:rsidR="00FA3B17" w:rsidRPr="00BF61CC" w:rsidRDefault="00407305">
      <w:pPr>
        <w:pStyle w:val="Heading1"/>
        <w:spacing w:before="0" w:line="360" w:lineRule="auto"/>
        <w:rPr>
          <w:sz w:val="24"/>
          <w:szCs w:val="24"/>
        </w:rPr>
      </w:pPr>
      <w:r w:rsidRPr="00BF61CC">
        <w:rPr>
          <w:sz w:val="24"/>
          <w:szCs w:val="24"/>
        </w:rPr>
        <w:t>Introduction</w:t>
      </w:r>
    </w:p>
    <w:p w14:paraId="0000000D" w14:textId="4FEAD469" w:rsidR="00FA3B17" w:rsidRPr="00BF61CC" w:rsidRDefault="00407305">
      <w:pPr>
        <w:spacing w:line="360" w:lineRule="auto"/>
        <w:ind w:firstLine="720"/>
        <w:rPr>
          <w:sz w:val="24"/>
          <w:szCs w:val="24"/>
        </w:rPr>
      </w:pPr>
      <w:r w:rsidRPr="00BF61CC">
        <w:rPr>
          <w:sz w:val="24"/>
          <w:szCs w:val="24"/>
        </w:rPr>
        <w:t>Blanco et</w:t>
      </w:r>
      <w:r w:rsidRPr="00BF61CC">
        <w:rPr>
          <w:sz w:val="24"/>
          <w:szCs w:val="24"/>
        </w:rPr>
        <w:t xml:space="preserve"> al</w:t>
      </w:r>
      <w:r w:rsidR="00BF61CC" w:rsidRPr="00BF61CC">
        <w:rPr>
          <w:sz w:val="24"/>
          <w:szCs w:val="24"/>
        </w:rPr>
        <w:t>.</w:t>
      </w:r>
      <w:r w:rsidRPr="00BF61CC">
        <w:rPr>
          <w:sz w:val="24"/>
          <w:szCs w:val="24"/>
        </w:rPr>
        <w:t xml:space="preserve">’s paper set out to try to model the cost of a supply chain from the point of inception to the point of receipt by the customer. Needless to say, there are a lot of components of this such as tier 2, tier 3, and </w:t>
      </w:r>
      <w:r w:rsidRPr="00BF61CC">
        <w:rPr>
          <w:sz w:val="24"/>
          <w:szCs w:val="24"/>
        </w:rPr>
        <w:t>so on suppliers, but also less subtle variables like the choice of Incoterms to reference or the pay terms used.  Many models had existed before which Bla</w:t>
      </w:r>
      <w:r w:rsidRPr="00BF61CC">
        <w:rPr>
          <w:sz w:val="24"/>
          <w:szCs w:val="24"/>
        </w:rPr>
        <w:t>n</w:t>
      </w:r>
      <w:r w:rsidR="00BF61CC" w:rsidRPr="00BF61CC">
        <w:rPr>
          <w:sz w:val="24"/>
          <w:szCs w:val="24"/>
        </w:rPr>
        <w:t>c</w:t>
      </w:r>
      <w:r w:rsidRPr="00BF61CC">
        <w:rPr>
          <w:sz w:val="24"/>
          <w:szCs w:val="24"/>
        </w:rPr>
        <w:t>o et al. referenced in their paper, but Blanco et al. sought to further refine the model and add mis</w:t>
      </w:r>
      <w:r w:rsidRPr="00BF61CC">
        <w:rPr>
          <w:sz w:val="24"/>
          <w:szCs w:val="24"/>
        </w:rPr>
        <w:t xml:space="preserve">sing variables like those previously mentioned.  Once their model was drafted, they attempted to use it to identify possible improvements to the Columbian logistics ecosystem.  This yielded a number of </w:t>
      </w:r>
      <w:r w:rsidR="00BF61CC" w:rsidRPr="00BF61CC">
        <w:rPr>
          <w:sz w:val="24"/>
          <w:szCs w:val="24"/>
        </w:rPr>
        <w:t>insights;</w:t>
      </w:r>
      <w:r w:rsidRPr="00BF61CC">
        <w:rPr>
          <w:sz w:val="24"/>
          <w:szCs w:val="24"/>
        </w:rPr>
        <w:t xml:space="preserve"> however</w:t>
      </w:r>
      <w:r w:rsidR="00BF61CC" w:rsidRPr="00BF61CC">
        <w:rPr>
          <w:sz w:val="24"/>
          <w:szCs w:val="24"/>
        </w:rPr>
        <w:t>,</w:t>
      </w:r>
      <w:r w:rsidRPr="00BF61CC">
        <w:rPr>
          <w:sz w:val="24"/>
          <w:szCs w:val="24"/>
        </w:rPr>
        <w:t xml:space="preserve"> they were all at the macro level. We</w:t>
      </w:r>
      <w:r w:rsidRPr="00BF61CC">
        <w:rPr>
          <w:sz w:val="24"/>
          <w:szCs w:val="24"/>
        </w:rPr>
        <w:t xml:space="preserve"> intend to update the model and apply it at a micro level.  We will do this with two companies, Dole and Acesco.</w:t>
      </w:r>
    </w:p>
    <w:p w14:paraId="0000000E" w14:textId="77777777" w:rsidR="00FA3B17" w:rsidRPr="00BF61CC" w:rsidRDefault="00407305">
      <w:pPr>
        <w:pBdr>
          <w:top w:val="nil"/>
          <w:left w:val="nil"/>
          <w:bottom w:val="nil"/>
          <w:right w:val="nil"/>
          <w:between w:val="nil"/>
        </w:pBdr>
        <w:spacing w:line="360" w:lineRule="auto"/>
        <w:ind w:firstLine="720"/>
        <w:rPr>
          <w:sz w:val="24"/>
          <w:szCs w:val="24"/>
        </w:rPr>
      </w:pPr>
      <w:r w:rsidRPr="00BF61CC">
        <w:rPr>
          <w:sz w:val="24"/>
          <w:szCs w:val="24"/>
        </w:rPr>
        <w:t xml:space="preserve">As a second point of focus, tax policy impacts global supply chains by reworking companies’ business models and revenue streams. Tax Cuts and Jobs Act (TCJA) changes can cause base erosion and profit shifting (BEPS) to occur. Companies will then decide to </w:t>
      </w:r>
      <w:r w:rsidRPr="00BF61CC">
        <w:rPr>
          <w:sz w:val="24"/>
          <w:szCs w:val="24"/>
        </w:rPr>
        <w:t xml:space="preserve">move operations onshore or offshore in order to adapt their corporate tax planning strategy to government policy changes. For instance, onshoring to the US could result in a tax rate of </w:t>
      </w:r>
      <w:r w:rsidRPr="00BF61CC">
        <w:rPr>
          <w:sz w:val="24"/>
          <w:szCs w:val="24"/>
        </w:rPr>
        <w:lastRenderedPageBreak/>
        <w:t>13.125% stated in the foreign-derived intangible income (FDII) (Zaiken</w:t>
      </w:r>
      <w:r w:rsidRPr="00BF61CC">
        <w:rPr>
          <w:sz w:val="24"/>
          <w:szCs w:val="24"/>
        </w:rPr>
        <w:t xml:space="preserve"> 2019). FDII rules apply to onshoring, while global intangible low-taxed income (GILTI) rules apply to offshoring. In order to analyse the effects of FDII and GILDI rules, the supply chain’s performance must be modelled using the company’s facilities, inve</w:t>
      </w:r>
      <w:r w:rsidRPr="00BF61CC">
        <w:rPr>
          <w:sz w:val="24"/>
          <w:szCs w:val="24"/>
        </w:rPr>
        <w:t>ntory, transportation, and data on their systems.</w:t>
      </w:r>
    </w:p>
    <w:p w14:paraId="0000000F" w14:textId="77777777" w:rsidR="00FA3B17" w:rsidRPr="00BF61CC" w:rsidRDefault="00407305">
      <w:pPr>
        <w:spacing w:line="360" w:lineRule="auto"/>
        <w:ind w:firstLine="720"/>
        <w:rPr>
          <w:sz w:val="24"/>
          <w:szCs w:val="24"/>
        </w:rPr>
      </w:pPr>
      <w:r w:rsidRPr="00BF61CC">
        <w:rPr>
          <w:sz w:val="24"/>
          <w:szCs w:val="24"/>
        </w:rPr>
        <w:t>Finally, our third point of focus is seeking to understand how the choice of flag a logistics carrier flies affects the model.  The companies of Dole and Acesco will support the exploration of this concept.</w:t>
      </w:r>
    </w:p>
    <w:p w14:paraId="00000010" w14:textId="77777777" w:rsidR="00FA3B17" w:rsidRPr="00BF61CC" w:rsidRDefault="00FA3B17">
      <w:pPr>
        <w:pStyle w:val="Heading1"/>
        <w:spacing w:before="0" w:line="360" w:lineRule="auto"/>
        <w:rPr>
          <w:sz w:val="24"/>
          <w:szCs w:val="24"/>
        </w:rPr>
      </w:pPr>
    </w:p>
    <w:p w14:paraId="00000011" w14:textId="77777777" w:rsidR="00FA3B17" w:rsidRPr="00BF61CC" w:rsidRDefault="00407305">
      <w:pPr>
        <w:pStyle w:val="Heading1"/>
        <w:spacing w:before="0" w:line="360" w:lineRule="auto"/>
        <w:rPr>
          <w:sz w:val="24"/>
          <w:szCs w:val="24"/>
        </w:rPr>
      </w:pPr>
      <w:r w:rsidRPr="00BF61CC">
        <w:rPr>
          <w:sz w:val="24"/>
          <w:szCs w:val="24"/>
        </w:rPr>
        <w:t>Literature Review</w:t>
      </w:r>
    </w:p>
    <w:p w14:paraId="00000012" w14:textId="2FB23BA7" w:rsidR="00FA3B17" w:rsidRPr="00BF61CC" w:rsidRDefault="00407305">
      <w:pPr>
        <w:spacing w:line="360" w:lineRule="auto"/>
        <w:ind w:firstLine="720"/>
        <w:rPr>
          <w:sz w:val="24"/>
          <w:szCs w:val="24"/>
        </w:rPr>
      </w:pPr>
      <w:r w:rsidRPr="00BF61CC">
        <w:rPr>
          <w:sz w:val="24"/>
          <w:szCs w:val="24"/>
        </w:rPr>
        <w:t xml:space="preserve">Tax policy changes made by one country affect the international trade between companies. By simulating models that can be </w:t>
      </w:r>
      <w:r w:rsidRPr="00BF61CC">
        <w:rPr>
          <w:sz w:val="24"/>
          <w:szCs w:val="24"/>
        </w:rPr>
        <w:t>adapted to the emerging market conditions set up by new tax policies, one will be able to monitor cash flow chang</w:t>
      </w:r>
      <w:r w:rsidRPr="00BF61CC">
        <w:rPr>
          <w:sz w:val="24"/>
          <w:szCs w:val="24"/>
        </w:rPr>
        <w:t>es in international economies. Dr. Paternina et al. modelled supply chains in Colombia based on Colombian trade policies and concluded that there are 5 sectors that benefited the most: cosmetics and toiletries, leather and leather goods, machinery and elec</w:t>
      </w:r>
      <w:r w:rsidRPr="00BF61CC">
        <w:rPr>
          <w:sz w:val="24"/>
          <w:szCs w:val="24"/>
        </w:rPr>
        <w:t>tronic equipment, construction materials, and metallurgical industry (Paternina 2018). This conclusion was done by considering values and functions that involved Free Carrier (FCA) terms, inventory stocks, inventory cycle, lead times, sales price and margi</w:t>
      </w:r>
      <w:r w:rsidRPr="00BF61CC">
        <w:rPr>
          <w:sz w:val="24"/>
          <w:szCs w:val="24"/>
        </w:rPr>
        <w:t>ns, demands, and costs. The model does not include the trade impacts of more supply chain tiers, such as customers of importers and suppliers of exporters (Paternina 2018). Therefore, there is ample space to expand the model to involve trading conditions t</w:t>
      </w:r>
      <w:r w:rsidRPr="00BF61CC">
        <w:rPr>
          <w:sz w:val="24"/>
          <w:szCs w:val="24"/>
        </w:rPr>
        <w:t>hat can determine supply chain disruptions and impacts per supply chain tiers.</w:t>
      </w:r>
    </w:p>
    <w:p w14:paraId="00000013" w14:textId="77777777" w:rsidR="00FA3B17" w:rsidRPr="00BF61CC" w:rsidRDefault="00407305">
      <w:pPr>
        <w:spacing w:line="360" w:lineRule="auto"/>
        <w:ind w:firstLine="720"/>
        <w:rPr>
          <w:sz w:val="24"/>
          <w:szCs w:val="24"/>
        </w:rPr>
      </w:pPr>
      <w:r w:rsidRPr="00BF61CC">
        <w:rPr>
          <w:sz w:val="24"/>
          <w:szCs w:val="24"/>
        </w:rPr>
        <w:t>Other research in tax policy has focused more on remediation tactics for companies to base their business models in. For instance, Gkikopoulos et al. focus on the effects of Sec</w:t>
      </w:r>
      <w:r w:rsidRPr="00BF61CC">
        <w:rPr>
          <w:sz w:val="24"/>
          <w:szCs w:val="24"/>
        </w:rPr>
        <w:t>tion 174 in the Tax Cuts and Job Act (TCJA) in the United States of America (USA). The model implements a function on tax avoidance, firm characteristics controls, firm fixed effects, and industry fixed effects (Gkikopoulos 2021). By comparing tax avoidanc</w:t>
      </w:r>
      <w:r w:rsidRPr="00BF61CC">
        <w:rPr>
          <w:sz w:val="24"/>
          <w:szCs w:val="24"/>
        </w:rPr>
        <w:t>e and productivity, the model is capable of being applied to market circumstances such as the one found in 1997 Ireland, where two legislations, the Tax Consolidation Act and the Finance Act. Although the model does allow an insight into the research and d</w:t>
      </w:r>
      <w:r w:rsidRPr="00BF61CC">
        <w:rPr>
          <w:sz w:val="24"/>
          <w:szCs w:val="24"/>
        </w:rPr>
        <w:t>evelopment possibilities due to tax avoidance, it lacks the ability to be extended to other economic constructs, since the productivity variables are proxies that fail to capture implicit taxation and conforming tax avoidance (Gkikopoulos 2021).</w:t>
      </w:r>
    </w:p>
    <w:p w14:paraId="00000014" w14:textId="6F422B70" w:rsidR="00FA3B17" w:rsidRPr="00BF61CC" w:rsidRDefault="00407305">
      <w:pPr>
        <w:spacing w:line="360" w:lineRule="auto"/>
        <w:ind w:firstLine="720"/>
        <w:rPr>
          <w:sz w:val="24"/>
          <w:szCs w:val="24"/>
        </w:rPr>
      </w:pPr>
      <w:r w:rsidRPr="00BF61CC">
        <w:rPr>
          <w:sz w:val="24"/>
          <w:szCs w:val="24"/>
        </w:rPr>
        <w:lastRenderedPageBreak/>
        <w:t>Tax polici</w:t>
      </w:r>
      <w:r w:rsidRPr="00BF61CC">
        <w:rPr>
          <w:sz w:val="24"/>
          <w:szCs w:val="24"/>
        </w:rPr>
        <w:t xml:space="preserve">es bring unknown challenges onto the supply chain. </w:t>
      </w:r>
      <w:r w:rsidR="00BF61CC" w:rsidRPr="00BF61CC">
        <w:rPr>
          <w:sz w:val="24"/>
          <w:szCs w:val="24"/>
        </w:rPr>
        <w:t>Vidal</w:t>
      </w:r>
      <w:r w:rsidRPr="00BF61CC">
        <w:rPr>
          <w:sz w:val="24"/>
          <w:szCs w:val="24"/>
        </w:rPr>
        <w:t xml:space="preserve"> et al. do not focus their model in tax or other policies, but instead their model reflects management strategies, data and information, and quantitative techniques, which allows fine tuning (</w:t>
      </w:r>
      <w:r w:rsidR="00BF61CC" w:rsidRPr="00BF61CC">
        <w:rPr>
          <w:sz w:val="24"/>
          <w:szCs w:val="24"/>
        </w:rPr>
        <w:t>Vidal</w:t>
      </w:r>
      <w:r w:rsidRPr="00BF61CC">
        <w:rPr>
          <w:sz w:val="24"/>
          <w:szCs w:val="24"/>
        </w:rPr>
        <w:t xml:space="preserve"> 2000</w:t>
      </w:r>
      <w:r w:rsidRPr="00BF61CC">
        <w:rPr>
          <w:sz w:val="24"/>
          <w:szCs w:val="24"/>
        </w:rPr>
        <w:t>). This type of model is adequate to provide a flexible system that can analyse uncertainties in business models, but cannot provide the analysis that is involved in this paper. Dogan et al. have a model that can be used to provide savings opportunities th</w:t>
      </w:r>
      <w:r w:rsidRPr="00BF61CC">
        <w:rPr>
          <w:sz w:val="24"/>
          <w:szCs w:val="24"/>
        </w:rPr>
        <w:t xml:space="preserve">rough applying strategic and tactical decisions (Dogan 2001). Again, the model lacks tax application since it does not take tax credit for loss and uses Net Income After Taxes (NIAT). </w:t>
      </w:r>
    </w:p>
    <w:p w14:paraId="00000015" w14:textId="77777777" w:rsidR="00FA3B17" w:rsidRPr="00BF61CC" w:rsidRDefault="00407305">
      <w:pPr>
        <w:spacing w:line="360" w:lineRule="auto"/>
        <w:ind w:firstLine="720"/>
        <w:rPr>
          <w:sz w:val="24"/>
          <w:szCs w:val="24"/>
        </w:rPr>
      </w:pPr>
      <w:r w:rsidRPr="00BF61CC">
        <w:rPr>
          <w:sz w:val="24"/>
          <w:szCs w:val="24"/>
        </w:rPr>
        <w:t>Since companies want to limit their tax responsibilities, models that r</w:t>
      </w:r>
      <w:r w:rsidRPr="00BF61CC">
        <w:rPr>
          <w:sz w:val="24"/>
          <w:szCs w:val="24"/>
        </w:rPr>
        <w:t xml:space="preserve">eflect corporate tax rates are crucial, especially for international countries. Goetschalckx et al. present a model that incorporates corporate tax of 2 countries as parameters and net income before tax (Goetschalckx 1999). Moreover, the net income before </w:t>
      </w:r>
      <w:r w:rsidRPr="00BF61CC">
        <w:rPr>
          <w:sz w:val="24"/>
          <w:szCs w:val="24"/>
        </w:rPr>
        <w:t>tax is used as decision variables. This model covers taxes, but does not allow analysis on how the taxes disrupt profit repatriation nor does it provide location decisions (Goetschalckx 1999). Taxes limit the maximum profit, therefore other models, such as</w:t>
      </w:r>
      <w:r w:rsidRPr="00BF61CC">
        <w:rPr>
          <w:sz w:val="24"/>
          <w:szCs w:val="24"/>
        </w:rPr>
        <w:t xml:space="preserve"> the one He et al. developed, provide a means of portraying the connection between distinct products, assembly, costs, and demand (He 2020). He et al. present a model that provides the flexibility needed to analyse continuously changing market conditions, </w:t>
      </w:r>
      <w:r w:rsidRPr="00BF61CC">
        <w:rPr>
          <w:sz w:val="24"/>
          <w:szCs w:val="24"/>
        </w:rPr>
        <w:t>but lacks the variables needed to involve tax disruptions to the consumer.</w:t>
      </w:r>
    </w:p>
    <w:p w14:paraId="00000016" w14:textId="77777777" w:rsidR="00FA3B17" w:rsidRPr="00BF61CC" w:rsidRDefault="00FA3B17">
      <w:pPr>
        <w:pStyle w:val="Heading1"/>
        <w:spacing w:before="0" w:line="360" w:lineRule="auto"/>
        <w:rPr>
          <w:sz w:val="24"/>
          <w:szCs w:val="24"/>
        </w:rPr>
      </w:pPr>
    </w:p>
    <w:p w14:paraId="00000017" w14:textId="77777777" w:rsidR="00FA3B17" w:rsidRPr="00BF61CC" w:rsidRDefault="00407305">
      <w:pPr>
        <w:pStyle w:val="Heading1"/>
        <w:spacing w:before="0" w:line="360" w:lineRule="auto"/>
        <w:rPr>
          <w:sz w:val="24"/>
          <w:szCs w:val="24"/>
        </w:rPr>
      </w:pPr>
      <w:r w:rsidRPr="00BF61CC">
        <w:rPr>
          <w:sz w:val="24"/>
          <w:szCs w:val="24"/>
        </w:rPr>
        <w:t>Data Sources and Possible Solution</w:t>
      </w:r>
    </w:p>
    <w:p w14:paraId="00000018" w14:textId="77777777" w:rsidR="00FA3B17" w:rsidRPr="00BF61CC" w:rsidRDefault="00407305">
      <w:pPr>
        <w:spacing w:line="360" w:lineRule="auto"/>
        <w:ind w:firstLine="720"/>
        <w:rPr>
          <w:sz w:val="24"/>
          <w:szCs w:val="24"/>
        </w:rPr>
      </w:pPr>
      <w:r w:rsidRPr="00BF61CC">
        <w:rPr>
          <w:sz w:val="24"/>
          <w:szCs w:val="24"/>
        </w:rPr>
        <w:t>Incoterms, generally speaking, are sets of terms that define at what point the costs and risks start and end for both the buyer and the seller. I</w:t>
      </w:r>
      <w:r w:rsidRPr="00BF61CC">
        <w:rPr>
          <w:sz w:val="24"/>
          <w:szCs w:val="24"/>
        </w:rPr>
        <w:t>n addition, Incoterms lay out, to a degree, the path of travel a good will take. According to Deloitte and the education the ICC Academy, the key changes are as follows:</w:t>
      </w:r>
    </w:p>
    <w:p w14:paraId="00000019" w14:textId="77777777" w:rsidR="00FA3B17" w:rsidRPr="00BF61CC" w:rsidRDefault="00407305">
      <w:pPr>
        <w:numPr>
          <w:ilvl w:val="0"/>
          <w:numId w:val="1"/>
        </w:numPr>
        <w:spacing w:line="360" w:lineRule="auto"/>
        <w:rPr>
          <w:sz w:val="24"/>
          <w:szCs w:val="24"/>
        </w:rPr>
      </w:pPr>
      <w:r w:rsidRPr="00BF61CC">
        <w:rPr>
          <w:sz w:val="24"/>
          <w:szCs w:val="24"/>
        </w:rPr>
        <w:t>FCA (free carrier) rules updated “to allow the buyer and seller to agree that the sell</w:t>
      </w:r>
      <w:r w:rsidRPr="00BF61CC">
        <w:rPr>
          <w:sz w:val="24"/>
          <w:szCs w:val="24"/>
        </w:rPr>
        <w:t>er will get an onboard bill of lading.”  Not that significant.  Was generally a thing before due to letter of credit requirements per the article.</w:t>
      </w:r>
    </w:p>
    <w:p w14:paraId="0000001A" w14:textId="77777777" w:rsidR="00FA3B17" w:rsidRPr="00BF61CC" w:rsidRDefault="00407305">
      <w:pPr>
        <w:numPr>
          <w:ilvl w:val="0"/>
          <w:numId w:val="1"/>
        </w:numPr>
        <w:spacing w:line="360" w:lineRule="auto"/>
        <w:rPr>
          <w:sz w:val="24"/>
          <w:szCs w:val="24"/>
        </w:rPr>
      </w:pPr>
      <w:r w:rsidRPr="00BF61CC">
        <w:rPr>
          <w:sz w:val="24"/>
          <w:szCs w:val="24"/>
        </w:rPr>
        <w:t>DAT (delivered at terminal) changed to DPU (delivered at place unloaded) to make it more general.  No meaning</w:t>
      </w:r>
      <w:r w:rsidRPr="00BF61CC">
        <w:rPr>
          <w:sz w:val="24"/>
          <w:szCs w:val="24"/>
        </w:rPr>
        <w:t>ful change for costs.</w:t>
      </w:r>
    </w:p>
    <w:p w14:paraId="0000001B" w14:textId="77777777" w:rsidR="00FA3B17" w:rsidRPr="00BF61CC" w:rsidRDefault="00407305">
      <w:pPr>
        <w:numPr>
          <w:ilvl w:val="0"/>
          <w:numId w:val="1"/>
        </w:numPr>
        <w:spacing w:line="360" w:lineRule="auto"/>
        <w:rPr>
          <w:sz w:val="24"/>
          <w:szCs w:val="24"/>
        </w:rPr>
      </w:pPr>
      <w:r w:rsidRPr="00BF61CC">
        <w:rPr>
          <w:sz w:val="24"/>
          <w:szCs w:val="24"/>
        </w:rPr>
        <w:t>Increased security clearance guidelines.  This may increase costs by limiting the number of firms that can transport certain cargo.</w:t>
      </w:r>
    </w:p>
    <w:p w14:paraId="0000001C" w14:textId="77777777" w:rsidR="00FA3B17" w:rsidRPr="00BF61CC" w:rsidRDefault="00407305">
      <w:pPr>
        <w:numPr>
          <w:ilvl w:val="0"/>
          <w:numId w:val="1"/>
        </w:numPr>
        <w:spacing w:line="360" w:lineRule="auto"/>
        <w:rPr>
          <w:sz w:val="24"/>
          <w:szCs w:val="24"/>
        </w:rPr>
      </w:pPr>
      <w:r w:rsidRPr="00BF61CC">
        <w:rPr>
          <w:sz w:val="24"/>
          <w:szCs w:val="24"/>
        </w:rPr>
        <w:t>Changes to the insurance requirements for CIP and CIF that make it so that the buyer can request the s</w:t>
      </w:r>
      <w:r w:rsidRPr="00BF61CC">
        <w:rPr>
          <w:sz w:val="24"/>
          <w:szCs w:val="24"/>
        </w:rPr>
        <w:t xml:space="preserve">eller obtain more insurance.  This can raise costs for the </w:t>
      </w:r>
      <w:r w:rsidRPr="00BF61CC">
        <w:rPr>
          <w:sz w:val="24"/>
          <w:szCs w:val="24"/>
        </w:rPr>
        <w:lastRenderedPageBreak/>
        <w:t>seller, but may reduce risk and lower costs for the overall supply chain in the long run.</w:t>
      </w:r>
    </w:p>
    <w:p w14:paraId="0000001D" w14:textId="2A74A6CD" w:rsidR="00FA3B17" w:rsidRPr="00BF61CC" w:rsidRDefault="00407305">
      <w:pPr>
        <w:numPr>
          <w:ilvl w:val="0"/>
          <w:numId w:val="1"/>
        </w:numPr>
        <w:spacing w:line="360" w:lineRule="auto"/>
        <w:rPr>
          <w:sz w:val="24"/>
          <w:szCs w:val="24"/>
        </w:rPr>
      </w:pPr>
      <w:r w:rsidRPr="00BF61CC">
        <w:rPr>
          <w:sz w:val="24"/>
          <w:szCs w:val="24"/>
        </w:rPr>
        <w:t xml:space="preserve">Sellers or buyers can now move the goods themselves in FCA Non-Seller’s Premises, DAP, DPU, and DPP rather </w:t>
      </w:r>
      <w:r w:rsidRPr="00BF61CC">
        <w:rPr>
          <w:sz w:val="24"/>
          <w:szCs w:val="24"/>
        </w:rPr>
        <w:t xml:space="preserve">than having to contract it out.  This theoretically reduces costs by removing the markup that would be paid to the </w:t>
      </w:r>
      <w:r w:rsidR="00BF61CC" w:rsidRPr="00BF61CC">
        <w:rPr>
          <w:sz w:val="24"/>
          <w:szCs w:val="24"/>
        </w:rPr>
        <w:t>third-party</w:t>
      </w:r>
      <w:r w:rsidRPr="00BF61CC">
        <w:rPr>
          <w:sz w:val="24"/>
          <w:szCs w:val="24"/>
        </w:rPr>
        <w:t xml:space="preserve"> logistics providers.</w:t>
      </w:r>
    </w:p>
    <w:p w14:paraId="0000001E" w14:textId="2AE03842" w:rsidR="00FA3B17" w:rsidRPr="00BF61CC" w:rsidRDefault="00BF61CC">
      <w:pPr>
        <w:spacing w:line="360" w:lineRule="auto"/>
        <w:ind w:firstLine="0"/>
        <w:rPr>
          <w:sz w:val="24"/>
          <w:szCs w:val="24"/>
        </w:rPr>
      </w:pPr>
      <w:r w:rsidRPr="00BF61CC">
        <w:rPr>
          <w:sz w:val="24"/>
          <w:szCs w:val="24"/>
        </w:rPr>
        <w:t>Overall,</w:t>
      </w:r>
      <w:r w:rsidR="00407305" w:rsidRPr="00BF61CC">
        <w:rPr>
          <w:sz w:val="24"/>
          <w:szCs w:val="24"/>
        </w:rPr>
        <w:t xml:space="preserve"> the changes to incoterms in terms of costs are fairly minor, and we do not believe that they will ha</w:t>
      </w:r>
      <w:r w:rsidR="00407305" w:rsidRPr="00BF61CC">
        <w:rPr>
          <w:sz w:val="24"/>
          <w:szCs w:val="24"/>
        </w:rPr>
        <w:t>ve a significant impact on the cost of the overall supply chain.</w:t>
      </w:r>
    </w:p>
    <w:p w14:paraId="0000001F" w14:textId="77777777" w:rsidR="00FA3B17" w:rsidRPr="00BF61CC" w:rsidRDefault="00FA3B17">
      <w:pPr>
        <w:spacing w:line="360" w:lineRule="auto"/>
        <w:ind w:firstLine="0"/>
        <w:rPr>
          <w:sz w:val="24"/>
          <w:szCs w:val="24"/>
        </w:rPr>
      </w:pPr>
    </w:p>
    <w:p w14:paraId="00000020" w14:textId="77777777" w:rsidR="00FA3B17" w:rsidRPr="00BF61CC" w:rsidRDefault="00407305">
      <w:pPr>
        <w:spacing w:line="360" w:lineRule="auto"/>
        <w:ind w:firstLine="0"/>
        <w:rPr>
          <w:i/>
          <w:sz w:val="24"/>
          <w:szCs w:val="24"/>
        </w:rPr>
      </w:pPr>
      <w:r w:rsidRPr="00BF61CC">
        <w:rPr>
          <w:i/>
          <w:sz w:val="24"/>
          <w:szCs w:val="24"/>
        </w:rPr>
        <w:t>Dole - Acesco Case Study:</w:t>
      </w:r>
    </w:p>
    <w:p w14:paraId="00000021" w14:textId="77777777" w:rsidR="00FA3B17" w:rsidRPr="00BF61CC" w:rsidRDefault="00407305">
      <w:pPr>
        <w:spacing w:line="360" w:lineRule="auto"/>
        <w:ind w:firstLine="720"/>
        <w:rPr>
          <w:sz w:val="24"/>
          <w:szCs w:val="24"/>
        </w:rPr>
      </w:pPr>
      <w:r w:rsidRPr="00BF61CC">
        <w:rPr>
          <w:sz w:val="24"/>
          <w:szCs w:val="24"/>
        </w:rPr>
        <w:t>Through the dataset on Acesco, we will study the experimental setting, which includes the values of market parameters. We will also describe the data that will be collected and fed to a practical, empirical model. The data collected consists of various seg</w:t>
      </w:r>
      <w:r w:rsidRPr="00BF61CC">
        <w:rPr>
          <w:sz w:val="24"/>
          <w:szCs w:val="24"/>
        </w:rPr>
        <w:t xml:space="preserve">ments, such as general data consisting of sales, margin, percentage of export of sales, number of export employees, and export department salary. The next segment is finance data, which consists of cost of capital, interest of profit, and payment terms in </w:t>
      </w:r>
      <w:r w:rsidRPr="00BF61CC">
        <w:rPr>
          <w:sz w:val="24"/>
          <w:szCs w:val="24"/>
        </w:rPr>
        <w:t>days. Product data consists of tons of exported products and the total annual export orders of the product. Supply chain data consists of order to dispatch, dispatch to port, port to port, port to importer’s warehouse, average delay, the percentage build t</w:t>
      </w:r>
      <w:r w:rsidRPr="00BF61CC">
        <w:rPr>
          <w:sz w:val="24"/>
          <w:szCs w:val="24"/>
        </w:rPr>
        <w:t>o order, average manufacturing time of one order. Transportation data consists of the cost of local transportation, the cost of international transportation, and the cost of transportation from the importer’s port to the importer's warehouse. Inventory dat</w:t>
      </w:r>
      <w:r w:rsidRPr="00BF61CC">
        <w:rPr>
          <w:sz w:val="24"/>
          <w:szCs w:val="24"/>
        </w:rPr>
        <w:t>a consists of finished goods’ inventory time, safety stock time, raw material’s inventory time, and raw material’s safety stock time. The last segment is forecast accuracy data, which consists of forecast error, target service level, real service level, ma</w:t>
      </w:r>
      <w:r w:rsidRPr="00BF61CC">
        <w:rPr>
          <w:sz w:val="24"/>
          <w:szCs w:val="24"/>
        </w:rPr>
        <w:t>rkdown, rate of discount, and the discount product.</w:t>
      </w:r>
    </w:p>
    <w:p w14:paraId="00000022" w14:textId="77777777" w:rsidR="00FA3B17" w:rsidRPr="00BF61CC" w:rsidRDefault="00407305">
      <w:pPr>
        <w:spacing w:line="360" w:lineRule="auto"/>
        <w:ind w:firstLine="720"/>
        <w:rPr>
          <w:sz w:val="24"/>
          <w:szCs w:val="24"/>
        </w:rPr>
      </w:pPr>
      <w:r w:rsidRPr="00BF61CC">
        <w:rPr>
          <w:sz w:val="24"/>
          <w:szCs w:val="24"/>
        </w:rPr>
        <w:t>We will be using the scenarios only for the finance data segment, supply chain data segment, transportation data segment, inventory data segment, and the forecast accuracy data segment. For working on the scenarios, we will be considering four scenarios, w</w:t>
      </w:r>
      <w:r w:rsidRPr="00BF61CC">
        <w:rPr>
          <w:sz w:val="24"/>
          <w:szCs w:val="24"/>
        </w:rPr>
        <w:t>hich are the best case, worst case, financial and modification. Apart from the total cost figures, we have also got the minimum and the maximum limits of the costs. We will calculate these scenarios based on the baseline figures provided in the Acesco data</w:t>
      </w:r>
      <w:r w:rsidRPr="00BF61CC">
        <w:rPr>
          <w:sz w:val="24"/>
          <w:szCs w:val="24"/>
        </w:rPr>
        <w:t xml:space="preserve">set. After calculating the outcomes in each scenario, we will try to check for what is the percentage breakdown of all the figures as compared to whole figures of all segments. Furthermore, we can get the performance of each </w:t>
      </w:r>
      <w:r w:rsidRPr="00BF61CC">
        <w:rPr>
          <w:sz w:val="24"/>
          <w:szCs w:val="24"/>
        </w:rPr>
        <w:lastRenderedPageBreak/>
        <w:t>segment for the trade supply ch</w:t>
      </w:r>
      <w:r w:rsidRPr="00BF61CC">
        <w:rPr>
          <w:sz w:val="24"/>
          <w:szCs w:val="24"/>
        </w:rPr>
        <w:t>ain costs across all the scenarios we calculated. The assumptions which we will consider while computing is that a specific year will consist of 365 days, and the exchange rate of COL$ per USD$ is $2100. Financials for Dole, for instance, are available pub</w:t>
      </w:r>
      <w:r w:rsidRPr="00BF61CC">
        <w:rPr>
          <w:sz w:val="24"/>
          <w:szCs w:val="24"/>
        </w:rPr>
        <w:t>licly through SEC files, which will provide real data for the model.</w:t>
      </w:r>
    </w:p>
    <w:p w14:paraId="00000023" w14:textId="77777777" w:rsidR="00FA3B17" w:rsidRPr="00BF61CC" w:rsidRDefault="00FA3B17">
      <w:pPr>
        <w:spacing w:line="360" w:lineRule="auto"/>
        <w:ind w:firstLine="0"/>
        <w:rPr>
          <w:sz w:val="24"/>
          <w:szCs w:val="24"/>
        </w:rPr>
      </w:pPr>
    </w:p>
    <w:p w14:paraId="00000024" w14:textId="77777777" w:rsidR="00FA3B17" w:rsidRPr="00BF61CC" w:rsidRDefault="00FA3B17">
      <w:pPr>
        <w:pStyle w:val="Heading1"/>
        <w:spacing w:line="360" w:lineRule="auto"/>
        <w:rPr>
          <w:sz w:val="24"/>
          <w:szCs w:val="24"/>
        </w:rPr>
      </w:pPr>
    </w:p>
    <w:p w14:paraId="00000025" w14:textId="77777777" w:rsidR="00FA3B17" w:rsidRPr="00BF61CC" w:rsidRDefault="00FA3B17">
      <w:pPr>
        <w:pStyle w:val="Heading1"/>
        <w:spacing w:line="360" w:lineRule="auto"/>
        <w:rPr>
          <w:sz w:val="24"/>
          <w:szCs w:val="24"/>
        </w:rPr>
      </w:pPr>
    </w:p>
    <w:p w14:paraId="00000026" w14:textId="77777777" w:rsidR="00FA3B17" w:rsidRPr="00BF61CC" w:rsidRDefault="00FA3B17">
      <w:pPr>
        <w:spacing w:line="360" w:lineRule="auto"/>
        <w:ind w:firstLine="0"/>
        <w:rPr>
          <w:sz w:val="24"/>
          <w:szCs w:val="24"/>
        </w:rPr>
      </w:pPr>
    </w:p>
    <w:p w14:paraId="00000027" w14:textId="77777777" w:rsidR="00FA3B17" w:rsidRPr="00BF61CC" w:rsidRDefault="00FA3B17">
      <w:pPr>
        <w:spacing w:line="360" w:lineRule="auto"/>
        <w:ind w:firstLine="0"/>
        <w:rPr>
          <w:sz w:val="24"/>
          <w:szCs w:val="24"/>
        </w:rPr>
      </w:pPr>
    </w:p>
    <w:p w14:paraId="00000028" w14:textId="77777777" w:rsidR="00FA3B17" w:rsidRPr="00BF61CC" w:rsidRDefault="00FA3B17">
      <w:pPr>
        <w:spacing w:line="360" w:lineRule="auto"/>
        <w:ind w:firstLine="0"/>
        <w:rPr>
          <w:sz w:val="24"/>
          <w:szCs w:val="24"/>
        </w:rPr>
      </w:pPr>
    </w:p>
    <w:p w14:paraId="00000029" w14:textId="77777777" w:rsidR="00FA3B17" w:rsidRPr="00BF61CC" w:rsidRDefault="00FA3B17">
      <w:pPr>
        <w:spacing w:line="360" w:lineRule="auto"/>
        <w:ind w:firstLine="0"/>
        <w:rPr>
          <w:sz w:val="24"/>
          <w:szCs w:val="24"/>
        </w:rPr>
      </w:pPr>
    </w:p>
    <w:p w14:paraId="0000002A" w14:textId="77777777" w:rsidR="00FA3B17" w:rsidRPr="00BF61CC" w:rsidRDefault="00FA3B17">
      <w:pPr>
        <w:spacing w:line="360" w:lineRule="auto"/>
        <w:ind w:firstLine="0"/>
        <w:rPr>
          <w:sz w:val="24"/>
          <w:szCs w:val="24"/>
        </w:rPr>
      </w:pPr>
    </w:p>
    <w:p w14:paraId="0000002B" w14:textId="77777777" w:rsidR="00FA3B17" w:rsidRPr="00BF61CC" w:rsidRDefault="00FA3B17">
      <w:pPr>
        <w:spacing w:line="360" w:lineRule="auto"/>
        <w:ind w:firstLine="0"/>
        <w:rPr>
          <w:sz w:val="24"/>
          <w:szCs w:val="24"/>
        </w:rPr>
      </w:pPr>
    </w:p>
    <w:p w14:paraId="0000002C" w14:textId="77777777" w:rsidR="00FA3B17" w:rsidRPr="00BF61CC" w:rsidRDefault="00FA3B17">
      <w:pPr>
        <w:spacing w:line="360" w:lineRule="auto"/>
        <w:ind w:firstLine="0"/>
        <w:rPr>
          <w:sz w:val="24"/>
          <w:szCs w:val="24"/>
        </w:rPr>
      </w:pPr>
    </w:p>
    <w:p w14:paraId="0000002D" w14:textId="77777777" w:rsidR="00FA3B17" w:rsidRPr="00BF61CC" w:rsidRDefault="00FA3B17">
      <w:pPr>
        <w:spacing w:line="360" w:lineRule="auto"/>
        <w:ind w:firstLine="0"/>
        <w:rPr>
          <w:sz w:val="24"/>
          <w:szCs w:val="24"/>
        </w:rPr>
      </w:pPr>
    </w:p>
    <w:p w14:paraId="0000002E" w14:textId="77777777" w:rsidR="00FA3B17" w:rsidRPr="00BF61CC" w:rsidRDefault="00FA3B17">
      <w:pPr>
        <w:spacing w:line="360" w:lineRule="auto"/>
        <w:ind w:firstLine="0"/>
        <w:rPr>
          <w:sz w:val="24"/>
          <w:szCs w:val="24"/>
        </w:rPr>
      </w:pPr>
    </w:p>
    <w:p w14:paraId="0000002F" w14:textId="77777777" w:rsidR="00FA3B17" w:rsidRPr="00BF61CC" w:rsidRDefault="00FA3B17">
      <w:pPr>
        <w:spacing w:line="360" w:lineRule="auto"/>
        <w:ind w:firstLine="0"/>
        <w:rPr>
          <w:sz w:val="24"/>
          <w:szCs w:val="24"/>
        </w:rPr>
      </w:pPr>
    </w:p>
    <w:p w14:paraId="00000030" w14:textId="77777777" w:rsidR="00FA3B17" w:rsidRPr="00BF61CC" w:rsidRDefault="00FA3B17">
      <w:pPr>
        <w:spacing w:line="360" w:lineRule="auto"/>
        <w:ind w:firstLine="0"/>
        <w:rPr>
          <w:sz w:val="24"/>
          <w:szCs w:val="24"/>
        </w:rPr>
      </w:pPr>
    </w:p>
    <w:p w14:paraId="00000031" w14:textId="77777777" w:rsidR="00FA3B17" w:rsidRPr="00BF61CC" w:rsidRDefault="00FA3B17">
      <w:pPr>
        <w:spacing w:line="360" w:lineRule="auto"/>
        <w:ind w:firstLine="0"/>
        <w:rPr>
          <w:sz w:val="24"/>
          <w:szCs w:val="24"/>
        </w:rPr>
      </w:pPr>
    </w:p>
    <w:p w14:paraId="00000032" w14:textId="77777777" w:rsidR="00FA3B17" w:rsidRPr="00BF61CC" w:rsidRDefault="00FA3B17">
      <w:pPr>
        <w:spacing w:line="360" w:lineRule="auto"/>
        <w:ind w:firstLine="0"/>
        <w:rPr>
          <w:sz w:val="24"/>
          <w:szCs w:val="24"/>
        </w:rPr>
      </w:pPr>
    </w:p>
    <w:p w14:paraId="00000033" w14:textId="77777777" w:rsidR="00FA3B17" w:rsidRPr="00BF61CC" w:rsidRDefault="00FA3B17">
      <w:pPr>
        <w:spacing w:line="360" w:lineRule="auto"/>
        <w:ind w:firstLine="0"/>
        <w:rPr>
          <w:sz w:val="24"/>
          <w:szCs w:val="24"/>
        </w:rPr>
      </w:pPr>
    </w:p>
    <w:p w14:paraId="00000034" w14:textId="77777777" w:rsidR="00FA3B17" w:rsidRPr="00BF61CC" w:rsidRDefault="00FA3B17">
      <w:pPr>
        <w:spacing w:line="360" w:lineRule="auto"/>
        <w:ind w:firstLine="0"/>
        <w:rPr>
          <w:sz w:val="24"/>
          <w:szCs w:val="24"/>
        </w:rPr>
      </w:pPr>
    </w:p>
    <w:p w14:paraId="00000035" w14:textId="77777777" w:rsidR="00FA3B17" w:rsidRPr="00BF61CC" w:rsidRDefault="00FA3B17">
      <w:pPr>
        <w:spacing w:line="360" w:lineRule="auto"/>
        <w:ind w:firstLine="0"/>
        <w:rPr>
          <w:sz w:val="24"/>
          <w:szCs w:val="24"/>
        </w:rPr>
      </w:pPr>
    </w:p>
    <w:p w14:paraId="00000036" w14:textId="77777777" w:rsidR="00FA3B17" w:rsidRPr="00BF61CC" w:rsidRDefault="00FA3B17">
      <w:pPr>
        <w:spacing w:line="360" w:lineRule="auto"/>
        <w:ind w:firstLine="0"/>
        <w:rPr>
          <w:sz w:val="24"/>
          <w:szCs w:val="24"/>
        </w:rPr>
      </w:pPr>
    </w:p>
    <w:p w14:paraId="00000037" w14:textId="77777777" w:rsidR="00FA3B17" w:rsidRPr="00BF61CC" w:rsidRDefault="00FA3B17">
      <w:pPr>
        <w:spacing w:line="360" w:lineRule="auto"/>
        <w:ind w:firstLine="0"/>
        <w:rPr>
          <w:sz w:val="24"/>
          <w:szCs w:val="24"/>
        </w:rPr>
      </w:pPr>
    </w:p>
    <w:p w14:paraId="00000038" w14:textId="77777777" w:rsidR="00FA3B17" w:rsidRPr="00BF61CC" w:rsidRDefault="00FA3B17">
      <w:pPr>
        <w:spacing w:line="360" w:lineRule="auto"/>
        <w:ind w:firstLine="0"/>
        <w:rPr>
          <w:sz w:val="24"/>
          <w:szCs w:val="24"/>
        </w:rPr>
      </w:pPr>
    </w:p>
    <w:p w14:paraId="00000039" w14:textId="77777777" w:rsidR="00FA3B17" w:rsidRPr="00BF61CC" w:rsidRDefault="00FA3B17">
      <w:pPr>
        <w:spacing w:line="360" w:lineRule="auto"/>
        <w:ind w:firstLine="0"/>
        <w:rPr>
          <w:sz w:val="24"/>
          <w:szCs w:val="24"/>
        </w:rPr>
      </w:pPr>
    </w:p>
    <w:p w14:paraId="0000003A" w14:textId="77777777" w:rsidR="00FA3B17" w:rsidRPr="00BF61CC" w:rsidRDefault="00FA3B17">
      <w:pPr>
        <w:spacing w:line="360" w:lineRule="auto"/>
        <w:ind w:firstLine="0"/>
        <w:rPr>
          <w:sz w:val="24"/>
          <w:szCs w:val="24"/>
        </w:rPr>
      </w:pPr>
    </w:p>
    <w:p w14:paraId="0000003B" w14:textId="77777777" w:rsidR="00FA3B17" w:rsidRPr="00BF61CC" w:rsidRDefault="00FA3B17">
      <w:pPr>
        <w:spacing w:line="360" w:lineRule="auto"/>
        <w:ind w:firstLine="0"/>
        <w:rPr>
          <w:sz w:val="24"/>
          <w:szCs w:val="24"/>
        </w:rPr>
      </w:pPr>
    </w:p>
    <w:p w14:paraId="0000003C" w14:textId="77777777" w:rsidR="00FA3B17" w:rsidRPr="00BF61CC" w:rsidRDefault="00FA3B17">
      <w:pPr>
        <w:spacing w:line="360" w:lineRule="auto"/>
        <w:ind w:firstLine="0"/>
        <w:rPr>
          <w:sz w:val="24"/>
          <w:szCs w:val="24"/>
        </w:rPr>
      </w:pPr>
    </w:p>
    <w:p w14:paraId="0000003D" w14:textId="77777777" w:rsidR="00FA3B17" w:rsidRPr="00BF61CC" w:rsidRDefault="00FA3B17">
      <w:pPr>
        <w:spacing w:line="360" w:lineRule="auto"/>
        <w:ind w:firstLine="0"/>
        <w:rPr>
          <w:sz w:val="24"/>
          <w:szCs w:val="24"/>
        </w:rPr>
      </w:pPr>
    </w:p>
    <w:p w14:paraId="0000003E" w14:textId="77777777" w:rsidR="00FA3B17" w:rsidRPr="00BF61CC" w:rsidRDefault="00FA3B17">
      <w:pPr>
        <w:spacing w:line="360" w:lineRule="auto"/>
        <w:ind w:firstLine="0"/>
        <w:rPr>
          <w:sz w:val="24"/>
          <w:szCs w:val="24"/>
        </w:rPr>
      </w:pPr>
    </w:p>
    <w:p w14:paraId="0000003F" w14:textId="77777777" w:rsidR="00FA3B17" w:rsidRPr="00BF61CC" w:rsidRDefault="00FA3B17">
      <w:pPr>
        <w:spacing w:line="360" w:lineRule="auto"/>
        <w:ind w:firstLine="0"/>
        <w:rPr>
          <w:sz w:val="24"/>
          <w:szCs w:val="24"/>
        </w:rPr>
      </w:pPr>
    </w:p>
    <w:p w14:paraId="00000040" w14:textId="77777777" w:rsidR="00FA3B17" w:rsidRPr="00BF61CC" w:rsidRDefault="00FA3B17">
      <w:pPr>
        <w:spacing w:line="360" w:lineRule="auto"/>
        <w:ind w:firstLine="0"/>
        <w:rPr>
          <w:sz w:val="24"/>
          <w:szCs w:val="24"/>
        </w:rPr>
      </w:pPr>
    </w:p>
    <w:p w14:paraId="00000041" w14:textId="796829DF" w:rsidR="00FA3B17" w:rsidRPr="00BF61CC" w:rsidRDefault="00FA3B17">
      <w:pPr>
        <w:spacing w:line="360" w:lineRule="auto"/>
        <w:ind w:firstLine="0"/>
        <w:rPr>
          <w:sz w:val="24"/>
          <w:szCs w:val="24"/>
        </w:rPr>
      </w:pPr>
    </w:p>
    <w:p w14:paraId="2C1B52C3" w14:textId="2F42DB55" w:rsidR="00BF61CC" w:rsidRPr="00BF61CC" w:rsidRDefault="00BF61CC">
      <w:pPr>
        <w:spacing w:line="360" w:lineRule="auto"/>
        <w:ind w:firstLine="0"/>
        <w:rPr>
          <w:sz w:val="24"/>
          <w:szCs w:val="24"/>
        </w:rPr>
      </w:pPr>
    </w:p>
    <w:p w14:paraId="32E51336" w14:textId="191ED576" w:rsidR="00BF61CC" w:rsidRPr="00BF61CC" w:rsidRDefault="00BF61CC">
      <w:pPr>
        <w:spacing w:line="360" w:lineRule="auto"/>
        <w:ind w:firstLine="0"/>
        <w:rPr>
          <w:sz w:val="24"/>
          <w:szCs w:val="24"/>
        </w:rPr>
      </w:pPr>
    </w:p>
    <w:p w14:paraId="4EEFD759" w14:textId="6225561C" w:rsidR="00BF61CC" w:rsidRPr="00BF61CC" w:rsidRDefault="00BF61CC">
      <w:pPr>
        <w:spacing w:line="360" w:lineRule="auto"/>
        <w:ind w:firstLine="0"/>
        <w:rPr>
          <w:sz w:val="24"/>
          <w:szCs w:val="24"/>
        </w:rPr>
      </w:pPr>
    </w:p>
    <w:p w14:paraId="4D6555C6" w14:textId="43987275" w:rsidR="00BF61CC" w:rsidRPr="00BF61CC" w:rsidRDefault="00BF61CC">
      <w:pPr>
        <w:spacing w:line="360" w:lineRule="auto"/>
        <w:ind w:firstLine="0"/>
        <w:rPr>
          <w:sz w:val="24"/>
          <w:szCs w:val="24"/>
        </w:rPr>
      </w:pPr>
    </w:p>
    <w:p w14:paraId="4A6BD110" w14:textId="77777777" w:rsidR="00BF61CC" w:rsidRPr="00BF61CC" w:rsidRDefault="00BF61CC">
      <w:pPr>
        <w:spacing w:line="360" w:lineRule="auto"/>
        <w:ind w:firstLine="0"/>
        <w:rPr>
          <w:sz w:val="24"/>
          <w:szCs w:val="24"/>
        </w:rPr>
      </w:pPr>
    </w:p>
    <w:p w14:paraId="00000043" w14:textId="2540357F" w:rsidR="00FA3B17" w:rsidRPr="00BF61CC" w:rsidRDefault="00407305" w:rsidP="00BF61CC">
      <w:pPr>
        <w:widowControl w:val="0"/>
        <w:spacing w:line="360" w:lineRule="auto"/>
        <w:ind w:left="720" w:hanging="720"/>
        <w:jc w:val="left"/>
        <w:rPr>
          <w:b/>
          <w:sz w:val="24"/>
          <w:szCs w:val="24"/>
        </w:rPr>
      </w:pPr>
      <w:r w:rsidRPr="00BF61CC">
        <w:rPr>
          <w:b/>
          <w:sz w:val="24"/>
          <w:szCs w:val="24"/>
        </w:rPr>
        <w:t>References</w:t>
      </w:r>
    </w:p>
    <w:p w14:paraId="00000044" w14:textId="49FE3158" w:rsidR="00FA3B17" w:rsidRPr="00BF61CC" w:rsidRDefault="00407305" w:rsidP="00BF61CC">
      <w:pPr>
        <w:widowControl w:val="0"/>
        <w:spacing w:line="360" w:lineRule="auto"/>
        <w:ind w:left="720" w:hanging="720"/>
        <w:rPr>
          <w:color w:val="1155CC"/>
          <w:sz w:val="24"/>
          <w:szCs w:val="24"/>
          <w:u w:val="single"/>
        </w:rPr>
      </w:pPr>
      <w:r w:rsidRPr="00BF61CC">
        <w:rPr>
          <w:sz w:val="24"/>
          <w:szCs w:val="24"/>
        </w:rPr>
        <w:t xml:space="preserve">Blanco, E. Ponce-Cueto, E. and Paternina-Arboleda, C. D. Modelling </w:t>
      </w:r>
      <w:r w:rsidR="00BF61CC" w:rsidRPr="00BF61CC">
        <w:rPr>
          <w:sz w:val="24"/>
          <w:szCs w:val="24"/>
        </w:rPr>
        <w:t>the</w:t>
      </w:r>
      <w:r w:rsidRPr="00BF61CC">
        <w:rPr>
          <w:sz w:val="24"/>
          <w:szCs w:val="24"/>
        </w:rPr>
        <w:t xml:space="preserve"> Cost of International Trade in Global Supply Chains. (2015). Cambridge, MA. Available at: </w:t>
      </w:r>
      <w:hyperlink r:id="rId8">
        <w:r w:rsidRPr="00BF61CC">
          <w:rPr>
            <w:color w:val="1155CC"/>
            <w:sz w:val="24"/>
            <w:szCs w:val="24"/>
            <w:u w:val="single"/>
          </w:rPr>
          <w:t>https://esd.mit.edu/WPS/2015</w:t>
        </w:r>
        <w:r w:rsidRPr="00BF61CC">
          <w:rPr>
            <w:color w:val="1155CC"/>
            <w:sz w:val="24"/>
            <w:szCs w:val="24"/>
            <w:u w:val="single"/>
          </w:rPr>
          <w:t>/esd-wp-2015-05.pdf</w:t>
        </w:r>
      </w:hyperlink>
    </w:p>
    <w:p w14:paraId="00000045" w14:textId="77777777" w:rsidR="00FA3B17" w:rsidRPr="00BF61CC" w:rsidRDefault="00407305" w:rsidP="00BF61CC">
      <w:pPr>
        <w:widowControl w:val="0"/>
        <w:spacing w:line="360" w:lineRule="auto"/>
        <w:ind w:left="720" w:hanging="720"/>
        <w:rPr>
          <w:color w:val="1155CC"/>
          <w:sz w:val="24"/>
          <w:szCs w:val="24"/>
          <w:u w:val="single"/>
        </w:rPr>
      </w:pPr>
      <w:r w:rsidRPr="00BF61CC">
        <w:rPr>
          <w:sz w:val="24"/>
          <w:szCs w:val="24"/>
        </w:rPr>
        <w:t>Lowe, D. (2020, March 5). “Incoterms 2020 vs 2010 Whats Changed”</w:t>
      </w:r>
      <w:r w:rsidRPr="00BF61CC">
        <w:rPr>
          <w:i/>
          <w:sz w:val="24"/>
          <w:szCs w:val="24"/>
        </w:rPr>
        <w:t>.</w:t>
      </w:r>
      <w:r w:rsidRPr="00BF61CC">
        <w:rPr>
          <w:sz w:val="24"/>
          <w:szCs w:val="24"/>
        </w:rPr>
        <w:t xml:space="preserve"> Available at: </w:t>
      </w:r>
      <w:r w:rsidRPr="00BF61CC">
        <w:rPr>
          <w:i/>
          <w:color w:val="1155CC"/>
          <w:sz w:val="24"/>
          <w:szCs w:val="24"/>
          <w:u w:val="single"/>
        </w:rPr>
        <w:t>https://icc.academy/incoterms-2020-vs-2010-whats-changed/</w:t>
      </w:r>
      <w:r w:rsidRPr="00BF61CC">
        <w:rPr>
          <w:color w:val="1155CC"/>
          <w:sz w:val="24"/>
          <w:szCs w:val="24"/>
          <w:u w:val="single"/>
        </w:rPr>
        <w:t>. ICC Academy</w:t>
      </w:r>
      <w:r w:rsidRPr="00BF61CC">
        <w:rPr>
          <w:sz w:val="24"/>
          <w:szCs w:val="24"/>
        </w:rPr>
        <w:t>.</w:t>
      </w:r>
    </w:p>
    <w:p w14:paraId="00000046" w14:textId="77777777" w:rsidR="00FA3B17" w:rsidRPr="00BF61CC" w:rsidRDefault="00407305" w:rsidP="00BF61CC">
      <w:pPr>
        <w:widowControl w:val="0"/>
        <w:spacing w:line="360" w:lineRule="auto"/>
        <w:ind w:left="720" w:hanging="720"/>
        <w:rPr>
          <w:sz w:val="24"/>
          <w:szCs w:val="24"/>
        </w:rPr>
      </w:pPr>
      <w:r w:rsidRPr="00BF61CC">
        <w:rPr>
          <w:sz w:val="24"/>
          <w:szCs w:val="24"/>
        </w:rPr>
        <w:t>Hentschel, T. (2020). Incoterms 2020 - The Hidden Champions of Efficiency. The ICC A</w:t>
      </w:r>
      <w:r w:rsidRPr="00BF61CC">
        <w:rPr>
          <w:sz w:val="24"/>
          <w:szCs w:val="24"/>
        </w:rPr>
        <w:t>cademy. Available at:</w:t>
      </w:r>
      <w:r w:rsidRPr="00BF61CC">
        <w:rPr>
          <w:color w:val="1155CC"/>
          <w:sz w:val="24"/>
          <w:szCs w:val="24"/>
          <w:u w:val="single"/>
        </w:rPr>
        <w:t xml:space="preserve"> </w:t>
      </w:r>
      <w:hyperlink r:id="rId9">
        <w:r w:rsidRPr="00BF61CC">
          <w:rPr>
            <w:color w:val="1155CC"/>
            <w:sz w:val="24"/>
            <w:szCs w:val="24"/>
            <w:u w:val="single"/>
          </w:rPr>
          <w:t>https://www2.deloitte.com/de/de/pages/consumer-business/articles/incoterms-2020-white-paper.html</w:t>
        </w:r>
      </w:hyperlink>
    </w:p>
    <w:p w14:paraId="00000047" w14:textId="77777777" w:rsidR="00FA3B17" w:rsidRPr="00BF61CC" w:rsidRDefault="00407305" w:rsidP="00BF61CC">
      <w:pPr>
        <w:widowControl w:val="0"/>
        <w:spacing w:line="360" w:lineRule="auto"/>
        <w:ind w:left="720" w:hanging="720"/>
        <w:rPr>
          <w:sz w:val="24"/>
          <w:szCs w:val="24"/>
        </w:rPr>
      </w:pPr>
      <w:r w:rsidRPr="00BF61CC">
        <w:rPr>
          <w:sz w:val="24"/>
          <w:szCs w:val="24"/>
        </w:rPr>
        <w:t>Zaiken, D. (2019). Ta</w:t>
      </w:r>
      <w:r w:rsidRPr="00BF61CC">
        <w:rPr>
          <w:sz w:val="24"/>
          <w:szCs w:val="24"/>
        </w:rPr>
        <w:t xml:space="preserve">x Reform Impact Value Chain. Available at: </w:t>
      </w:r>
      <w:hyperlink r:id="rId10">
        <w:r w:rsidRPr="00BF61CC">
          <w:rPr>
            <w:color w:val="1155CC"/>
            <w:sz w:val="24"/>
            <w:szCs w:val="24"/>
            <w:u w:val="single"/>
          </w:rPr>
          <w:t>https://www.thetaxadviser.com/issues/2019/feb/tax-reform-impact-value-chain.html</w:t>
        </w:r>
      </w:hyperlink>
    </w:p>
    <w:p w14:paraId="00000048" w14:textId="77777777" w:rsidR="00FA3B17" w:rsidRPr="00BF61CC" w:rsidRDefault="00407305" w:rsidP="00BF61CC">
      <w:pPr>
        <w:widowControl w:val="0"/>
        <w:spacing w:line="360" w:lineRule="auto"/>
        <w:ind w:left="720" w:hanging="720"/>
        <w:rPr>
          <w:sz w:val="24"/>
          <w:szCs w:val="24"/>
        </w:rPr>
      </w:pPr>
      <w:r w:rsidRPr="00BF61CC">
        <w:rPr>
          <w:sz w:val="24"/>
          <w:szCs w:val="24"/>
        </w:rPr>
        <w:t>Paternina, C. (2018).  Estimatin</w:t>
      </w:r>
      <w:r w:rsidRPr="00BF61CC">
        <w:rPr>
          <w:sz w:val="24"/>
          <w:szCs w:val="24"/>
        </w:rPr>
        <w:t xml:space="preserve">g the Impact of Trade Facilitation in Regional Supply Chains: A Case Study in Colombia. Available at: </w:t>
      </w:r>
      <w:hyperlink r:id="rId11">
        <w:r w:rsidRPr="00BF61CC">
          <w:rPr>
            <w:color w:val="1155CC"/>
            <w:sz w:val="24"/>
            <w:szCs w:val="24"/>
            <w:u w:val="single"/>
          </w:rPr>
          <w:t>https://docs.google.com/document/d/1Vf7QI4UKYRntwWrQlhoe268Uu</w:t>
        </w:r>
        <w:r w:rsidRPr="00BF61CC">
          <w:rPr>
            <w:color w:val="1155CC"/>
            <w:sz w:val="24"/>
            <w:szCs w:val="24"/>
            <w:u w:val="single"/>
          </w:rPr>
          <w:t>ooWIkz7/edit</w:t>
        </w:r>
      </w:hyperlink>
      <w:r w:rsidRPr="00BF61CC">
        <w:rPr>
          <w:sz w:val="24"/>
          <w:szCs w:val="24"/>
        </w:rPr>
        <w:t xml:space="preserve"> </w:t>
      </w:r>
    </w:p>
    <w:p w14:paraId="00000049" w14:textId="77777777" w:rsidR="00FA3B17" w:rsidRPr="00BF61CC" w:rsidRDefault="00407305" w:rsidP="00BF61CC">
      <w:pPr>
        <w:widowControl w:val="0"/>
        <w:spacing w:line="360" w:lineRule="auto"/>
        <w:ind w:left="720" w:hanging="720"/>
        <w:rPr>
          <w:sz w:val="24"/>
          <w:szCs w:val="24"/>
        </w:rPr>
      </w:pPr>
      <w:r w:rsidRPr="00BF61CC">
        <w:rPr>
          <w:sz w:val="24"/>
          <w:szCs w:val="24"/>
        </w:rPr>
        <w:t xml:space="preserve">Gkikopoulos, S., Lee, E. and Stathopoulos, K. (2021). Does corporate tax avoidance affect firm productivity? 2021 British Academy of Management Conference, 2021. Available at: </w:t>
      </w:r>
      <w:hyperlink r:id="rId12">
        <w:r w:rsidRPr="00BF61CC">
          <w:rPr>
            <w:color w:val="1155CC"/>
            <w:sz w:val="24"/>
            <w:szCs w:val="24"/>
            <w:u w:val="single"/>
          </w:rPr>
          <w:t>http://d</w:t>
        </w:r>
        <w:r w:rsidRPr="00BF61CC">
          <w:rPr>
            <w:color w:val="1155CC"/>
            <w:sz w:val="24"/>
            <w:szCs w:val="24"/>
            <w:u w:val="single"/>
          </w:rPr>
          <w:t>x.doi.org/10.2139/ssrn.3856522</w:t>
        </w:r>
      </w:hyperlink>
      <w:r w:rsidRPr="00BF61CC">
        <w:rPr>
          <w:sz w:val="24"/>
          <w:szCs w:val="24"/>
        </w:rPr>
        <w:t xml:space="preserve">. </w:t>
      </w:r>
    </w:p>
    <w:p w14:paraId="0000004A" w14:textId="14351FA8" w:rsidR="00FA3B17" w:rsidRPr="00BF61CC" w:rsidRDefault="00407305" w:rsidP="00BF61CC">
      <w:pPr>
        <w:widowControl w:val="0"/>
        <w:spacing w:line="360" w:lineRule="auto"/>
        <w:ind w:left="720" w:hanging="720"/>
        <w:rPr>
          <w:sz w:val="24"/>
          <w:szCs w:val="24"/>
        </w:rPr>
      </w:pPr>
      <w:r w:rsidRPr="00BF61CC">
        <w:rPr>
          <w:sz w:val="24"/>
          <w:szCs w:val="24"/>
        </w:rPr>
        <w:t xml:space="preserve">Goetschalckx, M. and Vidal, C. (2000). Modelling the effect of uncertainties on global </w:t>
      </w:r>
      <w:r w:rsidR="00BF61CC" w:rsidRPr="00BF61CC">
        <w:rPr>
          <w:sz w:val="24"/>
          <w:szCs w:val="24"/>
        </w:rPr>
        <w:t>logistics</w:t>
      </w:r>
      <w:r w:rsidRPr="00BF61CC">
        <w:rPr>
          <w:sz w:val="24"/>
          <w:szCs w:val="24"/>
        </w:rPr>
        <w:t xml:space="preserve"> systems. Journal of Business Logistics. 21. </w:t>
      </w:r>
    </w:p>
    <w:p w14:paraId="0000004B" w14:textId="77777777" w:rsidR="00FA3B17" w:rsidRPr="00BF61CC" w:rsidRDefault="00407305" w:rsidP="00BF61CC">
      <w:pPr>
        <w:widowControl w:val="0"/>
        <w:spacing w:line="360" w:lineRule="auto"/>
        <w:ind w:left="720" w:hanging="720"/>
        <w:rPr>
          <w:sz w:val="24"/>
          <w:szCs w:val="24"/>
        </w:rPr>
      </w:pPr>
      <w:r w:rsidRPr="00BF61CC">
        <w:rPr>
          <w:sz w:val="24"/>
          <w:szCs w:val="24"/>
        </w:rPr>
        <w:t xml:space="preserve">Dogan, K., Goetschalckx, M., and Vidal, C. (2002). Modelling and design of global </w:t>
      </w:r>
      <w:r w:rsidRPr="00BF61CC">
        <w:rPr>
          <w:sz w:val="24"/>
          <w:szCs w:val="24"/>
        </w:rPr>
        <w:t xml:space="preserve">logistics systems: A review of integrated strategic and tactical models and design algorithms. European Journal of Operational Research. 143. 1-18. 10.1016/S0377-2217(02)00142-X. </w:t>
      </w:r>
    </w:p>
    <w:p w14:paraId="0000004C" w14:textId="77777777" w:rsidR="00FA3B17" w:rsidRPr="00BF61CC" w:rsidRDefault="00407305" w:rsidP="00BF61CC">
      <w:pPr>
        <w:widowControl w:val="0"/>
        <w:spacing w:line="360" w:lineRule="auto"/>
        <w:ind w:left="720" w:hanging="720"/>
        <w:rPr>
          <w:sz w:val="24"/>
          <w:szCs w:val="24"/>
        </w:rPr>
      </w:pPr>
      <w:r w:rsidRPr="00BF61CC">
        <w:rPr>
          <w:sz w:val="24"/>
          <w:szCs w:val="24"/>
        </w:rPr>
        <w:t>Goetschalckx, M. and Vidal, C.J. (1997). Strategic production-distribution m</w:t>
      </w:r>
      <w:r w:rsidRPr="00BF61CC">
        <w:rPr>
          <w:sz w:val="24"/>
          <w:szCs w:val="24"/>
        </w:rPr>
        <w:t xml:space="preserve">odels: A critical review with emphasis on global supply chain models. European Journal of Operational </w:t>
      </w:r>
      <w:r w:rsidRPr="00BF61CC">
        <w:rPr>
          <w:sz w:val="24"/>
          <w:szCs w:val="24"/>
        </w:rPr>
        <w:lastRenderedPageBreak/>
        <w:t>Research, Volume 98, Issue 1, 1997, Pages 1-18, ISSN 0377-2217, https://doi.org/10.1016/S0377-2217(97)80080-X.</w:t>
      </w:r>
    </w:p>
    <w:p w14:paraId="0000004D" w14:textId="507B4436" w:rsidR="00FA3B17" w:rsidRPr="00BF61CC" w:rsidRDefault="00407305" w:rsidP="00BF61CC">
      <w:pPr>
        <w:widowControl w:val="0"/>
        <w:spacing w:line="360" w:lineRule="auto"/>
        <w:ind w:left="720" w:hanging="720"/>
        <w:rPr>
          <w:sz w:val="24"/>
          <w:szCs w:val="24"/>
        </w:rPr>
      </w:pPr>
      <w:r w:rsidRPr="00BF61CC">
        <w:rPr>
          <w:sz w:val="24"/>
          <w:szCs w:val="24"/>
        </w:rPr>
        <w:t>Goetschalckx, M. and Vidal, C. (2001). A Gl</w:t>
      </w:r>
      <w:r w:rsidRPr="00BF61CC">
        <w:rPr>
          <w:sz w:val="24"/>
          <w:szCs w:val="24"/>
        </w:rPr>
        <w:t xml:space="preserve">obal Supply Chain Model </w:t>
      </w:r>
      <w:r w:rsidR="00BF61CC" w:rsidRPr="00BF61CC">
        <w:rPr>
          <w:sz w:val="24"/>
          <w:szCs w:val="24"/>
        </w:rPr>
        <w:t>with</w:t>
      </w:r>
      <w:r w:rsidRPr="00BF61CC">
        <w:rPr>
          <w:sz w:val="24"/>
          <w:szCs w:val="24"/>
        </w:rPr>
        <w:t xml:space="preserve"> Transfer Pricing and Transportation Cost Allocation. European Journal of Operational Research. 129. 134-158. 10.1016/S0377-2217(99)00431-2.</w:t>
      </w:r>
    </w:p>
    <w:p w14:paraId="0000004E" w14:textId="77777777" w:rsidR="00FA3B17" w:rsidRPr="00BF61CC" w:rsidRDefault="00407305" w:rsidP="00BF61CC">
      <w:pPr>
        <w:widowControl w:val="0"/>
        <w:spacing w:line="360" w:lineRule="auto"/>
        <w:ind w:left="720" w:hanging="720"/>
        <w:rPr>
          <w:sz w:val="24"/>
          <w:szCs w:val="24"/>
        </w:rPr>
      </w:pPr>
      <w:r w:rsidRPr="00BF61CC">
        <w:rPr>
          <w:sz w:val="24"/>
          <w:szCs w:val="24"/>
        </w:rPr>
        <w:t>He, Y. and Yin, S. (2020). Cost Analysis in Global Supply Chains. Operations Research L</w:t>
      </w:r>
      <w:r w:rsidRPr="00BF61CC">
        <w:rPr>
          <w:sz w:val="24"/>
          <w:szCs w:val="24"/>
        </w:rPr>
        <w:t xml:space="preserve">etters, Volume 48, Issue 5, 2020, Pages 658-665, ISSN 0167-6377, </w:t>
      </w:r>
      <w:hyperlink r:id="rId13">
        <w:r w:rsidRPr="00BF61CC">
          <w:rPr>
            <w:color w:val="1155CC"/>
            <w:sz w:val="24"/>
            <w:szCs w:val="24"/>
            <w:u w:val="single"/>
          </w:rPr>
          <w:t>https://doi.org/10.1016/j.orl.2020.08.006</w:t>
        </w:r>
      </w:hyperlink>
      <w:r w:rsidRPr="00BF61CC">
        <w:rPr>
          <w:sz w:val="24"/>
          <w:szCs w:val="24"/>
        </w:rPr>
        <w:t>.</w:t>
      </w:r>
    </w:p>
    <w:p w14:paraId="00000052" w14:textId="2B510515" w:rsidR="00FA3B17" w:rsidRPr="00BF61CC" w:rsidRDefault="00407305" w:rsidP="00BF61CC">
      <w:pPr>
        <w:widowControl w:val="0"/>
        <w:spacing w:line="360" w:lineRule="auto"/>
        <w:ind w:left="720" w:hanging="720"/>
        <w:rPr>
          <w:sz w:val="24"/>
          <w:szCs w:val="24"/>
        </w:rPr>
      </w:pPr>
      <w:r w:rsidRPr="00BF61CC">
        <w:rPr>
          <w:sz w:val="24"/>
          <w:szCs w:val="24"/>
        </w:rPr>
        <w:t xml:space="preserve">Dole. (n.d.). Vessels. Retrieved May 3, 2022, from </w:t>
      </w:r>
      <w:hyperlink r:id="rId14" w:anchor="vessels">
        <w:r w:rsidRPr="00BF61CC">
          <w:rPr>
            <w:color w:val="1155CC"/>
            <w:sz w:val="24"/>
            <w:szCs w:val="24"/>
            <w:u w:val="single"/>
          </w:rPr>
          <w:t>http://www.doleoceancargo.com/#vessels</w:t>
        </w:r>
      </w:hyperlink>
    </w:p>
    <w:sectPr w:rsidR="00FA3B17" w:rsidRPr="00BF61CC">
      <w:footerReference w:type="default" r:id="rId15"/>
      <w:headerReference w:type="first" r:id="rId16"/>
      <w:footerReference w:type="first" r:id="rId17"/>
      <w:pgSz w:w="11905" w:h="16837"/>
      <w:pgMar w:top="1474" w:right="1417" w:bottom="1474" w:left="1417" w:header="1134"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A8AC2" w14:textId="77777777" w:rsidR="00407305" w:rsidRDefault="00407305">
      <w:r>
        <w:separator/>
      </w:r>
    </w:p>
  </w:endnote>
  <w:endnote w:type="continuationSeparator" w:id="0">
    <w:p w14:paraId="2675C9B1" w14:textId="77777777" w:rsidR="00407305" w:rsidRDefault="00407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panose1 w:val="00000000000000000000"/>
    <w:charset w:val="00"/>
    <w:family w:val="roman"/>
    <w:notTrueType/>
    <w:pitch w:val="default"/>
  </w:font>
  <w:font w:name="Adv Gulliver">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4" w14:textId="1A88D91E" w:rsidR="00FA3B17" w:rsidRDefault="00407305">
    <w:pPr>
      <w:widowControl w:val="0"/>
      <w:pBdr>
        <w:top w:val="nil"/>
        <w:left w:val="nil"/>
        <w:bottom w:val="nil"/>
        <w:right w:val="nil"/>
        <w:between w:val="nil"/>
      </w:pBdr>
      <w:ind w:firstLine="0"/>
      <w:jc w:val="center"/>
      <w:rPr>
        <w:color w:val="000000"/>
      </w:rPr>
    </w:pPr>
    <w:r>
      <w:rPr>
        <w:color w:val="000000"/>
      </w:rPr>
      <w:fldChar w:fldCharType="begin"/>
    </w:r>
    <w:r>
      <w:rPr>
        <w:color w:val="000000"/>
      </w:rPr>
      <w:instrText>PAGE</w:instrText>
    </w:r>
    <w:r>
      <w:rPr>
        <w:color w:val="000000"/>
      </w:rPr>
      <w:fldChar w:fldCharType="separate"/>
    </w:r>
    <w:r w:rsidR="00BF61CC">
      <w:rPr>
        <w:noProof/>
        <w:color w:val="000000"/>
      </w:rPr>
      <w:t>1</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5" w14:textId="77777777" w:rsidR="00FA3B17" w:rsidRDefault="00407305">
    <w:pPr>
      <w:widowControl w:val="0"/>
      <w:pBdr>
        <w:top w:val="nil"/>
        <w:left w:val="nil"/>
        <w:bottom w:val="nil"/>
        <w:right w:val="nil"/>
        <w:between w:val="nil"/>
      </w:pBdr>
      <w:tabs>
        <w:tab w:val="right" w:pos="9071"/>
      </w:tabs>
      <w:ind w:firstLine="0"/>
      <w:jc w:val="left"/>
      <w:rPr>
        <w:i/>
        <w:color w:val="000000"/>
        <w:sz w:val="16"/>
        <w:szCs w:val="16"/>
      </w:rPr>
    </w:pPr>
    <w:r>
      <w:rPr>
        <w:i/>
        <w:color w:val="000000"/>
        <w:sz w:val="16"/>
        <w:szCs w:val="16"/>
      </w:rPr>
      <w:tab/>
    </w:r>
    <w:r>
      <w:rPr>
        <w:i/>
        <w:color w:val="000000"/>
        <w:sz w:val="16"/>
        <w:szCs w:val="16"/>
      </w:rPr>
      <w:fldChar w:fldCharType="begin"/>
    </w:r>
    <w:r>
      <w:rPr>
        <w:i/>
        <w:color w:val="000000"/>
        <w:sz w:val="16"/>
        <w:szCs w:val="16"/>
      </w:rPr>
      <w:instrText>PAGE</w:instrText>
    </w:r>
    <w:r>
      <w:rPr>
        <w:i/>
        <w:color w:val="000000"/>
        <w:sz w:val="16"/>
        <w:szCs w:val="16"/>
      </w:rPr>
      <w:fldChar w:fldCharType="separate"/>
    </w:r>
    <w:r>
      <w:rPr>
        <w:i/>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329DF" w14:textId="77777777" w:rsidR="00407305" w:rsidRDefault="00407305">
      <w:r>
        <w:separator/>
      </w:r>
    </w:p>
  </w:footnote>
  <w:footnote w:type="continuationSeparator" w:id="0">
    <w:p w14:paraId="00276D41" w14:textId="77777777" w:rsidR="00407305" w:rsidRDefault="004073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3" w14:textId="77777777" w:rsidR="00FA3B17" w:rsidRDefault="00FA3B17">
    <w:pPr>
      <w:widowControl w:val="0"/>
      <w:pBdr>
        <w:top w:val="nil"/>
        <w:left w:val="nil"/>
        <w:bottom w:val="nil"/>
        <w:right w:val="nil"/>
        <w:between w:val="nil"/>
      </w:pBdr>
      <w:tabs>
        <w:tab w:val="right" w:pos="9071"/>
      </w:tabs>
      <w:ind w:firstLine="0"/>
      <w:jc w:val="center"/>
      <w:rPr>
        <w:i/>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11EF5"/>
    <w:multiLevelType w:val="multilevel"/>
    <w:tmpl w:val="86BEC34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30F01781"/>
    <w:multiLevelType w:val="multilevel"/>
    <w:tmpl w:val="E4063FB4"/>
    <w:lvl w:ilvl="0">
      <w:start w:val="1"/>
      <w:numFmt w:val="decimal"/>
      <w:pStyle w:val="References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858958940">
    <w:abstractNumId w:val="0"/>
  </w:num>
  <w:num w:numId="2" w16cid:durableId="453791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3B17"/>
    <w:rsid w:val="00407305"/>
    <w:rsid w:val="005A65D9"/>
    <w:rsid w:val="00BF61CC"/>
    <w:rsid w:val="00FA3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4EA63"/>
  <w15:docId w15:val="{879D37C9-ADAB-471B-B2EC-9077F4769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pPr>
        <w:ind w:firstLine="3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2A4"/>
    <w:pPr>
      <w:suppressLineNumbers/>
    </w:pPr>
    <w:rPr>
      <w:lang w:eastAsia="ar-SA"/>
    </w:rPr>
  </w:style>
  <w:style w:type="paragraph" w:styleId="Heading1">
    <w:name w:val="heading 1"/>
    <w:basedOn w:val="Normal"/>
    <w:next w:val="Normal"/>
    <w:link w:val="Heading1Char"/>
    <w:uiPriority w:val="9"/>
    <w:qFormat/>
    <w:rsid w:val="005B6B8A"/>
    <w:pPr>
      <w:keepNext/>
      <w:widowControl w:val="0"/>
      <w:suppressAutoHyphens/>
      <w:adjustRightInd w:val="0"/>
      <w:snapToGrid w:val="0"/>
      <w:spacing w:before="283"/>
      <w:ind w:firstLine="0"/>
      <w:jc w:val="left"/>
      <w:outlineLvl w:val="0"/>
    </w:pPr>
    <w:rPr>
      <w:b/>
    </w:rPr>
  </w:style>
  <w:style w:type="paragraph" w:styleId="Heading2">
    <w:name w:val="heading 2"/>
    <w:basedOn w:val="Normal"/>
    <w:next w:val="Normal"/>
    <w:link w:val="Heading2Char"/>
    <w:uiPriority w:val="9"/>
    <w:semiHidden/>
    <w:unhideWhenUsed/>
    <w:qFormat/>
    <w:rsid w:val="005B6B8A"/>
    <w:pPr>
      <w:keepNext/>
      <w:widowControl w:val="0"/>
      <w:suppressAutoHyphens/>
      <w:spacing w:before="283"/>
      <w:ind w:firstLine="0"/>
      <w:jc w:val="left"/>
      <w:outlineLvl w:val="1"/>
    </w:pPr>
    <w:rPr>
      <w:b/>
      <w:i/>
    </w:rPr>
  </w:style>
  <w:style w:type="paragraph" w:styleId="Heading3">
    <w:name w:val="heading 3"/>
    <w:basedOn w:val="Normal"/>
    <w:next w:val="Normal"/>
    <w:link w:val="Heading3Char"/>
    <w:uiPriority w:val="9"/>
    <w:semiHidden/>
    <w:unhideWhenUsed/>
    <w:qFormat/>
    <w:rsid w:val="005B6B8A"/>
    <w:pPr>
      <w:keepNext/>
      <w:widowControl w:val="0"/>
      <w:suppressAutoHyphens/>
      <w:adjustRightInd w:val="0"/>
      <w:snapToGrid w:val="0"/>
      <w:spacing w:before="170"/>
      <w:jc w:val="left"/>
      <w:outlineLvl w:val="2"/>
    </w:pPr>
    <w:rPr>
      <w:b/>
      <w:i/>
    </w:rPr>
  </w:style>
  <w:style w:type="paragraph" w:styleId="Heading4">
    <w:name w:val="heading 4"/>
    <w:basedOn w:val="Normal"/>
    <w:next w:val="Normal"/>
    <w:link w:val="Heading4Char"/>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pPr>
      <w:keepNext/>
      <w:keepLines/>
      <w:spacing w:before="200" w:after="40"/>
      <w:outlineLvl w:val="5"/>
    </w:pPr>
    <w:rPr>
      <w:b/>
    </w:rPr>
  </w:style>
  <w:style w:type="paragraph" w:styleId="Heading7">
    <w:name w:val="heading 7"/>
    <w:basedOn w:val="Normal"/>
    <w:next w:val="Normal"/>
    <w:link w:val="Heading7Char"/>
    <w:uiPriority w:val="9"/>
    <w:semiHidden/>
    <w:unhideWhenUsed/>
    <w:qFormat/>
    <w:rsid w:val="00EA35FD"/>
    <w:pPr>
      <w:keepNext/>
      <w:keepLines/>
      <w:spacing w:before="40"/>
      <w:outlineLvl w:val="6"/>
    </w:pPr>
    <w:rPr>
      <w:rFonts w:ascii="Calibri" w:hAnsi="Calibri"/>
      <w:i/>
      <w:iCs/>
      <w:color w:val="404040"/>
      <w:sz w:val="22"/>
      <w:szCs w:val="24"/>
      <w:lang w:val="en-US" w:eastAsia="en-US"/>
    </w:rPr>
  </w:style>
  <w:style w:type="paragraph" w:styleId="Heading8">
    <w:name w:val="heading 8"/>
    <w:basedOn w:val="Normal"/>
    <w:next w:val="Normal"/>
    <w:link w:val="Heading8Char"/>
    <w:uiPriority w:val="9"/>
    <w:semiHidden/>
    <w:unhideWhenUsed/>
    <w:qFormat/>
    <w:rsid w:val="00EA35FD"/>
    <w:pPr>
      <w:keepNext/>
      <w:keepLines/>
      <w:spacing w:before="40"/>
      <w:outlineLvl w:val="7"/>
    </w:pPr>
    <w:rPr>
      <w:rFonts w:ascii="Calibri" w:hAnsi="Calibri"/>
      <w:color w:val="404040"/>
      <w:lang w:val="en-US" w:eastAsia="en-US"/>
    </w:rPr>
  </w:style>
  <w:style w:type="paragraph" w:styleId="Heading9">
    <w:name w:val="heading 9"/>
    <w:basedOn w:val="Normal"/>
    <w:next w:val="Normal"/>
    <w:link w:val="Heading9Char"/>
    <w:uiPriority w:val="9"/>
    <w:semiHidden/>
    <w:unhideWhenUsed/>
    <w:qFormat/>
    <w:rsid w:val="00EA35FD"/>
    <w:pPr>
      <w:keepNext/>
      <w:keepLines/>
      <w:spacing w:before="40"/>
      <w:outlineLvl w:val="8"/>
    </w:pPr>
    <w:rPr>
      <w:rFonts w:ascii="Calibri" w:hAnsi="Calibri"/>
      <w:i/>
      <w:iCs/>
      <w:color w:val="40404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character" w:customStyle="1" w:styleId="DefaultParagraphFont1">
    <w:name w:val="Default Paragraph Font1"/>
  </w:style>
  <w:style w:type="character" w:customStyle="1" w:styleId="FootnoteCharacters">
    <w:name w:val="Footnote Characters"/>
  </w:style>
  <w:style w:type="character" w:customStyle="1" w:styleId="MTEquationSection">
    <w:name w:val="MTEquationSection"/>
    <w:rPr>
      <w:rFonts w:ascii="Arial" w:hAnsi="Arial"/>
      <w:vanish/>
      <w:color w:val="FF0000"/>
    </w:rPr>
  </w:style>
  <w:style w:type="character" w:customStyle="1" w:styleId="CharChar">
    <w:name w:val="Char Char"/>
    <w:rPr>
      <w:rFonts w:ascii="Tahoma" w:hAnsi="Tahoma" w:cs="Tahoma"/>
      <w:sz w:val="16"/>
      <w:szCs w:val="16"/>
    </w:rPr>
  </w:style>
  <w:style w:type="character" w:styleId="Hyperlink">
    <w:name w:val="Hyperlink"/>
    <w:uiPriority w:val="99"/>
    <w:rPr>
      <w:color w:val="0000FF"/>
      <w:u w:val="single"/>
    </w:rPr>
  </w:style>
  <w:style w:type="character" w:styleId="PageNumber">
    <w:name w:val="page number"/>
    <w:basedOn w:val="DefaultParagraphFont1"/>
  </w:style>
  <w:style w:type="character" w:styleId="FootnoteReference">
    <w:name w:val="footnote reference"/>
    <w:uiPriority w:val="99"/>
    <w:semiHidden/>
    <w:rPr>
      <w:vertAlign w:val="superscript"/>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character" w:styleId="EndnoteReference">
    <w:name w:val="endnote reference"/>
    <w:semiHidden/>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eastAsia="Arial" w:cs="Arial"/>
      <w:sz w:val="28"/>
      <w:szCs w:val="28"/>
    </w:rPr>
  </w:style>
  <w:style w:type="paragraph" w:styleId="BodyText">
    <w:name w:val="Body Text"/>
    <w:basedOn w:val="Normal"/>
    <w:link w:val="BodyTextChar"/>
    <w:pPr>
      <w:tabs>
        <w:tab w:val="left" w:pos="-1080"/>
        <w:tab w:val="left" w:pos="-720"/>
        <w:tab w:val="left" w:pos="0"/>
        <w:tab w:val="left" w:pos="180"/>
        <w:tab w:val="left" w:pos="1440"/>
      </w:tabs>
    </w:pPr>
  </w:style>
  <w:style w:type="paragraph" w:styleId="List">
    <w:name w:val="List"/>
    <w:basedOn w:val="BodyText"/>
  </w:style>
  <w:style w:type="paragraph" w:customStyle="1" w:styleId="Caption1">
    <w:name w:val="Caption1"/>
    <w:basedOn w:val="Normal"/>
    <w:next w:val="Normal"/>
    <w:pPr>
      <w:spacing w:before="120" w:after="120"/>
    </w:pPr>
    <w:rPr>
      <w:b/>
    </w:rPr>
  </w:style>
  <w:style w:type="paragraph" w:customStyle="1" w:styleId="Index">
    <w:name w:val="Index"/>
    <w:basedOn w:val="Normal"/>
  </w:style>
  <w:style w:type="paragraph" w:customStyle="1" w:styleId="Abstractheading">
    <w:name w:val="Abstract_heading"/>
    <w:basedOn w:val="Heading1"/>
    <w:pPr>
      <w:jc w:val="center"/>
      <w:outlineLvl w:val="9"/>
    </w:pPr>
  </w:style>
  <w:style w:type="paragraph" w:styleId="Header">
    <w:name w:val="header"/>
    <w:basedOn w:val="Normal"/>
    <w:link w:val="HeaderChar"/>
    <w:uiPriority w:val="99"/>
    <w:pPr>
      <w:widowControl w:val="0"/>
      <w:tabs>
        <w:tab w:val="right" w:pos="9071"/>
      </w:tabs>
      <w:suppressAutoHyphens/>
      <w:ind w:firstLine="0"/>
      <w:jc w:val="center"/>
    </w:pPr>
    <w:rPr>
      <w:i/>
      <w:sz w:val="16"/>
    </w:rPr>
  </w:style>
  <w:style w:type="paragraph" w:styleId="Footer">
    <w:name w:val="footer"/>
    <w:basedOn w:val="Normal"/>
    <w:link w:val="FooterChar"/>
    <w:uiPriority w:val="99"/>
    <w:pPr>
      <w:widowControl w:val="0"/>
      <w:suppressAutoHyphens/>
      <w:ind w:firstLine="0"/>
      <w:jc w:val="center"/>
    </w:pPr>
  </w:style>
  <w:style w:type="paragraph" w:styleId="BodyTextIndent">
    <w:name w:val="Body Text Indent"/>
    <w:basedOn w:val="Normal"/>
    <w:link w:val="BodyTextIndentChar"/>
    <w:pPr>
      <w:tabs>
        <w:tab w:val="left" w:pos="-1080"/>
        <w:tab w:val="left" w:pos="-720"/>
        <w:tab w:val="left" w:pos="0"/>
        <w:tab w:val="left" w:pos="180"/>
        <w:tab w:val="left" w:pos="1440"/>
      </w:tabs>
      <w:ind w:firstLine="360"/>
    </w:pPr>
  </w:style>
  <w:style w:type="paragraph" w:customStyle="1" w:styleId="BalloonText1">
    <w:name w:val="Balloon Text1"/>
    <w:basedOn w:val="Normal"/>
    <w:rPr>
      <w:rFonts w:ascii="Tahoma" w:hAnsi="Tahoma" w:cs="Tahoma"/>
      <w:sz w:val="16"/>
      <w:szCs w:val="16"/>
    </w:rPr>
  </w:style>
  <w:style w:type="paragraph" w:customStyle="1" w:styleId="Revision1">
    <w:name w:val="Revision1"/>
    <w:pPr>
      <w:suppressAutoHyphens/>
    </w:pPr>
    <w:rPr>
      <w:rFonts w:eastAsia="Arial"/>
      <w:lang w:eastAsia="ar-SA"/>
    </w:rPr>
  </w:style>
  <w:style w:type="paragraph" w:styleId="FootnoteText">
    <w:name w:val="footnote text"/>
    <w:basedOn w:val="Normal"/>
    <w:link w:val="FootnoteTextChar"/>
    <w:uiPriority w:val="99"/>
    <w:semiHidden/>
    <w:pPr>
      <w:ind w:left="283" w:firstLine="0"/>
    </w:pPr>
  </w:style>
  <w:style w:type="paragraph" w:customStyle="1" w:styleId="TableContents">
    <w:name w:val="Table Contents"/>
    <w:basedOn w:val="Normal"/>
    <w:link w:val="TableContentsCarattere"/>
  </w:style>
  <w:style w:type="paragraph" w:customStyle="1" w:styleId="TableHeading">
    <w:name w:val="Table Heading"/>
    <w:basedOn w:val="TableContents"/>
    <w:link w:val="TableHeadingCarattere"/>
    <w:pPr>
      <w:jc w:val="center"/>
    </w:pPr>
    <w:rPr>
      <w:b/>
      <w:bCs/>
    </w:rPr>
  </w:style>
  <w:style w:type="paragraph" w:customStyle="1" w:styleId="Framecontents">
    <w:name w:val="Frame contents"/>
    <w:basedOn w:val="BodyText"/>
  </w:style>
  <w:style w:type="paragraph" w:customStyle="1" w:styleId="Abstractbody">
    <w:name w:val="Abstract_body"/>
    <w:basedOn w:val="Normal"/>
    <w:pPr>
      <w:widowControl w:val="0"/>
      <w:pBdr>
        <w:bottom w:val="single" w:sz="1" w:space="14" w:color="000000"/>
      </w:pBdr>
      <w:ind w:firstLine="0"/>
    </w:pPr>
  </w:style>
  <w:style w:type="paragraph" w:customStyle="1" w:styleId="Papertitle">
    <w:name w:val="Paper title"/>
    <w:basedOn w:val="Heading1"/>
    <w:pPr>
      <w:spacing w:after="283"/>
      <w:jc w:val="center"/>
      <w:outlineLvl w:val="9"/>
    </w:pPr>
    <w:rPr>
      <w:sz w:val="24"/>
    </w:rPr>
  </w:style>
  <w:style w:type="paragraph" w:customStyle="1" w:styleId="equation">
    <w:name w:val="equation"/>
    <w:basedOn w:val="Normal"/>
    <w:next w:val="Normal"/>
    <w:rsid w:val="002950F3"/>
    <w:pPr>
      <w:widowControl w:val="0"/>
      <w:tabs>
        <w:tab w:val="right" w:pos="8787"/>
      </w:tabs>
      <w:suppressAutoHyphens/>
      <w:spacing w:before="334" w:after="147"/>
      <w:jc w:val="left"/>
    </w:pPr>
  </w:style>
  <w:style w:type="paragraph" w:customStyle="1" w:styleId="Authorsandaffiliation">
    <w:name w:val="Authors and affiliation"/>
    <w:basedOn w:val="Normal"/>
    <w:pPr>
      <w:widowControl w:val="0"/>
      <w:suppressAutoHyphens/>
      <w:ind w:firstLine="0"/>
      <w:jc w:val="center"/>
    </w:pPr>
    <w:rPr>
      <w:sz w:val="24"/>
    </w:rPr>
  </w:style>
  <w:style w:type="paragraph" w:customStyle="1" w:styleId="Tablecaption">
    <w:name w:val="Table_caption"/>
    <w:basedOn w:val="Normal"/>
    <w:pPr>
      <w:keepNext/>
      <w:widowControl w:val="0"/>
      <w:suppressAutoHyphens/>
      <w:spacing w:before="170" w:after="170"/>
      <w:ind w:firstLine="0"/>
      <w:jc w:val="center"/>
    </w:pPr>
    <w:rPr>
      <w:b/>
    </w:rPr>
  </w:style>
  <w:style w:type="paragraph" w:customStyle="1" w:styleId="Figurecaption">
    <w:name w:val="Figure_caption"/>
    <w:basedOn w:val="Normal"/>
    <w:link w:val="FigurecaptionCarattere"/>
    <w:rsid w:val="003C66F8"/>
    <w:pPr>
      <w:widowControl w:val="0"/>
      <w:suppressAutoHyphens/>
      <w:spacing w:before="170"/>
      <w:ind w:firstLine="0"/>
      <w:jc w:val="center"/>
    </w:pPr>
    <w:rPr>
      <w:b/>
    </w:rPr>
  </w:style>
  <w:style w:type="paragraph" w:customStyle="1" w:styleId="Nomenclaturelist">
    <w:name w:val="Nomenclature_list"/>
    <w:basedOn w:val="Normal"/>
    <w:pPr>
      <w:widowControl w:val="0"/>
      <w:tabs>
        <w:tab w:val="left" w:pos="850"/>
      </w:tabs>
      <w:suppressAutoHyphens/>
      <w:jc w:val="left"/>
    </w:pPr>
  </w:style>
  <w:style w:type="paragraph" w:customStyle="1" w:styleId="Nomenclaturescripts">
    <w:name w:val="Nomenclature_scripts"/>
    <w:basedOn w:val="Normal"/>
    <w:next w:val="Nomenclaturelist"/>
    <w:pPr>
      <w:widowControl w:val="0"/>
      <w:tabs>
        <w:tab w:val="left" w:pos="360"/>
      </w:tabs>
      <w:suppressAutoHyphens/>
      <w:spacing w:before="283"/>
      <w:jc w:val="left"/>
    </w:pPr>
  </w:style>
  <w:style w:type="paragraph" w:customStyle="1" w:styleId="Tablebody">
    <w:name w:val="Table_body"/>
    <w:basedOn w:val="Normal"/>
    <w:link w:val="TablebodyCarattere"/>
    <w:pPr>
      <w:widowControl w:val="0"/>
      <w:suppressAutoHyphens/>
      <w:snapToGrid w:val="0"/>
      <w:ind w:firstLine="0"/>
      <w:jc w:val="center"/>
    </w:pPr>
  </w:style>
  <w:style w:type="paragraph" w:customStyle="1" w:styleId="Referenceslist">
    <w:name w:val="References_list"/>
    <w:basedOn w:val="Normal"/>
    <w:pPr>
      <w:keepLines/>
      <w:widowControl w:val="0"/>
      <w:numPr>
        <w:numId w:val="2"/>
      </w:numPr>
      <w:suppressAutoHyphens/>
      <w:jc w:val="left"/>
    </w:pPr>
  </w:style>
  <w:style w:type="paragraph" w:customStyle="1" w:styleId="Figureparagraph">
    <w:name w:val="Figure_paragraph"/>
    <w:basedOn w:val="Normal"/>
    <w:next w:val="Normal"/>
    <w:link w:val="FigureparagraphCarattere"/>
    <w:pPr>
      <w:widowControl w:val="0"/>
      <w:suppressAutoHyphens/>
      <w:spacing w:before="170" w:after="170"/>
      <w:ind w:firstLine="0"/>
      <w:jc w:val="center"/>
    </w:pPr>
  </w:style>
  <w:style w:type="paragraph" w:customStyle="1" w:styleId="ContentsHeading">
    <w:name w:val="Contents Heading"/>
    <w:basedOn w:val="Heading"/>
    <w:pPr>
      <w:ind w:firstLine="0"/>
    </w:pPr>
    <w:rPr>
      <w:b/>
      <w:bCs/>
      <w:sz w:val="32"/>
      <w:szCs w:val="32"/>
    </w:rPr>
  </w:style>
  <w:style w:type="paragraph" w:styleId="TOC1">
    <w:name w:val="toc 1"/>
    <w:basedOn w:val="Index"/>
    <w:uiPriority w:val="39"/>
    <w:semiHidden/>
    <w:pPr>
      <w:tabs>
        <w:tab w:val="right" w:leader="dot" w:pos="9071"/>
      </w:tabs>
      <w:ind w:firstLine="0"/>
    </w:pPr>
  </w:style>
  <w:style w:type="paragraph" w:styleId="TOC2">
    <w:name w:val="toc 2"/>
    <w:basedOn w:val="Index"/>
    <w:uiPriority w:val="39"/>
    <w:semiHidden/>
    <w:pPr>
      <w:tabs>
        <w:tab w:val="right" w:leader="dot" w:pos="9071"/>
      </w:tabs>
      <w:ind w:left="283" w:firstLine="0"/>
    </w:pPr>
  </w:style>
  <w:style w:type="paragraph" w:styleId="TOC3">
    <w:name w:val="toc 3"/>
    <w:basedOn w:val="Index"/>
    <w:uiPriority w:val="39"/>
    <w:semiHidden/>
    <w:pPr>
      <w:tabs>
        <w:tab w:val="right" w:leader="dot" w:pos="9071"/>
      </w:tabs>
      <w:ind w:left="566" w:firstLine="0"/>
    </w:pPr>
  </w:style>
  <w:style w:type="paragraph" w:styleId="TOC4">
    <w:name w:val="toc 4"/>
    <w:basedOn w:val="Index"/>
    <w:uiPriority w:val="39"/>
    <w:semiHidden/>
    <w:pPr>
      <w:tabs>
        <w:tab w:val="right" w:leader="dot" w:pos="9071"/>
      </w:tabs>
      <w:ind w:left="849" w:firstLine="0"/>
    </w:pPr>
  </w:style>
  <w:style w:type="paragraph" w:styleId="TOC5">
    <w:name w:val="toc 5"/>
    <w:basedOn w:val="Index"/>
    <w:uiPriority w:val="39"/>
    <w:semiHidden/>
    <w:pPr>
      <w:tabs>
        <w:tab w:val="right" w:leader="dot" w:pos="9071"/>
      </w:tabs>
      <w:ind w:left="1132" w:firstLine="0"/>
    </w:pPr>
  </w:style>
  <w:style w:type="paragraph" w:styleId="TOC6">
    <w:name w:val="toc 6"/>
    <w:basedOn w:val="Index"/>
    <w:uiPriority w:val="39"/>
    <w:semiHidden/>
    <w:pPr>
      <w:tabs>
        <w:tab w:val="right" w:leader="dot" w:pos="9071"/>
      </w:tabs>
      <w:ind w:left="1415" w:firstLine="0"/>
    </w:pPr>
  </w:style>
  <w:style w:type="paragraph" w:styleId="TOC7">
    <w:name w:val="toc 7"/>
    <w:basedOn w:val="Index"/>
    <w:uiPriority w:val="39"/>
    <w:semiHidden/>
    <w:pPr>
      <w:tabs>
        <w:tab w:val="right" w:leader="dot" w:pos="9071"/>
      </w:tabs>
      <w:ind w:left="1698" w:firstLine="0"/>
    </w:pPr>
  </w:style>
  <w:style w:type="paragraph" w:styleId="TOC8">
    <w:name w:val="toc 8"/>
    <w:basedOn w:val="Index"/>
    <w:uiPriority w:val="39"/>
    <w:semiHidden/>
    <w:pPr>
      <w:tabs>
        <w:tab w:val="right" w:leader="dot" w:pos="9071"/>
      </w:tabs>
      <w:ind w:left="1981" w:firstLine="0"/>
    </w:pPr>
  </w:style>
  <w:style w:type="paragraph" w:styleId="TOC9">
    <w:name w:val="toc 9"/>
    <w:basedOn w:val="Index"/>
    <w:uiPriority w:val="39"/>
    <w:semiHidden/>
    <w:pPr>
      <w:tabs>
        <w:tab w:val="right" w:leader="dot" w:pos="9071"/>
      </w:tabs>
      <w:ind w:left="2264" w:firstLine="0"/>
    </w:pPr>
  </w:style>
  <w:style w:type="paragraph" w:customStyle="1" w:styleId="Contents10">
    <w:name w:val="Contents 10"/>
    <w:basedOn w:val="Index"/>
    <w:pPr>
      <w:tabs>
        <w:tab w:val="right" w:leader="dot" w:pos="9071"/>
      </w:tabs>
      <w:ind w:left="2547" w:firstLine="0"/>
    </w:pPr>
  </w:style>
  <w:style w:type="paragraph" w:customStyle="1" w:styleId="Illustration">
    <w:name w:val="Illustration"/>
    <w:basedOn w:val="Caption1"/>
  </w:style>
  <w:style w:type="paragraph" w:customStyle="1" w:styleId="Figure">
    <w:name w:val="Figure"/>
    <w:basedOn w:val="Caption1"/>
    <w:next w:val="Figurecaption"/>
  </w:style>
  <w:style w:type="paragraph" w:customStyle="1" w:styleId="Table">
    <w:name w:val="Table"/>
    <w:basedOn w:val="Tablecaption"/>
  </w:style>
  <w:style w:type="paragraph" w:styleId="Caption">
    <w:name w:val="caption"/>
    <w:basedOn w:val="Normal"/>
    <w:next w:val="Normal"/>
    <w:uiPriority w:val="35"/>
    <w:qFormat/>
    <w:rsid w:val="005B6B8A"/>
    <w:pPr>
      <w:spacing w:before="120" w:after="120"/>
    </w:pPr>
    <w:rPr>
      <w:b/>
      <w:bCs/>
    </w:rPr>
  </w:style>
  <w:style w:type="paragraph" w:customStyle="1" w:styleId="StylTablebodyDoleva">
    <w:name w:val="Styl Table_body + Doleva"/>
    <w:basedOn w:val="Tablebody"/>
    <w:rsid w:val="005926EA"/>
    <w:pPr>
      <w:jc w:val="left"/>
    </w:pPr>
  </w:style>
  <w:style w:type="table" w:styleId="TableGrid">
    <w:name w:val="Table Grid"/>
    <w:basedOn w:val="TableNormal"/>
    <w:rsid w:val="005926EA"/>
    <w:pPr>
      <w:suppressLineNumber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rsid w:val="00EE503B"/>
    <w:pPr>
      <w:shd w:val="clear" w:color="auto" w:fill="000080"/>
    </w:pPr>
    <w:rPr>
      <w:rFonts w:ascii="Tahoma" w:hAnsi="Tahoma" w:cs="Tahoma"/>
    </w:rPr>
  </w:style>
  <w:style w:type="paragraph" w:styleId="Subtitle">
    <w:name w:val="Subtitle"/>
    <w:basedOn w:val="Normal"/>
    <w:next w:val="Normal"/>
    <w:link w:val="SubtitleChar"/>
    <w:uiPriority w:val="11"/>
    <w:qFormat/>
    <w:pPr>
      <w:widowControl w:val="0"/>
      <w:ind w:firstLine="0"/>
    </w:pPr>
    <w:rPr>
      <w:sz w:val="24"/>
      <w:szCs w:val="24"/>
    </w:rPr>
  </w:style>
  <w:style w:type="paragraph" w:styleId="EndnoteText">
    <w:name w:val="endnote text"/>
    <w:basedOn w:val="Normal"/>
    <w:link w:val="EndnoteTextChar"/>
    <w:semiHidden/>
    <w:rsid w:val="003161BE"/>
    <w:rPr>
      <w:lang w:val="en-US"/>
    </w:rPr>
  </w:style>
  <w:style w:type="paragraph" w:styleId="BalloonText">
    <w:name w:val="Balloon Text"/>
    <w:basedOn w:val="Normal"/>
    <w:link w:val="BalloonTextChar"/>
    <w:uiPriority w:val="99"/>
    <w:semiHidden/>
    <w:rsid w:val="004A1A8A"/>
    <w:rPr>
      <w:rFonts w:ascii="Tahoma" w:hAnsi="Tahoma" w:cs="Tahoma"/>
      <w:sz w:val="16"/>
      <w:szCs w:val="16"/>
    </w:rPr>
  </w:style>
  <w:style w:type="character" w:customStyle="1" w:styleId="FigurecaptionCarattere">
    <w:name w:val="Figure_caption Carattere"/>
    <w:link w:val="Figurecaption"/>
    <w:rsid w:val="001A7AD5"/>
    <w:rPr>
      <w:b/>
      <w:lang w:val="en-GB" w:eastAsia="ar-SA" w:bidi="ar-SA"/>
    </w:rPr>
  </w:style>
  <w:style w:type="character" w:customStyle="1" w:styleId="FigureparagraphCarattere">
    <w:name w:val="Figure_paragraph Carattere"/>
    <w:link w:val="Figureparagraph"/>
    <w:rsid w:val="001A7AD5"/>
    <w:rPr>
      <w:lang w:val="en-GB" w:eastAsia="ar-SA" w:bidi="ar-SA"/>
    </w:rPr>
  </w:style>
  <w:style w:type="paragraph" w:customStyle="1" w:styleId="MTDisplayEquation">
    <w:name w:val="MTDisplayEquation"/>
    <w:basedOn w:val="Normal"/>
    <w:next w:val="Normal"/>
    <w:rsid w:val="00254DCC"/>
    <w:pPr>
      <w:tabs>
        <w:tab w:val="center" w:pos="4540"/>
        <w:tab w:val="right" w:pos="9080"/>
      </w:tabs>
      <w:jc w:val="center"/>
    </w:pPr>
  </w:style>
  <w:style w:type="character" w:customStyle="1" w:styleId="TableContentsCarattere">
    <w:name w:val="Table Contents Carattere"/>
    <w:link w:val="TableContents"/>
    <w:rsid w:val="002B121C"/>
    <w:rPr>
      <w:lang w:val="en-GB" w:eastAsia="ar-SA" w:bidi="ar-SA"/>
    </w:rPr>
  </w:style>
  <w:style w:type="character" w:customStyle="1" w:styleId="TableHeadingCarattere">
    <w:name w:val="Table Heading Carattere"/>
    <w:link w:val="TableHeading"/>
    <w:rsid w:val="002B121C"/>
    <w:rPr>
      <w:b/>
      <w:bCs/>
      <w:lang w:val="en-GB" w:eastAsia="ar-SA" w:bidi="ar-SA"/>
    </w:rPr>
  </w:style>
  <w:style w:type="character" w:customStyle="1" w:styleId="TablebodyCarattere">
    <w:name w:val="Table_body Carattere"/>
    <w:link w:val="Tablebody"/>
    <w:rsid w:val="002B121C"/>
    <w:rPr>
      <w:lang w:val="en-GB" w:eastAsia="ar-SA" w:bidi="ar-SA"/>
    </w:rPr>
  </w:style>
  <w:style w:type="character" w:styleId="Emphasis">
    <w:name w:val="Emphasis"/>
    <w:qFormat/>
    <w:rsid w:val="00CE2634"/>
    <w:rPr>
      <w:b/>
      <w:bCs/>
      <w:i w:val="0"/>
      <w:iCs w:val="0"/>
    </w:rPr>
  </w:style>
  <w:style w:type="paragraph" w:customStyle="1" w:styleId="Default">
    <w:name w:val="Default"/>
    <w:rsid w:val="009326DD"/>
    <w:pPr>
      <w:autoSpaceDE w:val="0"/>
      <w:autoSpaceDN w:val="0"/>
      <w:adjustRightInd w:val="0"/>
    </w:pPr>
    <w:rPr>
      <w:rFonts w:ascii="Adv Gulliver" w:hAnsi="Adv Gulliver" w:cs="Adv Gulliver"/>
      <w:color w:val="000000"/>
      <w:sz w:val="24"/>
      <w:szCs w:val="24"/>
      <w:lang w:val="it-IT" w:eastAsia="it-IT"/>
    </w:rPr>
  </w:style>
  <w:style w:type="character" w:styleId="CommentReference">
    <w:name w:val="annotation reference"/>
    <w:uiPriority w:val="99"/>
    <w:semiHidden/>
    <w:unhideWhenUsed/>
    <w:rsid w:val="000F2E2A"/>
    <w:rPr>
      <w:sz w:val="16"/>
      <w:szCs w:val="16"/>
    </w:rPr>
  </w:style>
  <w:style w:type="paragraph" w:styleId="CommentText">
    <w:name w:val="annotation text"/>
    <w:basedOn w:val="Normal"/>
    <w:link w:val="CommentTextChar"/>
    <w:uiPriority w:val="99"/>
    <w:semiHidden/>
    <w:unhideWhenUsed/>
    <w:rsid w:val="000F2E2A"/>
  </w:style>
  <w:style w:type="character" w:customStyle="1" w:styleId="CommentTextChar">
    <w:name w:val="Comment Text Char"/>
    <w:link w:val="CommentText"/>
    <w:uiPriority w:val="99"/>
    <w:semiHidden/>
    <w:rsid w:val="000F2E2A"/>
    <w:rPr>
      <w:lang w:val="en-GB" w:eastAsia="ar-SA"/>
    </w:rPr>
  </w:style>
  <w:style w:type="paragraph" w:styleId="CommentSubject">
    <w:name w:val="annotation subject"/>
    <w:basedOn w:val="CommentText"/>
    <w:next w:val="CommentText"/>
    <w:link w:val="CommentSubjectChar"/>
    <w:uiPriority w:val="99"/>
    <w:semiHidden/>
    <w:unhideWhenUsed/>
    <w:rsid w:val="000F2E2A"/>
    <w:rPr>
      <w:b/>
      <w:bCs/>
    </w:rPr>
  </w:style>
  <w:style w:type="character" w:customStyle="1" w:styleId="CommentSubjectChar">
    <w:name w:val="Comment Subject Char"/>
    <w:link w:val="CommentSubject"/>
    <w:uiPriority w:val="99"/>
    <w:semiHidden/>
    <w:rsid w:val="000F2E2A"/>
    <w:rPr>
      <w:b/>
      <w:bCs/>
      <w:lang w:val="en-GB" w:eastAsia="ar-SA"/>
    </w:rPr>
  </w:style>
  <w:style w:type="paragraph" w:styleId="ListParagraph">
    <w:name w:val="List Paragraph"/>
    <w:basedOn w:val="Normal"/>
    <w:uiPriority w:val="34"/>
    <w:qFormat/>
    <w:rsid w:val="00AF0FB4"/>
    <w:pPr>
      <w:ind w:left="720"/>
      <w:contextualSpacing/>
    </w:pPr>
  </w:style>
  <w:style w:type="character" w:customStyle="1" w:styleId="Heading7Char">
    <w:name w:val="Heading 7 Char"/>
    <w:basedOn w:val="DefaultParagraphFont"/>
    <w:link w:val="Heading7"/>
    <w:uiPriority w:val="9"/>
    <w:semiHidden/>
    <w:rsid w:val="00EA35FD"/>
    <w:rPr>
      <w:rFonts w:ascii="Calibri" w:hAnsi="Calibri"/>
      <w:i/>
      <w:iCs/>
      <w:color w:val="404040"/>
      <w:sz w:val="22"/>
      <w:szCs w:val="24"/>
      <w:lang w:val="en-US"/>
    </w:rPr>
  </w:style>
  <w:style w:type="character" w:customStyle="1" w:styleId="Heading8Char">
    <w:name w:val="Heading 8 Char"/>
    <w:basedOn w:val="DefaultParagraphFont"/>
    <w:link w:val="Heading8"/>
    <w:uiPriority w:val="9"/>
    <w:semiHidden/>
    <w:rsid w:val="00EA35FD"/>
    <w:rPr>
      <w:rFonts w:ascii="Calibri" w:hAnsi="Calibri"/>
      <w:color w:val="404040"/>
      <w:lang w:val="en-US"/>
    </w:rPr>
  </w:style>
  <w:style w:type="character" w:customStyle="1" w:styleId="Heading9Char">
    <w:name w:val="Heading 9 Char"/>
    <w:basedOn w:val="DefaultParagraphFont"/>
    <w:link w:val="Heading9"/>
    <w:uiPriority w:val="9"/>
    <w:semiHidden/>
    <w:rsid w:val="00EA35FD"/>
    <w:rPr>
      <w:rFonts w:ascii="Calibri" w:hAnsi="Calibri"/>
      <w:i/>
      <w:iCs/>
      <w:color w:val="404040"/>
      <w:lang w:val="en-US"/>
    </w:rPr>
  </w:style>
  <w:style w:type="character" w:customStyle="1" w:styleId="Heading1Char">
    <w:name w:val="Heading 1 Char"/>
    <w:basedOn w:val="DefaultParagraphFont"/>
    <w:link w:val="Heading1"/>
    <w:uiPriority w:val="9"/>
    <w:rsid w:val="00EA35FD"/>
    <w:rPr>
      <w:b/>
      <w:lang w:eastAsia="ar-SA"/>
    </w:rPr>
  </w:style>
  <w:style w:type="character" w:customStyle="1" w:styleId="Heading2Char">
    <w:name w:val="Heading 2 Char"/>
    <w:basedOn w:val="DefaultParagraphFont"/>
    <w:link w:val="Heading2"/>
    <w:uiPriority w:val="9"/>
    <w:semiHidden/>
    <w:rsid w:val="00EA35FD"/>
    <w:rPr>
      <w:b/>
      <w:i/>
      <w:lang w:eastAsia="ar-SA"/>
    </w:rPr>
  </w:style>
  <w:style w:type="character" w:customStyle="1" w:styleId="Heading3Char">
    <w:name w:val="Heading 3 Char"/>
    <w:basedOn w:val="DefaultParagraphFont"/>
    <w:link w:val="Heading3"/>
    <w:uiPriority w:val="9"/>
    <w:semiHidden/>
    <w:rsid w:val="00EA35FD"/>
    <w:rPr>
      <w:b/>
      <w:i/>
      <w:lang w:eastAsia="ar-SA"/>
    </w:rPr>
  </w:style>
  <w:style w:type="character" w:customStyle="1" w:styleId="Heading4Char">
    <w:name w:val="Heading 4 Char"/>
    <w:basedOn w:val="DefaultParagraphFont"/>
    <w:link w:val="Heading4"/>
    <w:uiPriority w:val="9"/>
    <w:semiHidden/>
    <w:rsid w:val="00EA35FD"/>
    <w:rPr>
      <w:b/>
      <w:sz w:val="24"/>
      <w:szCs w:val="24"/>
      <w:lang w:eastAsia="ar-SA"/>
    </w:rPr>
  </w:style>
  <w:style w:type="character" w:customStyle="1" w:styleId="Heading5Char">
    <w:name w:val="Heading 5 Char"/>
    <w:basedOn w:val="DefaultParagraphFont"/>
    <w:link w:val="Heading5"/>
    <w:uiPriority w:val="9"/>
    <w:semiHidden/>
    <w:rsid w:val="00EA35FD"/>
    <w:rPr>
      <w:b/>
      <w:sz w:val="22"/>
      <w:szCs w:val="22"/>
      <w:lang w:eastAsia="ar-SA"/>
    </w:rPr>
  </w:style>
  <w:style w:type="character" w:customStyle="1" w:styleId="Heading6Char">
    <w:name w:val="Heading 6 Char"/>
    <w:basedOn w:val="DefaultParagraphFont"/>
    <w:link w:val="Heading6"/>
    <w:uiPriority w:val="9"/>
    <w:semiHidden/>
    <w:rsid w:val="00EA35FD"/>
    <w:rPr>
      <w:b/>
      <w:lang w:eastAsia="ar-SA"/>
    </w:rPr>
  </w:style>
  <w:style w:type="character" w:customStyle="1" w:styleId="TitleChar">
    <w:name w:val="Title Char"/>
    <w:basedOn w:val="DefaultParagraphFont"/>
    <w:link w:val="Title"/>
    <w:uiPriority w:val="10"/>
    <w:rsid w:val="00EA35FD"/>
    <w:rPr>
      <w:b/>
      <w:sz w:val="72"/>
      <w:szCs w:val="72"/>
      <w:lang w:eastAsia="ar-SA"/>
    </w:rPr>
  </w:style>
  <w:style w:type="character" w:customStyle="1" w:styleId="BodyTextChar">
    <w:name w:val="Body Text Char"/>
    <w:basedOn w:val="DefaultParagraphFont"/>
    <w:link w:val="BodyText"/>
    <w:rsid w:val="00EA35FD"/>
    <w:rPr>
      <w:lang w:eastAsia="ar-SA"/>
    </w:rPr>
  </w:style>
  <w:style w:type="character" w:customStyle="1" w:styleId="HeaderChar">
    <w:name w:val="Header Char"/>
    <w:basedOn w:val="DefaultParagraphFont"/>
    <w:link w:val="Header"/>
    <w:uiPriority w:val="99"/>
    <w:rsid w:val="00EA35FD"/>
    <w:rPr>
      <w:i/>
      <w:sz w:val="16"/>
      <w:lang w:eastAsia="ar-SA"/>
    </w:rPr>
  </w:style>
  <w:style w:type="character" w:customStyle="1" w:styleId="FooterChar">
    <w:name w:val="Footer Char"/>
    <w:basedOn w:val="DefaultParagraphFont"/>
    <w:link w:val="Footer"/>
    <w:uiPriority w:val="99"/>
    <w:rsid w:val="00EA35FD"/>
    <w:rPr>
      <w:lang w:eastAsia="ar-SA"/>
    </w:rPr>
  </w:style>
  <w:style w:type="character" w:customStyle="1" w:styleId="BodyTextIndentChar">
    <w:name w:val="Body Text Indent Char"/>
    <w:basedOn w:val="DefaultParagraphFont"/>
    <w:link w:val="BodyTextIndent"/>
    <w:rsid w:val="00EA35FD"/>
    <w:rPr>
      <w:lang w:eastAsia="ar-SA"/>
    </w:rPr>
  </w:style>
  <w:style w:type="character" w:customStyle="1" w:styleId="FootnoteTextChar">
    <w:name w:val="Footnote Text Char"/>
    <w:basedOn w:val="DefaultParagraphFont"/>
    <w:link w:val="FootnoteText"/>
    <w:uiPriority w:val="99"/>
    <w:semiHidden/>
    <w:rsid w:val="00EA35FD"/>
    <w:rPr>
      <w:lang w:eastAsia="ar-SA"/>
    </w:rPr>
  </w:style>
  <w:style w:type="character" w:customStyle="1" w:styleId="DocumentMapChar">
    <w:name w:val="Document Map Char"/>
    <w:basedOn w:val="DefaultParagraphFont"/>
    <w:link w:val="DocumentMap"/>
    <w:uiPriority w:val="99"/>
    <w:semiHidden/>
    <w:rsid w:val="00EA35FD"/>
    <w:rPr>
      <w:rFonts w:ascii="Tahoma" w:hAnsi="Tahoma" w:cs="Tahoma"/>
      <w:shd w:val="clear" w:color="auto" w:fill="000080"/>
      <w:lang w:eastAsia="ar-SA"/>
    </w:rPr>
  </w:style>
  <w:style w:type="character" w:customStyle="1" w:styleId="SubtitleChar">
    <w:name w:val="Subtitle Char"/>
    <w:basedOn w:val="DefaultParagraphFont"/>
    <w:link w:val="Subtitle"/>
    <w:uiPriority w:val="11"/>
    <w:rsid w:val="00EA35FD"/>
    <w:rPr>
      <w:sz w:val="24"/>
      <w:szCs w:val="24"/>
      <w:lang w:eastAsia="ar-SA"/>
    </w:rPr>
  </w:style>
  <w:style w:type="character" w:customStyle="1" w:styleId="EndnoteTextChar">
    <w:name w:val="Endnote Text Char"/>
    <w:basedOn w:val="DefaultParagraphFont"/>
    <w:link w:val="EndnoteText"/>
    <w:semiHidden/>
    <w:rsid w:val="00EA35FD"/>
    <w:rPr>
      <w:lang w:val="en-US" w:eastAsia="ar-SA"/>
    </w:rPr>
  </w:style>
  <w:style w:type="character" w:customStyle="1" w:styleId="BalloonTextChar">
    <w:name w:val="Balloon Text Char"/>
    <w:basedOn w:val="DefaultParagraphFont"/>
    <w:link w:val="BalloonText"/>
    <w:uiPriority w:val="99"/>
    <w:semiHidden/>
    <w:rsid w:val="00EA35FD"/>
    <w:rPr>
      <w:rFonts w:ascii="Tahoma" w:hAnsi="Tahoma" w:cs="Tahoma"/>
      <w:sz w:val="16"/>
      <w:szCs w:val="16"/>
      <w:lang w:eastAsia="ar-SA"/>
    </w:rPr>
  </w:style>
  <w:style w:type="paragraph" w:customStyle="1" w:styleId="Heading71">
    <w:name w:val="Heading 71"/>
    <w:basedOn w:val="Normal"/>
    <w:next w:val="Normal"/>
    <w:uiPriority w:val="9"/>
    <w:semiHidden/>
    <w:unhideWhenUsed/>
    <w:qFormat/>
    <w:rsid w:val="00EA35FD"/>
    <w:pPr>
      <w:keepNext/>
      <w:keepLines/>
      <w:suppressLineNumbers w:val="0"/>
      <w:spacing w:before="200"/>
      <w:ind w:left="5040" w:hanging="360"/>
      <w:jc w:val="left"/>
      <w:outlineLvl w:val="6"/>
    </w:pPr>
    <w:rPr>
      <w:rFonts w:ascii="Calibri" w:hAnsi="Calibri"/>
      <w:i/>
      <w:iCs/>
      <w:color w:val="404040"/>
      <w:sz w:val="22"/>
      <w:szCs w:val="24"/>
      <w:lang w:val="en-US" w:eastAsia="en-US"/>
    </w:rPr>
  </w:style>
  <w:style w:type="paragraph" w:customStyle="1" w:styleId="Heading81">
    <w:name w:val="Heading 81"/>
    <w:basedOn w:val="Normal"/>
    <w:next w:val="Normal"/>
    <w:uiPriority w:val="9"/>
    <w:semiHidden/>
    <w:unhideWhenUsed/>
    <w:qFormat/>
    <w:rsid w:val="00EA35FD"/>
    <w:pPr>
      <w:keepNext/>
      <w:keepLines/>
      <w:suppressLineNumbers w:val="0"/>
      <w:spacing w:before="200"/>
      <w:ind w:left="5760" w:hanging="360"/>
      <w:jc w:val="left"/>
      <w:outlineLvl w:val="7"/>
    </w:pPr>
    <w:rPr>
      <w:rFonts w:ascii="Calibri" w:hAnsi="Calibri"/>
      <w:color w:val="404040"/>
      <w:lang w:val="en-US" w:eastAsia="en-US"/>
    </w:rPr>
  </w:style>
  <w:style w:type="paragraph" w:customStyle="1" w:styleId="Heading91">
    <w:name w:val="Heading 91"/>
    <w:basedOn w:val="Normal"/>
    <w:next w:val="Normal"/>
    <w:uiPriority w:val="9"/>
    <w:semiHidden/>
    <w:unhideWhenUsed/>
    <w:qFormat/>
    <w:rsid w:val="00EA35FD"/>
    <w:pPr>
      <w:keepNext/>
      <w:keepLines/>
      <w:suppressLineNumbers w:val="0"/>
      <w:spacing w:before="200"/>
      <w:ind w:left="6480" w:hanging="180"/>
      <w:jc w:val="left"/>
      <w:outlineLvl w:val="8"/>
    </w:pPr>
    <w:rPr>
      <w:rFonts w:ascii="Calibri" w:hAnsi="Calibri"/>
      <w:i/>
      <w:iCs/>
      <w:color w:val="404040"/>
      <w:lang w:val="en-US" w:eastAsia="en-US"/>
    </w:rPr>
  </w:style>
  <w:style w:type="numbering" w:customStyle="1" w:styleId="NoList1">
    <w:name w:val="No List1"/>
    <w:next w:val="NoList"/>
    <w:uiPriority w:val="99"/>
    <w:semiHidden/>
    <w:unhideWhenUsed/>
    <w:rsid w:val="00EA35FD"/>
  </w:style>
  <w:style w:type="character" w:customStyle="1" w:styleId="FollowedHyperlink1">
    <w:name w:val="FollowedHyperlink1"/>
    <w:basedOn w:val="DefaultParagraphFont"/>
    <w:uiPriority w:val="99"/>
    <w:semiHidden/>
    <w:unhideWhenUsed/>
    <w:rsid w:val="00EA35FD"/>
    <w:rPr>
      <w:color w:val="800080"/>
      <w:u w:val="single"/>
    </w:rPr>
  </w:style>
  <w:style w:type="paragraph" w:customStyle="1" w:styleId="msonormal0">
    <w:name w:val="msonormal"/>
    <w:basedOn w:val="Normal"/>
    <w:rsid w:val="00EA35FD"/>
    <w:pPr>
      <w:suppressLineNumbers w:val="0"/>
      <w:spacing w:before="100" w:beforeAutospacing="1" w:after="100" w:afterAutospacing="1"/>
      <w:ind w:firstLine="0"/>
      <w:jc w:val="left"/>
    </w:pPr>
    <w:rPr>
      <w:sz w:val="24"/>
      <w:szCs w:val="24"/>
      <w:lang w:val="en-US" w:eastAsia="en-US"/>
    </w:rPr>
  </w:style>
  <w:style w:type="paragraph" w:styleId="Bibliography">
    <w:name w:val="Bibliography"/>
    <w:basedOn w:val="Normal"/>
    <w:next w:val="Normal"/>
    <w:uiPriority w:val="37"/>
    <w:semiHidden/>
    <w:unhideWhenUsed/>
    <w:rsid w:val="00EA35FD"/>
    <w:pPr>
      <w:suppressLineNumbers w:val="0"/>
      <w:spacing w:after="160" w:line="256" w:lineRule="auto"/>
      <w:ind w:firstLine="0"/>
      <w:jc w:val="left"/>
    </w:pPr>
    <w:rPr>
      <w:rFonts w:ascii="Cambria" w:eastAsia="Cambria" w:hAnsi="Cambria"/>
      <w:sz w:val="22"/>
      <w:szCs w:val="22"/>
      <w:lang w:val="es-CO" w:eastAsia="en-US"/>
    </w:rPr>
  </w:style>
  <w:style w:type="character" w:styleId="PlaceholderText">
    <w:name w:val="Placeholder Text"/>
    <w:basedOn w:val="DefaultParagraphFont"/>
    <w:uiPriority w:val="99"/>
    <w:semiHidden/>
    <w:rsid w:val="00EA35FD"/>
    <w:rPr>
      <w:color w:val="808080"/>
    </w:rPr>
  </w:style>
  <w:style w:type="character" w:customStyle="1" w:styleId="apple-converted-space">
    <w:name w:val="apple-converted-space"/>
    <w:basedOn w:val="DefaultParagraphFont"/>
    <w:rsid w:val="00EA35FD"/>
  </w:style>
  <w:style w:type="character" w:customStyle="1" w:styleId="DocumentMapChar1">
    <w:name w:val="Document Map Char1"/>
    <w:basedOn w:val="DefaultParagraphFont"/>
    <w:uiPriority w:val="99"/>
    <w:semiHidden/>
    <w:rsid w:val="00EA35FD"/>
    <w:rPr>
      <w:rFonts w:ascii="Segoe UI" w:hAnsi="Segoe UI" w:cs="Segoe UI" w:hint="default"/>
      <w:sz w:val="16"/>
      <w:szCs w:val="16"/>
    </w:rPr>
  </w:style>
  <w:style w:type="table" w:customStyle="1" w:styleId="TableGrid1">
    <w:name w:val="Table Grid1"/>
    <w:basedOn w:val="TableNormal"/>
    <w:next w:val="TableGrid"/>
    <w:uiPriority w:val="59"/>
    <w:rsid w:val="00EA35FD"/>
    <w:pPr>
      <w:ind w:firstLine="0"/>
      <w:jc w:val="left"/>
    </w:pPr>
    <w:rPr>
      <w:sz w:val="24"/>
      <w:szCs w:val="24"/>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1">
    <w:name w:val="Light List1"/>
    <w:basedOn w:val="TableNormal"/>
    <w:next w:val="LightList"/>
    <w:uiPriority w:val="61"/>
    <w:semiHidden/>
    <w:unhideWhenUsed/>
    <w:rsid w:val="00EA35FD"/>
    <w:pPr>
      <w:ind w:firstLine="0"/>
      <w:jc w:val="left"/>
    </w:pPr>
    <w:rPr>
      <w:sz w:val="22"/>
      <w:szCs w:val="22"/>
      <w:lang w:val="en-US"/>
    </w:rPr>
    <w:tblPr>
      <w:tblStyleRowBandSize w:val="1"/>
      <w:tblStyleColBandSize w:val="1"/>
      <w:tblInd w:w="0" w:type="nil"/>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Heading7Char1">
    <w:name w:val="Heading 7 Char1"/>
    <w:basedOn w:val="DefaultParagraphFont"/>
    <w:uiPriority w:val="9"/>
    <w:semiHidden/>
    <w:rsid w:val="00EA35FD"/>
    <w:rPr>
      <w:rFonts w:asciiTheme="majorHAnsi" w:eastAsiaTheme="majorEastAsia" w:hAnsiTheme="majorHAnsi" w:cstheme="majorBidi"/>
      <w:i/>
      <w:iCs/>
      <w:color w:val="1F3763" w:themeColor="accent1" w:themeShade="7F"/>
      <w:lang w:eastAsia="ar-SA"/>
    </w:rPr>
  </w:style>
  <w:style w:type="character" w:customStyle="1" w:styleId="Heading8Char1">
    <w:name w:val="Heading 8 Char1"/>
    <w:basedOn w:val="DefaultParagraphFont"/>
    <w:uiPriority w:val="9"/>
    <w:semiHidden/>
    <w:rsid w:val="00EA35FD"/>
    <w:rPr>
      <w:rFonts w:asciiTheme="majorHAnsi" w:eastAsiaTheme="majorEastAsia" w:hAnsiTheme="majorHAnsi" w:cstheme="majorBidi"/>
      <w:color w:val="272727" w:themeColor="text1" w:themeTint="D8"/>
      <w:sz w:val="21"/>
      <w:szCs w:val="21"/>
      <w:lang w:eastAsia="ar-SA"/>
    </w:rPr>
  </w:style>
  <w:style w:type="character" w:customStyle="1" w:styleId="Heading9Char1">
    <w:name w:val="Heading 9 Char1"/>
    <w:basedOn w:val="DefaultParagraphFont"/>
    <w:uiPriority w:val="9"/>
    <w:semiHidden/>
    <w:rsid w:val="00EA35FD"/>
    <w:rPr>
      <w:rFonts w:asciiTheme="majorHAnsi" w:eastAsiaTheme="majorEastAsia" w:hAnsiTheme="majorHAnsi" w:cstheme="majorBidi"/>
      <w:i/>
      <w:iCs/>
      <w:color w:val="272727" w:themeColor="text1" w:themeTint="D8"/>
      <w:sz w:val="21"/>
      <w:szCs w:val="21"/>
      <w:lang w:eastAsia="ar-SA"/>
    </w:rPr>
  </w:style>
  <w:style w:type="character" w:styleId="FollowedHyperlink">
    <w:name w:val="FollowedHyperlink"/>
    <w:basedOn w:val="DefaultParagraphFont"/>
    <w:uiPriority w:val="99"/>
    <w:semiHidden/>
    <w:unhideWhenUsed/>
    <w:rsid w:val="00EA35FD"/>
    <w:rPr>
      <w:color w:val="954F72" w:themeColor="followedHyperlink"/>
      <w:u w:val="single"/>
    </w:rPr>
  </w:style>
  <w:style w:type="table" w:styleId="LightList">
    <w:name w:val="Light List"/>
    <w:basedOn w:val="TableNormal"/>
    <w:uiPriority w:val="61"/>
    <w:semiHidden/>
    <w:unhideWhenUsed/>
    <w:rsid w:val="00EA35F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sd.mit.edu/WPS/2015/esd-wp-2015-05.pdf" TargetMode="External"/><Relationship Id="rId13" Type="http://schemas.openxmlformats.org/officeDocument/2006/relationships/hyperlink" Target="https://doi.org/10.1016/j.orl.2020.08.006"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x.doi.org/10.2139/ssrn.3856522"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Vf7QI4UKYRntwWrQlhoe268UuooWIkz7/edi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thetaxadviser.com/issues/2019/feb/tax-reform-impact-value-chain.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2.deloitte.com/de/de/pages/consumer-business/articles/incoterms-2020-white-paper.html" TargetMode="External"/><Relationship Id="rId14" Type="http://schemas.openxmlformats.org/officeDocument/2006/relationships/hyperlink" Target="http://www.doleoceancarg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KT3N45/Ojf1Ytp2yZvDgTx/Mlg==">AMUW2mU2ul2mbJAWSbFWGWJrrv1lBraK2prZbrAg0ic9TcZNV98YRBCfB6OrtjqA6IQJ+EVLqYtKBcG9qdX8UuWlVeMWIPhbaZj+sRmJXPXfCvNq71f1A8k=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2002</Words>
  <Characters>11418</Characters>
  <Application>Microsoft Office Word</Application>
  <DocSecurity>0</DocSecurity>
  <Lines>95</Lines>
  <Paragraphs>26</Paragraphs>
  <ScaleCrop>false</ScaleCrop>
  <Company/>
  <LinksUpToDate>false</LinksUpToDate>
  <CharactersWithSpaces>13394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Mejia</dc:creator>
  <cp:lastModifiedBy>Marco Nunez</cp:lastModifiedBy>
  <cp:revision>2</cp:revision>
  <dcterms:created xsi:type="dcterms:W3CDTF">2022-05-04T06:14:00Z</dcterms:created>
  <dcterms:modified xsi:type="dcterms:W3CDTF">2022-05-04T06:14:00Z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