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C1C1A"/>
          <w:sz w:val="30"/>
          <w:szCs w:val="30"/>
        </w:rPr>
        <w:t xml:space="preserve">AKSHAR — Letter-Scoring Pipeline</w:t>
      </w:r>
    </w:p>
    <w:p>
      <w:pPr>
        <w:spacing w:after="260"/>
        <w:jc w:val="center"/>
      </w:pPr>
      <w:r>
        <w:rPr>
          <w:i/>
          <w:iCs/>
          <w:color w:val="5B5B57"/>
          <w:sz w:val="18"/>
          <w:szCs w:val="18"/>
        </w:rPr>
        <w:t xml:space="preserve">How one spoken letter (akshara) becomes a verdict, from audio alone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9C7BE" w:sz="4"/>
              <w:left w:val="single" w:color="C9C7BE" w:sz="4"/>
              <w:bottom w:val="single" w:color="C9C7BE" w:sz="4"/>
              <w:right w:val="single" w:color="C9C7BE" w:sz="4"/>
            </w:tcBorders>
            <w:shd w:fill="F3F2ED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1C1A"/>
                <w:sz w:val="18"/>
                <w:szCs w:val="18"/>
              </w:rPr>
              <w:t xml:space="preserve">Recording of one expected letter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B5B57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5B5B57"/>
                <w:sz w:val="17"/>
                <w:szCs w:val="17"/>
              </w:rPr>
              <w:t xml:space="preserve">is_letter_text(canonical) ?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B5B57"/>
                <w:sz w:val="22"/>
                <w:szCs w:val="22"/>
              </w:rPr>
              <w:t xml:space="preserve">↓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"/>
        <w:gridCol w:w="4400"/>
      </w:tblGrid>
      <w:tr>
        <w:tc>
          <w:tcPr>
            <w:tcW w:type="dxa" w:w="4400"/>
            <w:tcBorders>
              <w:top w:val="single" w:color="C9C7BE" w:sz="4"/>
              <w:left w:val="single" w:color="C9C7BE" w:sz="4"/>
              <w:bottom w:val="single" w:color="C9C7BE" w:sz="4"/>
              <w:right w:val="single" w:color="C9C7BE" w:sz="4"/>
            </w:tcBorders>
            <w:shd w:fill="E7EEF5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2F5D8A"/>
                <w:sz w:val="17"/>
                <w:szCs w:val="17"/>
              </w:rPr>
              <w:t xml:space="preserve">TRUE — single akshara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single" w:color="C9C7BE" w:sz="4"/>
              <w:left w:val="single" w:color="C9C7BE" w:sz="4"/>
              <w:bottom w:val="single" w:color="C9C7BE" w:sz="4"/>
              <w:right w:val="single" w:color="C9C7BE" w:sz="4"/>
            </w:tcBorders>
            <w:shd w:fill="F3F2ED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5B5B57"/>
                <w:sz w:val="17"/>
                <w:szCs w:val="17"/>
              </w:rPr>
              <w:t xml:space="preserve">FALSE — word / paragraph / story</w:t>
            </w:r>
          </w:p>
        </w:tc>
      </w:tr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1C1A"/>
                <w:sz w:val="18"/>
                <w:szCs w:val="18"/>
              </w:rPr>
              <w:t xml:space="preserve">↓  scored below</w:t>
            </w:r>
          </w:p>
        </w:tc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40"/>
              <w:left w:type="dxa" w:w="200"/>
              <w:bottom w:type="dxa" w:w="40"/>
              <w:right w:type="dxa" w:w="2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5B5B57"/>
                <w:sz w:val="15"/>
                <w:szCs w:val="15"/>
              </w:rPr>
              <w:t xml:space="preserve">not this path — ASR transcript + rulebook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B5B57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000"/>
            <w:tcBorders>
              <w:top w:val="single" w:color="C9C7BE" w:sz="4"/>
              <w:left w:val="single" w:color="C9C7BE" w:sz="4"/>
              <w:bottom w:val="single" w:color="C9C7BE" w:sz="4"/>
              <w:right w:val="single" w:color="C9C7BE" w:sz="4"/>
            </w:tcBorders>
            <w:shd w:fill="F3F2ED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1C1C1A"/>
                <w:sz w:val="18"/>
                <w:szCs w:val="18"/>
              </w:rPr>
              <w:t xml:space="preserve">1 · FORCE-ALIGN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5B5B57"/>
                <w:sz w:val="16"/>
                <w:szCs w:val="16"/>
              </w:rPr>
              <w:t xml:space="preserve">Viterbi locates roughly where in the audio the letter was spoken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B5B57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000"/>
            <w:tcBorders>
              <w:top w:val="single" w:color="C9C7BE" w:sz="4"/>
              <w:left w:val="single" w:color="C9C7BE" w:sz="4"/>
              <w:bottom w:val="single" w:color="C9C7BE" w:sz="4"/>
              <w:right w:val="single" w:color="C9C7BE" w:sz="4"/>
            </w:tcBorders>
            <w:shd w:fill="FBF3DF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8A6A1A"/>
                <w:sz w:val="18"/>
                <w:szCs w:val="18"/>
              </w:rPr>
              <w:t xml:space="preserve">2 · BUILD CANDIDATE SET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5B5B57"/>
                <w:sz w:val="16"/>
                <w:szCs w:val="16"/>
              </w:rPr>
              <w:t xml:space="preserve">expected letter  +  2–4 confusable letters only — never the whole alphabet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B5B57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000"/>
            <w:tcBorders>
              <w:top w:val="single" w:color="C9C7BE" w:sz="4"/>
              <w:left w:val="single" w:color="C9C7BE" w:sz="4"/>
              <w:bottom w:val="single" w:color="C9C7BE" w:sz="4"/>
              <w:right w:val="single" w:color="C9C7BE" w:sz="4"/>
            </w:tcBorders>
            <w:shd w:fill="F3F2ED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1C1C1A"/>
                <w:sz w:val="18"/>
                <w:szCs w:val="18"/>
              </w:rPr>
              <w:t xml:space="preserve">3 · WIDEN THE WINDOW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5B5B57"/>
                <w:sz w:val="16"/>
                <w:szCs w:val="16"/>
              </w:rPr>
              <w:t xml:space="preserve">search extended to the midpoint with each neighbouring letter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B5B57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000"/>
            <w:tcBorders>
              <w:top w:val="single" w:color="C9C7BE" w:sz="4"/>
              <w:left w:val="single" w:color="C9C7BE" w:sz="4"/>
              <w:bottom w:val="single" w:color="C9C7BE" w:sz="4"/>
              <w:right w:val="single" w:color="C9C7BE" w:sz="4"/>
            </w:tcBorders>
            <w:shd w:fill="FBF3DF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8A6A1A"/>
                <w:sz w:val="18"/>
                <w:szCs w:val="18"/>
              </w:rPr>
              <w:t xml:space="preserve">4 · SCORE EVERY CANDIDATE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5B5B57"/>
                <w:sz w:val="16"/>
                <w:szCs w:val="16"/>
              </w:rPr>
              <w:t xml:space="preserve">ctc_path_score() at each candidate’s strongest frame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B5B57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000"/>
            <w:tcBorders>
              <w:top w:val="single" w:color="C9C7BE" w:sz="4"/>
              <w:left w:val="single" w:color="C9C7BE" w:sz="4"/>
              <w:bottom w:val="single" w:color="C9C7BE" w:sz="4"/>
              <w:right w:val="single" w:color="C9C7BE" w:sz="4"/>
            </w:tcBorders>
            <w:shd w:fill="E7EEF5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2F5D8A"/>
                <w:sz w:val="18"/>
                <w:szCs w:val="18"/>
              </w:rPr>
              <w:t xml:space="preserve">5 · ARGMAX + MARGIN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5B5B57"/>
                <w:sz w:val="16"/>
                <w:szCs w:val="16"/>
              </w:rPr>
              <w:t xml:space="preserve">winner = highest score;  margin = winner − runner-up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b/>
                <w:bCs/>
                <w:color w:val="5B5B57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000"/>
            <w:tcBorders>
              <w:top w:val="single" w:color="C9C7BE" w:sz="4"/>
              <w:left w:val="single" w:color="C9C7BE" w:sz="4"/>
              <w:bottom w:val="single" w:color="C9C7BE" w:sz="4"/>
              <w:right w:val="single" w:color="C9C7BE" w:sz="4"/>
            </w:tcBorders>
            <w:shd w:fill="E4F1E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2F7D4F"/>
                <w:sz w:val="20"/>
                <w:szCs w:val="20"/>
              </w:rPr>
              <w:t xml:space="preserve">6 · VERDICT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5B5B57"/>
                <w:sz w:val="16"/>
                <w:szCs w:val="16"/>
              </w:rPr>
              <w:t xml:space="preserve">the winning candidate IS the verdict — nothing downstream overrides it</w:t>
            </w:r>
          </w:p>
        </w:tc>
      </w:tr>
    </w:tbl>
    <w:p>
      <w:pPr>
        <w:spacing w:after="100" w:before="220"/>
        <w:jc w:val="center"/>
      </w:pPr>
      <w:r>
        <w:rPr>
          <w:i/>
          <w:iCs/>
          <w:color w:val="5B5B57"/>
          <w:sz w:val="15"/>
          <w:szCs w:val="15"/>
        </w:rPr>
        <w:t xml:space="preserve">┆  meanwhile, alongside every step above  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dashed" w:color="B23A2E" w:sz="4"/>
              <w:left w:val="dashed" w:color="B23A2E" w:sz="4"/>
              <w:bottom w:val="dashed" w:color="B23A2E" w:sz="4"/>
              <w:right w:val="dashed" w:color="B23A2E" w:sz="4"/>
            </w:tcBorders>
            <w:shd w:fill="FBEAE8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B23A2E"/>
                <w:sz w:val="18"/>
                <w:szCs w:val="18"/>
              </w:rPr>
              <w:t xml:space="preserve">GOP (Goodness of Pronunciation) — computed and shown, but never decides</w:t>
            </w:r>
          </w:p>
          <w:p>
            <w:pPr>
              <w:jc w:val="center"/>
            </w:pPr>
            <w:r>
              <w:rPr>
                <w:color w:val="1C1C1A"/>
                <w:sz w:val="15"/>
                <w:szCs w:val="15"/>
              </w:rPr>
              <w:t xml:space="preserve">Absolute test (must beat every symbol incl. silence) — stricter, uncalibrated on real mics → advisory only.  Blocked from overriding letters by the “not letter_task” guard in pipeline.py.</w:t>
            </w:r>
          </w:p>
        </w:tc>
      </w:tr>
    </w:tbl>
    <w:p>
      <w:pPr>
        <w:pBdr>
          <w:top w:val="single" w:color="D8D6CF" w:sz="4" w:space="6"/>
        </w:pBdr>
        <w:spacing w:before="260"/>
        <w:jc w:val="center"/>
      </w:pPr>
      <w:r>
        <w:rPr>
          <w:i/>
          <w:iCs/>
          <w:color w:val="5B5B57"/>
          <w:sz w:val="15"/>
          <w:szCs w:val="15"/>
        </w:rPr>
        <w:t xml:space="preserve">Akshar — letter-subsystem flow, one page</w:t>
      </w:r>
    </w:p>
    <w:sectPr>
      <w:pgSz w:w="12240" w:h="15840" w:orient="portrait"/>
      <w:pgMar w:top="620" w:right="900" w:bottom="5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2026-09-29T08:18:23.257Z</dcterms:created>
  <dcterms:modified xsi:type="dcterms:W3CDTF">2026-09-29T08:18:23.259Z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