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C1C1A"/>
          <w:sz w:val="44"/>
          <w:szCs w:val="44"/>
        </w:rPr>
        <w:t xml:space="preserve">AKSHAR</w:t>
      </w:r>
    </w:p>
    <w:p>
      <w:pPr>
        <w:spacing w:after="40"/>
      </w:pPr>
      <w:r>
        <w:rPr>
          <w:b/>
          <w:bCs/>
          <w:color w:val="2F5D8A"/>
          <w:sz w:val="32"/>
          <w:szCs w:val="32"/>
        </w:rPr>
        <w:t xml:space="preserve">Letter-Scoring Subsystem</w:t>
      </w:r>
    </w:p>
    <w:p>
      <w:pPr>
        <w:spacing w:after="400"/>
      </w:pPr>
      <w:r>
        <w:rPr>
          <w:i/>
          <w:iCs/>
          <w:color w:val="5B5B57"/>
          <w:sz w:val="21"/>
          <w:szCs w:val="21"/>
        </w:rPr>
        <w:t xml:space="preserve">Architecture document — how a single letter (akshara) is scored from audio</w:t>
      </w:r>
    </w:p>
    <w:p>
      <w:pPr>
        <w:pStyle w:val="Heading1"/>
        <w:pBdr>
          <w:bottom w:val="single" w:color="1C1C1A" w:sz="6" w:space="4"/>
        </w:pBdr>
        <w:spacing w:after="160" w:before="360"/>
      </w:pPr>
      <w:r>
        <w:rPr>
          <w:b/>
          <w:bCs/>
          <w:color w:val="1C1C1A"/>
          <w:sz w:val="30"/>
          <w:szCs w:val="30"/>
        </w:rPr>
        <w:t xml:space="preserve">1. Scope</w:t>
      </w:r>
    </w:p>
    <w:p>
      <w:pPr>
        <w:spacing w:after="140" w:line="300"/>
      </w:pPr>
      <w:r>
        <w:rPr>
          <w:b w:val="false"/>
          <w:bCs w:val="false"/>
          <w:i w:val="false"/>
          <w:iCs w:val="false"/>
          <w:color w:val="1C1C1A"/>
          <w:sz w:val="21"/>
          <w:szCs w:val="21"/>
        </w:rPr>
        <w:t xml:space="preserve">This document covers only the LETTER task path of Akshar: how a single akshara (क, ख, त, थ, …) spoken in under half a second is turned into a correct/incorrect verdict from raw audio. Word, paragraph and story scoring use a different path (ASR transcript + rulebook + optional audio correction) and are out of scope here — see §2 for how the two paths relate.</w:t>
      </w:r>
    </w:p>
    <w:p>
      <w:pPr>
        <w:pStyle w:val="Heading1"/>
        <w:pBdr>
          <w:bottom w:val="single" w:color="1C1C1A" w:sz="6" w:space="4"/>
        </w:pBdr>
        <w:spacing w:after="160" w:before="360"/>
      </w:pPr>
      <w:r>
        <w:rPr>
          <w:b/>
          <w:bCs/>
          <w:color w:val="1C1C1A"/>
          <w:sz w:val="30"/>
          <w:szCs w:val="30"/>
        </w:rPr>
        <w:t xml:space="preserve">2. Where this sits in the whole pipeline</w:t>
      </w:r>
    </w:p>
    <w:p>
      <w:pPr>
        <w:spacing w:after="140" w:line="300"/>
      </w:pPr>
      <w:r>
        <w:rPr>
          <w:b w:val="false"/>
          <w:bCs w:val="false"/>
          <w:i w:val="false"/>
          <w:iCs w:val="false"/>
          <w:color w:val="1C1C1A"/>
          <w:sz w:val="21"/>
          <w:szCs w:val="21"/>
        </w:rPr>
        <w:t xml:space="preserve">Every reading item is routed by one check, is_letter_text(canonical), before any scoring happens: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3F2ED" w:val="clear"/>
            <w:tcMar>
              <w:top w:type="dxa" w:w="100"/>
              <w:left w:type="dxa" w:w="140"/>
              <w:bottom w:type="dxa" w:w="100"/>
              <w:right w:type="dxa" w:w="140"/>
            </w:tcMar>
            <w:vAlign w:val="center"/>
          </w:tcPr>
          <w:p>
            <w:pPr>
              <w:jc w:val="center"/>
            </w:pPr>
            <w:r>
              <w:rPr>
                <w:b/>
                <w:bCs/>
                <w:color w:val="1C1C1A"/>
                <w:sz w:val="19"/>
                <w:szCs w:val="19"/>
              </w:rPr>
              <w:t xml:space="preserve">Recording arrives
(reading task, level = LETTER, WORD, PARAGRAPH, or STORY)</w:t>
            </w:r>
          </w:p>
        </w:tc>
        <w:tc>
          <w:tcPr>
            <w:tcW w:type="dxa" w:w="3000"/>
            <w:tcBorders>
              <w:top w:val="none"/>
              <w:left w:val="none"/>
              <w:bottom w:val="none"/>
              <w:right w:val="none"/>
            </w:tcBorders>
            <w:tcMar>
              <w:top w:type="dxa" w:w="100"/>
              <w:left w:type="dxa" w:w="140"/>
              <w:bottom w:type="dxa" w:w="100"/>
              <w:right w:type="dxa" w:w="140"/>
            </w:tcMar>
            <w:vAlign w:val="center"/>
          </w:tcPr>
          <w:p>
            <w:pPr>
              <w:jc w:val="left"/>
            </w:pPr>
            <w:r>
              <w:rPr>
                <w:b w:val="false"/>
                <w:bCs w:val="false"/>
                <w:color w:val="1C1C1A"/>
                <w:sz w:val="19"/>
                <w:szCs w:val="19"/>
              </w:rPr>
              <w:t xml:space="preserve"/>
            </w:r>
          </w:p>
        </w:tc>
        <w:tc>
          <w:tcPr>
            <w:tcW w:type="dxa" w:w="3000"/>
            <w:tcBorders>
              <w:top w:val="none"/>
              <w:left w:val="none"/>
              <w:bottom w:val="none"/>
              <w:right w:val="none"/>
            </w:tcBorders>
            <w:tcMar>
              <w:top w:type="dxa" w:w="100"/>
              <w:left w:type="dxa" w:w="140"/>
              <w:bottom w:type="dxa" w:w="100"/>
              <w:right w:type="dxa" w:w="140"/>
            </w:tcMar>
            <w:vAlign w:val="center"/>
          </w:tcPr>
          <w:p>
            <w:pPr>
              <w:jc w:val="left"/>
            </w:pPr>
            <w:r>
              <w:rPr>
                <w:b w:val="false"/>
                <w:bCs w:val="false"/>
                <w:color w:val="1C1C1A"/>
                <w:sz w:val="19"/>
                <w:szCs w:val="19"/>
              </w:rPr>
              <w:t xml:space="preserve"/>
            </w:r>
          </w:p>
        </w:tc>
      </w:tr>
      <w:tr>
        <w:tc>
          <w:tcPr>
            <w:tcW w:type="dxa" w:w="3000"/>
            <w:tcMar>
              <w:top w:type="dxa" w:w="100"/>
              <w:left w:type="dxa" w:w="140"/>
              <w:bottom w:type="dxa" w:w="100"/>
              <w:right w:type="dxa" w:w="140"/>
            </w:tcMar>
            <w:vAlign w:val="center"/>
          </w:tcPr>
          <w:p>
            <w:pPr>
              <w:jc w:val="center"/>
            </w:pPr>
            <w:r>
              <w:rPr>
                <w:rFonts w:ascii="Consolas" w:cs="Consolas" w:eastAsia="Consolas" w:hAnsi="Consolas"/>
                <w:b w:val="false"/>
                <w:bCs w:val="false"/>
                <w:color w:val="1C1C1A"/>
                <w:sz w:val="18"/>
                <w:szCs w:val="18"/>
              </w:rPr>
              <w:t xml:space="preserve">is_letter_text(canonical)</w:t>
            </w:r>
          </w:p>
        </w:tc>
        <w:tc>
          <w:tcPr>
            <w:tcW w:type="dxa" w:w="3000"/>
            <w:tcBorders>
              <w:top w:val="none"/>
              <w:left w:val="none"/>
              <w:bottom w:val="none"/>
              <w:right w:val="none"/>
            </w:tcBorders>
            <w:tcMar>
              <w:top w:type="dxa" w:w="100"/>
              <w:left w:type="dxa" w:w="140"/>
              <w:bottom w:type="dxa" w:w="100"/>
              <w:right w:type="dxa" w:w="140"/>
            </w:tcMar>
            <w:vAlign w:val="center"/>
          </w:tcPr>
          <w:p>
            <w:pPr>
              <w:jc w:val="left"/>
            </w:pPr>
            <w:r>
              <w:rPr>
                <w:b w:val="false"/>
                <w:bCs w:val="false"/>
                <w:color w:val="1C1C1A"/>
                <w:sz w:val="19"/>
                <w:szCs w:val="19"/>
              </w:rPr>
              <w:t xml:space="preserve"/>
            </w:r>
          </w:p>
        </w:tc>
        <w:tc>
          <w:tcPr>
            <w:tcW w:type="dxa" w:w="3000"/>
            <w:tcBorders>
              <w:top w:val="none"/>
              <w:left w:val="none"/>
              <w:bottom w:val="none"/>
              <w:right w:val="none"/>
            </w:tcBorders>
            <w:tcMar>
              <w:top w:type="dxa" w:w="100"/>
              <w:left w:type="dxa" w:w="140"/>
              <w:bottom w:type="dxa" w:w="100"/>
              <w:right w:type="dxa" w:w="140"/>
            </w:tcMar>
            <w:vAlign w:val="center"/>
          </w:tcPr>
          <w:p>
            <w:pPr>
              <w:jc w:val="left"/>
            </w:pPr>
            <w:r>
              <w:rPr>
                <w:b w:val="false"/>
                <w:bCs w:val="false"/>
                <w:color w:val="1C1C1A"/>
                <w:sz w:val="19"/>
                <w:szCs w:val="19"/>
              </w:rPr>
              <w:t xml:space="preserve"/>
            </w:r>
          </w:p>
        </w:tc>
      </w:tr>
      <w:tr>
        <w:tc>
          <w:tcPr>
            <w:tcW w:type="dxa" w:w="3000"/>
            <w:shd w:fill="E7EEF5" w:val="clear"/>
            <w:tcMar>
              <w:top w:type="dxa" w:w="100"/>
              <w:left w:type="dxa" w:w="140"/>
              <w:bottom w:type="dxa" w:w="100"/>
              <w:right w:type="dxa" w:w="140"/>
            </w:tcMar>
            <w:vAlign w:val="center"/>
          </w:tcPr>
          <w:p>
            <w:pPr>
              <w:jc w:val="center"/>
            </w:pPr>
            <w:r>
              <w:rPr>
                <w:b/>
                <w:bCs/>
                <w:color w:val="2F5D8A"/>
                <w:sz w:val="19"/>
                <w:szCs w:val="19"/>
              </w:rPr>
              <w:t xml:space="preserve">TRUE — single akshara</w:t>
            </w:r>
          </w:p>
        </w:tc>
        <w:tc>
          <w:tcPr>
            <w:tcW w:type="dxa" w:w="6000"/>
            <w:shd w:fill="F3F2ED" w:val="clear"/>
            <w:tcMar>
              <w:top w:type="dxa" w:w="100"/>
              <w:left w:type="dxa" w:w="140"/>
              <w:bottom w:type="dxa" w:w="100"/>
              <w:right w:type="dxa" w:w="140"/>
            </w:tcMar>
            <w:vAlign w:val="center"/>
          </w:tcPr>
          <w:p>
            <w:pPr>
              <w:jc w:val="center"/>
            </w:pPr>
            <w:r>
              <w:rPr>
                <w:b/>
                <w:bCs/>
                <w:color w:val="1C1C1A"/>
                <w:sz w:val="19"/>
                <w:szCs w:val="19"/>
              </w:rPr>
              <w:t xml:space="preserve">FALSE — word / paragraph / story</w:t>
            </w:r>
          </w:p>
        </w:tc>
      </w:tr>
      <w:tr>
        <w:tc>
          <w:tcPr>
            <w:tcW w:type="dxa" w:w="3000"/>
            <w:shd w:fill="E7EEF5" w:val="clear"/>
            <w:tcMar>
              <w:top w:type="dxa" w:w="100"/>
              <w:left w:type="dxa" w:w="140"/>
              <w:bottom w:type="dxa" w:w="100"/>
              <w:right w:type="dxa" w:w="140"/>
            </w:tcMar>
            <w:vAlign w:val="center"/>
          </w:tcPr>
          <w:p>
            <w:pPr>
              <w:jc w:val="center"/>
            </w:pPr>
            <w:r>
              <w:rPr>
                <w:b w:val="false"/>
                <w:bCs w:val="false"/>
                <w:color w:val="2F5D8A"/>
                <w:sz w:val="18"/>
                <w:szCs w:val="18"/>
              </w:rPr>
              <w:t xml:space="preserve">LETTER PATH
(this document)
closed-set audio comparison
ASR transcript not trusted</w:t>
            </w:r>
          </w:p>
        </w:tc>
        <w:tc>
          <w:tcPr>
            <w:tcW w:type="dxa" w:w="6000"/>
            <w:shd w:fill="F3F2ED" w:val="clear"/>
            <w:tcMar>
              <w:top w:type="dxa" w:w="100"/>
              <w:left w:type="dxa" w:w="140"/>
              <w:bottom w:type="dxa" w:w="100"/>
              <w:right w:type="dxa" w:w="140"/>
            </w:tcMar>
            <w:vAlign w:val="center"/>
          </w:tcPr>
          <w:p>
            <w:pPr>
              <w:jc w:val="center"/>
            </w:pPr>
            <w:r>
              <w:rPr>
                <w:b w:val="false"/>
                <w:bCs w:val="false"/>
                <w:color w:val="1C1C1A"/>
                <w:sz w:val="18"/>
                <w:szCs w:val="18"/>
              </w:rPr>
              <w:t xml:space="preserve">WORD / PARAGRAPH PATH
ASR transcript + rulebook,
GOP may rebuild the word
from audio and re-score it</w:t>
            </w:r>
          </w:p>
        </w:tc>
      </w:tr>
    </w:tbl>
    <w:p>
      <w:pPr>
        <w:spacing w:after="260" w:before="60"/>
        <w:jc w:val="center"/>
      </w:pPr>
      <w:r>
        <w:rPr>
          <w:i/>
          <w:iCs/>
          <w:color w:val="5B5B57"/>
          <w:sz w:val="18"/>
          <w:szCs w:val="18"/>
        </w:rPr>
        <w:t xml:space="preserve">Figure 1 — the letter/word fork. Letters never enter the ASR-transcript scoring path.</w:t>
      </w:r>
    </w:p>
    <w:p>
      <w:pPr>
        <w:spacing w:after="140" w:line="300"/>
      </w:pPr>
      <w:r>
        <w:rPr>
          <w:b w:val="false"/>
          <w:bCs w:val="false"/>
          <w:i w:val="false"/>
          <w:iCs w:val="false"/>
          <w:color w:val="1C1C1A"/>
          <w:sz w:val="21"/>
          <w:szCs w:val="21"/>
        </w:rPr>
        <w:t xml:space="preserve">The reason for the fork: a speech-to-text engine transcribes running speech well, but under half a second of isolated audio is exactly the regime ASR is worst at — an engine will happily write “का का गा गा” for four different letters क ख ग घ. Trusting a transcript for letters would make the letter task unusable, so letters never call an ASR engine at all; they go straight to the acoustic model.</w:t>
      </w:r>
    </w:p>
    <w:p>
      <w:pPr>
        <w:pStyle w:val="Heading1"/>
        <w:pBdr>
          <w:bottom w:val="single" w:color="1C1C1A" w:sz="6" w:space="4"/>
        </w:pBdr>
        <w:spacing w:after="160" w:before="360"/>
      </w:pPr>
      <w:r>
        <w:rPr>
          <w:b/>
          <w:bCs/>
          <w:color w:val="1C1C1A"/>
          <w:sz w:val="30"/>
          <w:szCs w:val="30"/>
        </w:rPr>
        <w:t xml:space="preserve">3. The letter decision pipeline</w:t>
      </w:r>
    </w:p>
    <w:p>
      <w:pPr>
        <w:spacing w:after="140" w:line="300"/>
      </w:pPr>
      <w:r>
        <w:rPr>
          <w:b w:val="false"/>
          <w:bCs w:val="false"/>
          <w:i w:val="false"/>
          <w:iCs w:val="false"/>
          <w:color w:val="1C1C1A"/>
          <w:sz w:val="21"/>
          <w:szCs w:val="21"/>
        </w:rPr>
        <w:t xml:space="preserve">Six steps, all inside acoustic.py / letter_decisions(), take one recording plus one expected letter and return a verdict, a winning candidate, and a margin: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6400"/>
      </w:tblGrid>
      <w:tr>
        <w:tc>
          <w:tcPr>
            <w:tcW w:type="dxa" w:w="500"/>
            <w:shd w:fill="F3F2ED" w:val="clear"/>
            <w:tcMar>
              <w:top w:type="dxa" w:w="100"/>
              <w:left w:type="dxa" w:w="140"/>
              <w:bottom w:type="dxa" w:w="100"/>
              <w:right w:type="dxa" w:w="140"/>
            </w:tcMar>
            <w:vAlign w:val="center"/>
          </w:tcPr>
          <w:p>
            <w:pPr>
              <w:jc w:val="center"/>
            </w:pPr>
            <w:r>
              <w:rPr>
                <w:b/>
                <w:bCs/>
                <w:color w:val="1C1C1A"/>
                <w:sz w:val="22"/>
                <w:szCs w:val="22"/>
              </w:rPr>
              <w:t xml:space="preserve">1</w:t>
            </w:r>
          </w:p>
        </w:tc>
        <w:tc>
          <w:tcPr>
            <w:tcW w:type="dxa" w:w="2100"/>
            <w:shd w:fill="F3F2ED" w:val="clear"/>
            <w:tcMar>
              <w:top w:type="dxa" w:w="100"/>
              <w:left w:type="dxa" w:w="140"/>
              <w:bottom w:type="dxa" w:w="100"/>
              <w:right w:type="dxa" w:w="140"/>
            </w:tcMar>
            <w:vAlign w:val="center"/>
          </w:tcPr>
          <w:p>
            <w:pPr>
              <w:jc w:val="left"/>
            </w:pPr>
            <w:r>
              <w:rPr>
                <w:b/>
                <w:bCs/>
                <w:color w:val="1C1C1A"/>
                <w:sz w:val="19"/>
                <w:szCs w:val="19"/>
              </w:rPr>
              <w:t xml:space="preserve">Force-align</w:t>
            </w:r>
          </w:p>
        </w:tc>
        <w:tc>
          <w:tcPr>
            <w:tcW w:type="dxa" w:w="6400"/>
            <w:shd w:fill="FFFFFF" w:val="clear"/>
            <w:tcMar>
              <w:top w:type="dxa" w:w="100"/>
              <w:left w:type="dxa" w:w="140"/>
              <w:bottom w:type="dxa" w:w="100"/>
              <w:right w:type="dxa" w:w="140"/>
            </w:tcMar>
            <w:vAlign w:val="center"/>
          </w:tcPr>
          <w:p>
            <w:pPr>
              <w:jc w:val="left"/>
            </w:pPr>
            <w:r>
              <w:rPr>
                <w:b w:val="false"/>
                <w:bCs w:val="false"/>
                <w:color w:val="1C1C1A"/>
                <w:sz w:val="18"/>
                <w:szCs w:val="18"/>
              </w:rPr>
              <w:t xml:space="preserve">Viterbi locates roughly where in the audio each expected letter was spoken, using the CTC frame grid.</w:t>
            </w:r>
          </w:p>
        </w:tc>
      </w:tr>
      <w:tr>
        <w:tc>
          <w:tcPr>
            <w:tcW w:type="dxa" w:w="500"/>
            <w:shd w:fill="FBF3DF" w:val="clear"/>
            <w:tcMar>
              <w:top w:type="dxa" w:w="100"/>
              <w:left w:type="dxa" w:w="140"/>
              <w:bottom w:type="dxa" w:w="100"/>
              <w:right w:type="dxa" w:w="140"/>
            </w:tcMar>
            <w:vAlign w:val="center"/>
          </w:tcPr>
          <w:p>
            <w:pPr>
              <w:jc w:val="center"/>
            </w:pPr>
            <w:r>
              <w:rPr>
                <w:b/>
                <w:bCs/>
                <w:color w:val="8A6A1A"/>
                <w:sz w:val="22"/>
                <w:szCs w:val="22"/>
              </w:rPr>
              <w:t xml:space="preserve">2</w:t>
            </w:r>
          </w:p>
        </w:tc>
        <w:tc>
          <w:tcPr>
            <w:tcW w:type="dxa" w:w="2100"/>
            <w:shd w:fill="FBF3DF" w:val="clear"/>
            <w:tcMar>
              <w:top w:type="dxa" w:w="100"/>
              <w:left w:type="dxa" w:w="140"/>
              <w:bottom w:type="dxa" w:w="100"/>
              <w:right w:type="dxa" w:w="140"/>
            </w:tcMar>
            <w:vAlign w:val="center"/>
          </w:tcPr>
          <w:p>
            <w:pPr>
              <w:jc w:val="left"/>
            </w:pPr>
            <w:r>
              <w:rPr>
                <w:b/>
                <w:bCs/>
                <w:color w:val="8A6A1A"/>
                <w:sz w:val="19"/>
                <w:szCs w:val="19"/>
              </w:rPr>
              <w:t xml:space="preserve">Build the candidate set</w:t>
            </w:r>
          </w:p>
        </w:tc>
        <w:tc>
          <w:tcPr>
            <w:tcW w:type="dxa" w:w="6400"/>
            <w:shd w:fill="FFFFFF" w:val="clear"/>
            <w:tcMar>
              <w:top w:type="dxa" w:w="100"/>
              <w:left w:type="dxa" w:w="140"/>
              <w:bottom w:type="dxa" w:w="100"/>
              <w:right w:type="dxa" w:w="140"/>
            </w:tcMar>
            <w:vAlign w:val="center"/>
          </w:tcPr>
          <w:p>
            <w:pPr>
              <w:jc w:val="left"/>
            </w:pPr>
            <w:r>
              <w:rPr>
                <w:b w:val="false"/>
                <w:bCs w:val="false"/>
                <w:color w:val="1C1C1A"/>
                <w:sz w:val="18"/>
                <w:szCs w:val="18"/>
              </w:rPr>
              <w:t xml:space="preserve">expected letter  +  its confusion list only (2–4 look-alikes/sound-alikes) — never the full alphabet.</w:t>
            </w:r>
          </w:p>
        </w:tc>
      </w:tr>
      <w:tr>
        <w:tc>
          <w:tcPr>
            <w:tcW w:type="dxa" w:w="500"/>
            <w:shd w:fill="F3F2ED" w:val="clear"/>
            <w:tcMar>
              <w:top w:type="dxa" w:w="100"/>
              <w:left w:type="dxa" w:w="140"/>
              <w:bottom w:type="dxa" w:w="100"/>
              <w:right w:type="dxa" w:w="140"/>
            </w:tcMar>
            <w:vAlign w:val="center"/>
          </w:tcPr>
          <w:p>
            <w:pPr>
              <w:jc w:val="center"/>
            </w:pPr>
            <w:r>
              <w:rPr>
                <w:b/>
                <w:bCs/>
                <w:color w:val="1C1C1A"/>
                <w:sz w:val="22"/>
                <w:szCs w:val="22"/>
              </w:rPr>
              <w:t xml:space="preserve">3</w:t>
            </w:r>
          </w:p>
        </w:tc>
        <w:tc>
          <w:tcPr>
            <w:tcW w:type="dxa" w:w="2100"/>
            <w:shd w:fill="F3F2ED" w:val="clear"/>
            <w:tcMar>
              <w:top w:type="dxa" w:w="100"/>
              <w:left w:type="dxa" w:w="140"/>
              <w:bottom w:type="dxa" w:w="100"/>
              <w:right w:type="dxa" w:w="140"/>
            </w:tcMar>
            <w:vAlign w:val="center"/>
          </w:tcPr>
          <w:p>
            <w:pPr>
              <w:jc w:val="left"/>
            </w:pPr>
            <w:r>
              <w:rPr>
                <w:b/>
                <w:bCs/>
                <w:color w:val="1C1C1A"/>
                <w:sz w:val="19"/>
                <w:szCs w:val="19"/>
              </w:rPr>
              <w:t xml:space="preserve">Widen the search window</w:t>
            </w:r>
          </w:p>
        </w:tc>
        <w:tc>
          <w:tcPr>
            <w:tcW w:type="dxa" w:w="6400"/>
            <w:shd w:fill="FFFFFF" w:val="clear"/>
            <w:tcMar>
              <w:top w:type="dxa" w:w="100"/>
              <w:left w:type="dxa" w:w="140"/>
              <w:bottom w:type="dxa" w:w="100"/>
              <w:right w:type="dxa" w:w="140"/>
            </w:tcMar>
            <w:vAlign w:val="center"/>
          </w:tcPr>
          <w:p>
            <w:pPr>
              <w:jc w:val="left"/>
            </w:pPr>
            <w:r>
              <w:rPr>
                <w:b w:val="false"/>
                <w:bCs w:val="false"/>
                <w:color w:val="1C1C1A"/>
                <w:sz w:val="18"/>
                <w:szCs w:val="18"/>
              </w:rPr>
              <w:t xml:space="preserve">extend the span to the midpoint with each neighbouring letter, so a fast or bleeding sound is not missed.</w:t>
            </w:r>
          </w:p>
        </w:tc>
      </w:tr>
      <w:tr>
        <w:tc>
          <w:tcPr>
            <w:tcW w:type="dxa" w:w="500"/>
            <w:shd w:fill="FBF3DF" w:val="clear"/>
            <w:tcMar>
              <w:top w:type="dxa" w:w="100"/>
              <w:left w:type="dxa" w:w="140"/>
              <w:bottom w:type="dxa" w:w="100"/>
              <w:right w:type="dxa" w:w="140"/>
            </w:tcMar>
            <w:vAlign w:val="center"/>
          </w:tcPr>
          <w:p>
            <w:pPr>
              <w:jc w:val="center"/>
            </w:pPr>
            <w:r>
              <w:rPr>
                <w:b/>
                <w:bCs/>
                <w:color w:val="8A6A1A"/>
                <w:sz w:val="22"/>
                <w:szCs w:val="22"/>
              </w:rPr>
              <w:t xml:space="preserve">4</w:t>
            </w:r>
          </w:p>
        </w:tc>
        <w:tc>
          <w:tcPr>
            <w:tcW w:type="dxa" w:w="2100"/>
            <w:shd w:fill="FBF3DF" w:val="clear"/>
            <w:tcMar>
              <w:top w:type="dxa" w:w="100"/>
              <w:left w:type="dxa" w:w="140"/>
              <w:bottom w:type="dxa" w:w="100"/>
              <w:right w:type="dxa" w:w="140"/>
            </w:tcMar>
            <w:vAlign w:val="center"/>
          </w:tcPr>
          <w:p>
            <w:pPr>
              <w:jc w:val="left"/>
            </w:pPr>
            <w:r>
              <w:rPr>
                <w:b/>
                <w:bCs/>
                <w:color w:val="8A6A1A"/>
                <w:sz w:val="19"/>
                <w:szCs w:val="19"/>
              </w:rPr>
              <w:t xml:space="preserve">Score every candidate</w:t>
            </w:r>
          </w:p>
        </w:tc>
        <w:tc>
          <w:tcPr>
            <w:tcW w:type="dxa" w:w="6400"/>
            <w:shd w:fill="FFFFFF" w:val="clear"/>
            <w:tcMar>
              <w:top w:type="dxa" w:w="100"/>
              <w:left w:type="dxa" w:w="140"/>
              <w:bottom w:type="dxa" w:w="100"/>
              <w:right w:type="dxa" w:w="140"/>
            </w:tcMar>
            <w:vAlign w:val="center"/>
          </w:tcPr>
          <w:p>
            <w:pPr>
              <w:jc w:val="left"/>
            </w:pPr>
            <w:r>
              <w:rPr>
                <w:b w:val="false"/>
                <w:bCs w:val="false"/>
                <w:color w:val="1C1C1A"/>
                <w:sz w:val="18"/>
                <w:szCs w:val="18"/>
              </w:rPr>
              <w:t xml:space="preserve">ctc_path_score() at the strongest frame, for the expected letter and every rival in the confusion list.</w:t>
            </w:r>
          </w:p>
        </w:tc>
      </w:tr>
      <w:tr>
        <w:tc>
          <w:tcPr>
            <w:tcW w:type="dxa" w:w="500"/>
            <w:shd w:fill="E7EEF5" w:val="clear"/>
            <w:tcMar>
              <w:top w:type="dxa" w:w="100"/>
              <w:left w:type="dxa" w:w="140"/>
              <w:bottom w:type="dxa" w:w="100"/>
              <w:right w:type="dxa" w:w="140"/>
            </w:tcMar>
            <w:vAlign w:val="center"/>
          </w:tcPr>
          <w:p>
            <w:pPr>
              <w:jc w:val="center"/>
            </w:pPr>
            <w:r>
              <w:rPr>
                <w:b/>
                <w:bCs/>
                <w:color w:val="2F5D8A"/>
                <w:sz w:val="22"/>
                <w:szCs w:val="22"/>
              </w:rPr>
              <w:t xml:space="preserve">5</w:t>
            </w:r>
          </w:p>
        </w:tc>
        <w:tc>
          <w:tcPr>
            <w:tcW w:type="dxa" w:w="2100"/>
            <w:shd w:fill="E7EEF5" w:val="clear"/>
            <w:tcMar>
              <w:top w:type="dxa" w:w="100"/>
              <w:left w:type="dxa" w:w="140"/>
              <w:bottom w:type="dxa" w:w="100"/>
              <w:right w:type="dxa" w:w="140"/>
            </w:tcMar>
            <w:vAlign w:val="center"/>
          </w:tcPr>
          <w:p>
            <w:pPr>
              <w:jc w:val="left"/>
            </w:pPr>
            <w:r>
              <w:rPr>
                <w:b/>
                <w:bCs/>
                <w:color w:val="2F5D8A"/>
                <w:sz w:val="19"/>
                <w:szCs w:val="19"/>
              </w:rPr>
              <w:t xml:space="preserve">argmax + margin</w:t>
            </w:r>
          </w:p>
        </w:tc>
        <w:tc>
          <w:tcPr>
            <w:tcW w:type="dxa" w:w="6400"/>
            <w:shd w:fill="FFFFFF" w:val="clear"/>
            <w:tcMar>
              <w:top w:type="dxa" w:w="100"/>
              <w:left w:type="dxa" w:w="140"/>
              <w:bottom w:type="dxa" w:w="100"/>
              <w:right w:type="dxa" w:w="140"/>
            </w:tcMar>
            <w:vAlign w:val="center"/>
          </w:tcPr>
          <w:p>
            <w:pPr>
              <w:jc w:val="left"/>
            </w:pPr>
            <w:r>
              <w:rPr>
                <w:b w:val="false"/>
                <w:bCs w:val="false"/>
                <w:color w:val="1C1C1A"/>
                <w:sz w:val="18"/>
                <w:szCs w:val="18"/>
              </w:rPr>
              <w:t xml:space="preserve">highest-scoring candidate wins; margin = winner score − runner-up score (shown to the teacher).</w:t>
            </w:r>
          </w:p>
        </w:tc>
      </w:tr>
      <w:tr>
        <w:tc>
          <w:tcPr>
            <w:tcW w:type="dxa" w:w="500"/>
            <w:shd w:fill="E4F1E9" w:val="clear"/>
            <w:tcMar>
              <w:top w:type="dxa" w:w="100"/>
              <w:left w:type="dxa" w:w="140"/>
              <w:bottom w:type="dxa" w:w="100"/>
              <w:right w:type="dxa" w:w="140"/>
            </w:tcMar>
            <w:vAlign w:val="center"/>
          </w:tcPr>
          <w:p>
            <w:pPr>
              <w:jc w:val="center"/>
            </w:pPr>
            <w:r>
              <w:rPr>
                <w:b/>
                <w:bCs/>
                <w:color w:val="2F7D4F"/>
                <w:sz w:val="22"/>
                <w:szCs w:val="22"/>
              </w:rPr>
              <w:t xml:space="preserve">6</w:t>
            </w:r>
          </w:p>
        </w:tc>
        <w:tc>
          <w:tcPr>
            <w:tcW w:type="dxa" w:w="2100"/>
            <w:shd w:fill="E4F1E9" w:val="clear"/>
            <w:tcMar>
              <w:top w:type="dxa" w:w="100"/>
              <w:left w:type="dxa" w:w="140"/>
              <w:bottom w:type="dxa" w:w="100"/>
              <w:right w:type="dxa" w:w="140"/>
            </w:tcMar>
            <w:vAlign w:val="center"/>
          </w:tcPr>
          <w:p>
            <w:pPr>
              <w:jc w:val="left"/>
            </w:pPr>
            <w:r>
              <w:rPr>
                <w:b/>
                <w:bCs/>
                <w:color w:val="2F7D4F"/>
                <w:sz w:val="19"/>
                <w:szCs w:val="19"/>
              </w:rPr>
              <w:t xml:space="preserve">Verdict</w:t>
            </w:r>
          </w:p>
        </w:tc>
        <w:tc>
          <w:tcPr>
            <w:tcW w:type="dxa" w:w="6400"/>
            <w:shd w:fill="FFFFFF" w:val="clear"/>
            <w:tcMar>
              <w:top w:type="dxa" w:w="100"/>
              <w:left w:type="dxa" w:w="140"/>
              <w:bottom w:type="dxa" w:w="100"/>
              <w:right w:type="dxa" w:w="140"/>
            </w:tcMar>
            <w:vAlign w:val="center"/>
          </w:tcPr>
          <w:p>
            <w:pPr>
              <w:jc w:val="left"/>
            </w:pPr>
            <w:r>
              <w:rPr>
                <w:b w:val="false"/>
                <w:bCs w:val="false"/>
                <w:color w:val="1C1C1A"/>
                <w:sz w:val="18"/>
                <w:szCs w:val="18"/>
              </w:rPr>
              <w:t xml:space="preserve">the winning candidate IS the verdict — correct if it equals the expected letter, else the wrong letter is named.</w:t>
            </w:r>
          </w:p>
        </w:tc>
      </w:tr>
    </w:tbl>
    <w:p>
      <w:pPr>
        <w:spacing w:after="260" w:before="60"/>
        <w:jc w:val="center"/>
      </w:pPr>
      <w:r>
        <w:rPr>
          <w:i/>
          <w:iCs/>
          <w:color w:val="5B5B57"/>
          <w:sz w:val="18"/>
          <w:szCs w:val="18"/>
        </w:rPr>
        <w:t xml:space="preserve">Figure 2 — six-step closed-set decision. Step 5 IS the verdict; nothing downstream can overrule it.</w:t>
      </w:r>
    </w:p>
    <w:p>
      <w:pPr>
        <w:pStyle w:val="Heading2"/>
        <w:spacing w:after="120" w:before="280"/>
      </w:pPr>
      <w:r>
        <w:rPr>
          <w:b/>
          <w:bCs/>
          <w:color w:val="1C1C1A"/>
          <w:sz w:val="24"/>
          <w:szCs w:val="24"/>
        </w:rPr>
        <w:t xml:space="preserve">3.1 Step 1 — Force-align</w:t>
      </w:r>
    </w:p>
    <w:p>
      <w:pPr>
        <w:spacing w:after="140" w:line="300"/>
      </w:pPr>
      <w:r>
        <w:rPr>
          <w:b w:val="false"/>
          <w:bCs w:val="false"/>
          <w:i w:val="false"/>
          <w:iCs w:val="false"/>
          <w:color w:val="1C1C1A"/>
          <w:sz w:val="21"/>
          <w:szCs w:val="21"/>
        </w:rPr>
        <w:t xml:space="preserve">The acoustic model (Vakyansh wav2vec2, CTC-based) produces a log-probability matrix of shape (frames × vocabulary) for the recording. Viterbi forced alignment walks this matrix to find roughly which frames correspond to the expected letter — not by freely decoding the audio, but by being forced to search for a specific, already-known target.</w:t>
      </w:r>
    </w:p>
    <w:p>
      <w:pPr>
        <w:pStyle w:val="Heading2"/>
        <w:spacing w:after="120" w:before="280"/>
      </w:pPr>
      <w:r>
        <w:rPr>
          <w:b/>
          <w:bCs/>
          <w:color w:val="1C1C1A"/>
          <w:sz w:val="24"/>
          <w:szCs w:val="24"/>
        </w:rPr>
        <w:t xml:space="preserve">3.2 Step 2 — Build the candidate set</w:t>
      </w:r>
    </w:p>
    <w:p>
      <w:pPr>
        <w:spacing w:after="140" w:line="300"/>
      </w:pPr>
      <w:r>
        <w:rPr>
          <w:b w:val="false"/>
          <w:bCs w:val="false"/>
          <w:i w:val="false"/>
          <w:iCs w:val="false"/>
          <w:color w:val="1C1C1A"/>
          <w:sz w:val="21"/>
          <w:szCs w:val="21"/>
        </w:rPr>
        <w:t xml:space="preserve">The candidate set is small and deliberate: the expected letter, plus a handful of letters it is genuinely confusable with, drawn from a hand-curated confusion table (readnet/languages/devanagari.py). This is the same table used by the word/paragraph rulebook to classify substitutions, reused here for letters. Categories:</w:t>
      </w:r>
    </w:p>
    <w:p>
      <w:pPr>
        <w:pStyle w:val="ListParagraph"/>
        <w:numPr>
          <w:ilvl w:val="0"/>
          <w:numId w:val="2"/>
        </w:numPr>
        <w:spacing w:after="90" w:line="280"/>
      </w:pPr>
      <w:r>
        <w:rPr>
          <w:b w:val="false"/>
          <w:bCs w:val="false"/>
          <w:color w:val="1C1C1A"/>
          <w:sz w:val="21"/>
          <w:szCs w:val="21"/>
        </w:rPr>
        <w:t xml:space="preserve">Aspiration — क vs ख, ग vs घ (breath after the consonant)</w:t>
      </w:r>
    </w:p>
    <w:p>
      <w:pPr>
        <w:pStyle w:val="ListParagraph"/>
        <w:numPr>
          <w:ilvl w:val="0"/>
          <w:numId w:val="2"/>
        </w:numPr>
        <w:spacing w:after="90" w:line="280"/>
      </w:pPr>
      <w:r>
        <w:rPr>
          <w:b w:val="false"/>
          <w:bCs w:val="false"/>
          <w:color w:val="1C1C1A"/>
          <w:sz w:val="21"/>
          <w:szCs w:val="21"/>
        </w:rPr>
        <w:t xml:space="preserve">Voicing — क vs ग, त vs द (vocal-cord buzz or not)</w:t>
      </w:r>
    </w:p>
    <w:p>
      <w:pPr>
        <w:pStyle w:val="ListParagraph"/>
        <w:numPr>
          <w:ilvl w:val="0"/>
          <w:numId w:val="2"/>
        </w:numPr>
        <w:spacing w:after="90" w:line="280"/>
      </w:pPr>
      <w:r>
        <w:rPr>
          <w:b w:val="false"/>
          <w:bCs w:val="false"/>
          <w:color w:val="1C1C1A"/>
          <w:sz w:val="21"/>
          <w:szCs w:val="21"/>
        </w:rPr>
        <w:t xml:space="preserve">Retroflex ↔ dental — ट vs त, ड vs द (tongue position)</w:t>
      </w:r>
    </w:p>
    <w:p>
      <w:pPr>
        <w:pStyle w:val="ListParagraph"/>
        <w:numPr>
          <w:ilvl w:val="0"/>
          <w:numId w:val="2"/>
        </w:numPr>
        <w:spacing w:after="90" w:line="280"/>
      </w:pPr>
      <w:r>
        <w:rPr>
          <w:b w:val="false"/>
          <w:bCs w:val="false"/>
          <w:color w:val="1C1C1A"/>
          <w:sz w:val="21"/>
          <w:szCs w:val="21"/>
        </w:rPr>
        <w:t xml:space="preserve">Sibilant — श vs स vs ष (hissing-sound family)</w:t>
      </w:r>
    </w:p>
    <w:p>
      <w:pPr>
        <w:pStyle w:val="ListParagraph"/>
        <w:numPr>
          <w:ilvl w:val="0"/>
          <w:numId w:val="2"/>
        </w:numPr>
        <w:spacing w:after="90" w:line="280"/>
      </w:pPr>
      <w:r>
        <w:rPr>
          <w:b w:val="false"/>
          <w:bCs w:val="false"/>
          <w:color w:val="1C1C1A"/>
          <w:sz w:val="21"/>
          <w:szCs w:val="21"/>
        </w:rPr>
        <w:t xml:space="preserve">Visual look-alike — ब vs व (letters children misread on the page, not mis-hear)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1C1C1A" w:val="clear"/>
            <w:tcMar>
              <w:top w:type="dxa" w:w="100"/>
              <w:left w:type="dxa" w:w="140"/>
              <w:bottom w:type="dxa" w:w="100"/>
              <w:right w:type="dxa" w:w="140"/>
            </w:tcMar>
            <w:vAlign w:val="center"/>
          </w:tcPr>
          <w:p>
            <w:pPr>
              <w:jc w:val="center"/>
            </w:pPr>
            <w:r>
              <w:rPr>
                <w:b/>
                <w:bCs/>
                <w:color w:val="FFFFFF"/>
                <w:sz w:val="19"/>
                <w:szCs w:val="19"/>
              </w:rPr>
              <w:t xml:space="preserve">Expected</w:t>
            </w:r>
          </w:p>
        </w:tc>
        <w:tc>
          <w:tcPr>
            <w:tcW w:type="dxa" w:w="3200"/>
            <w:shd w:fill="1C1C1A" w:val="clear"/>
            <w:tcMar>
              <w:top w:type="dxa" w:w="100"/>
              <w:left w:type="dxa" w:w="140"/>
              <w:bottom w:type="dxa" w:w="100"/>
              <w:right w:type="dxa" w:w="140"/>
            </w:tcMar>
            <w:vAlign w:val="center"/>
          </w:tcPr>
          <w:p>
            <w:pPr>
              <w:jc w:val="center"/>
            </w:pPr>
            <w:r>
              <w:rPr>
                <w:b/>
                <w:bCs/>
                <w:color w:val="FFFFFF"/>
                <w:sz w:val="19"/>
                <w:szCs w:val="19"/>
              </w:rPr>
              <w:t xml:space="preserve">Confusion category</w:t>
            </w:r>
          </w:p>
        </w:tc>
        <w:tc>
          <w:tcPr>
            <w:tcW w:type="dxa" w:w="4000"/>
            <w:shd w:fill="1C1C1A" w:val="clear"/>
            <w:tcMar>
              <w:top w:type="dxa" w:w="100"/>
              <w:left w:type="dxa" w:w="140"/>
              <w:bottom w:type="dxa" w:w="100"/>
              <w:right w:type="dxa" w:w="140"/>
            </w:tcMar>
            <w:vAlign w:val="center"/>
          </w:tcPr>
          <w:p>
            <w:pPr>
              <w:jc w:val="center"/>
            </w:pPr>
            <w:r>
              <w:rPr>
                <w:b/>
                <w:bCs/>
                <w:color w:val="FFFFFF"/>
                <w:sz w:val="19"/>
                <w:szCs w:val="19"/>
              </w:rPr>
              <w:t xml:space="preserve">Candidates compared</w:t>
            </w:r>
          </w:p>
        </w:tc>
      </w:tr>
      <w:tr>
        <w:tc>
          <w:tcPr>
            <w:tcW w:type="dxa" w:w="1800"/>
            <w:tcMar>
              <w:top w:type="dxa" w:w="100"/>
              <w:left w:type="dxa" w:w="140"/>
              <w:bottom w:type="dxa" w:w="100"/>
              <w:right w:type="dxa" w:w="140"/>
            </w:tcMar>
            <w:vAlign w:val="center"/>
          </w:tcPr>
          <w:p>
            <w:pPr>
              <w:jc w:val="center"/>
            </w:pPr>
            <w:r>
              <w:rPr>
                <w:b w:val="false"/>
                <w:bCs w:val="false"/>
                <w:color w:val="1C1C1A"/>
                <w:sz w:val="19"/>
                <w:szCs w:val="19"/>
              </w:rPr>
              <w:t xml:space="preserve">ख  (kha)</w:t>
            </w:r>
          </w:p>
        </w:tc>
        <w:tc>
          <w:tcPr>
            <w:tcW w:type="dxa" w:w="3200"/>
            <w:tcMar>
              <w:top w:type="dxa" w:w="100"/>
              <w:left w:type="dxa" w:w="140"/>
              <w:bottom w:type="dxa" w:w="100"/>
              <w:right w:type="dxa" w:w="140"/>
            </w:tcMar>
            <w:vAlign w:val="center"/>
          </w:tcPr>
          <w:p>
            <w:pPr>
              <w:jc w:val="left"/>
            </w:pPr>
            <w:r>
              <w:rPr>
                <w:b w:val="false"/>
                <w:bCs w:val="false"/>
                <w:color w:val="1C1C1A"/>
                <w:sz w:val="18"/>
                <w:szCs w:val="18"/>
              </w:rPr>
              <w:t xml:space="preserve">aspiration</w:t>
            </w:r>
          </w:p>
        </w:tc>
        <w:tc>
          <w:tcPr>
            <w:tcW w:type="dxa" w:w="40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ख, क  (kha vs ka)</w:t>
            </w:r>
          </w:p>
        </w:tc>
      </w:tr>
      <w:tr>
        <w:tc>
          <w:tcPr>
            <w:tcW w:type="dxa" w:w="1800"/>
            <w:tcMar>
              <w:top w:type="dxa" w:w="100"/>
              <w:left w:type="dxa" w:w="140"/>
              <w:bottom w:type="dxa" w:w="100"/>
              <w:right w:type="dxa" w:w="140"/>
            </w:tcMar>
            <w:vAlign w:val="center"/>
          </w:tcPr>
          <w:p>
            <w:pPr>
              <w:jc w:val="center"/>
            </w:pPr>
            <w:r>
              <w:rPr>
                <w:b w:val="false"/>
                <w:bCs w:val="false"/>
                <w:color w:val="1C1C1A"/>
                <w:sz w:val="19"/>
                <w:szCs w:val="19"/>
              </w:rPr>
              <w:t xml:space="preserve">घ  (gha)</w:t>
            </w:r>
          </w:p>
        </w:tc>
        <w:tc>
          <w:tcPr>
            <w:tcW w:type="dxa" w:w="3200"/>
            <w:tcMar>
              <w:top w:type="dxa" w:w="100"/>
              <w:left w:type="dxa" w:w="140"/>
              <w:bottom w:type="dxa" w:w="100"/>
              <w:right w:type="dxa" w:w="140"/>
            </w:tcMar>
            <w:vAlign w:val="center"/>
          </w:tcPr>
          <w:p>
            <w:pPr>
              <w:jc w:val="left"/>
            </w:pPr>
            <w:r>
              <w:rPr>
                <w:b w:val="false"/>
                <w:bCs w:val="false"/>
                <w:color w:val="1C1C1A"/>
                <w:sz w:val="18"/>
                <w:szCs w:val="18"/>
              </w:rPr>
              <w:t xml:space="preserve">aspiration + voicing</w:t>
            </w:r>
          </w:p>
        </w:tc>
        <w:tc>
          <w:tcPr>
            <w:tcW w:type="dxa" w:w="40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घ, ग, ख  (gha vs ga vs kha)</w:t>
            </w:r>
          </w:p>
        </w:tc>
      </w:tr>
      <w:tr>
        <w:tc>
          <w:tcPr>
            <w:tcW w:type="dxa" w:w="1800"/>
            <w:tcMar>
              <w:top w:type="dxa" w:w="100"/>
              <w:left w:type="dxa" w:w="140"/>
              <w:bottom w:type="dxa" w:w="100"/>
              <w:right w:type="dxa" w:w="140"/>
            </w:tcMar>
            <w:vAlign w:val="center"/>
          </w:tcPr>
          <w:p>
            <w:pPr>
              <w:jc w:val="center"/>
            </w:pPr>
            <w:r>
              <w:rPr>
                <w:b w:val="false"/>
                <w:bCs w:val="false"/>
                <w:color w:val="1C1C1A"/>
                <w:sz w:val="19"/>
                <w:szCs w:val="19"/>
              </w:rPr>
              <w:t xml:space="preserve">ट  (ṭa)</w:t>
            </w:r>
          </w:p>
        </w:tc>
        <w:tc>
          <w:tcPr>
            <w:tcW w:type="dxa" w:w="3200"/>
            <w:tcMar>
              <w:top w:type="dxa" w:w="100"/>
              <w:left w:type="dxa" w:w="140"/>
              <w:bottom w:type="dxa" w:w="100"/>
              <w:right w:type="dxa" w:w="140"/>
            </w:tcMar>
            <w:vAlign w:val="center"/>
          </w:tcPr>
          <w:p>
            <w:pPr>
              <w:jc w:val="left"/>
            </w:pPr>
            <w:r>
              <w:rPr>
                <w:b w:val="false"/>
                <w:bCs w:val="false"/>
                <w:color w:val="1C1C1A"/>
                <w:sz w:val="18"/>
                <w:szCs w:val="18"/>
              </w:rPr>
              <w:t xml:space="preserve">retroflex ↔ dental</w:t>
            </w:r>
          </w:p>
        </w:tc>
        <w:tc>
          <w:tcPr>
            <w:tcW w:type="dxa" w:w="40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ट, त  (ṭa vs ta)</w:t>
            </w:r>
          </w:p>
        </w:tc>
      </w:tr>
      <w:tr>
        <w:tc>
          <w:tcPr>
            <w:tcW w:type="dxa" w:w="1800"/>
            <w:tcMar>
              <w:top w:type="dxa" w:w="100"/>
              <w:left w:type="dxa" w:w="140"/>
              <w:bottom w:type="dxa" w:w="100"/>
              <w:right w:type="dxa" w:w="140"/>
            </w:tcMar>
            <w:vAlign w:val="center"/>
          </w:tcPr>
          <w:p>
            <w:pPr>
              <w:jc w:val="center"/>
            </w:pPr>
            <w:r>
              <w:rPr>
                <w:b w:val="false"/>
                <w:bCs w:val="false"/>
                <w:color w:val="1C1C1A"/>
                <w:sz w:val="19"/>
                <w:szCs w:val="19"/>
              </w:rPr>
              <w:t xml:space="preserve">श  (śa)</w:t>
            </w:r>
          </w:p>
        </w:tc>
        <w:tc>
          <w:tcPr>
            <w:tcW w:type="dxa" w:w="3200"/>
            <w:tcMar>
              <w:top w:type="dxa" w:w="100"/>
              <w:left w:type="dxa" w:w="140"/>
              <w:bottom w:type="dxa" w:w="100"/>
              <w:right w:type="dxa" w:w="140"/>
            </w:tcMar>
            <w:vAlign w:val="center"/>
          </w:tcPr>
          <w:p>
            <w:pPr>
              <w:jc w:val="left"/>
            </w:pPr>
            <w:r>
              <w:rPr>
                <w:b w:val="false"/>
                <w:bCs w:val="false"/>
                <w:color w:val="1C1C1A"/>
                <w:sz w:val="18"/>
                <w:szCs w:val="18"/>
              </w:rPr>
              <w:t xml:space="preserve">sibilant</w:t>
            </w:r>
          </w:p>
        </w:tc>
        <w:tc>
          <w:tcPr>
            <w:tcW w:type="dxa" w:w="40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श, स, ष  (śa vs sa vs ṣa)</w:t>
            </w:r>
          </w:p>
        </w:tc>
      </w:tr>
      <w:tr>
        <w:tc>
          <w:tcPr>
            <w:tcW w:type="dxa" w:w="1800"/>
            <w:tcMar>
              <w:top w:type="dxa" w:w="100"/>
              <w:left w:type="dxa" w:w="140"/>
              <w:bottom w:type="dxa" w:w="100"/>
              <w:right w:type="dxa" w:w="140"/>
            </w:tcMar>
            <w:vAlign w:val="center"/>
          </w:tcPr>
          <w:p>
            <w:pPr>
              <w:jc w:val="center"/>
            </w:pPr>
            <w:r>
              <w:rPr>
                <w:b w:val="false"/>
                <w:bCs w:val="false"/>
                <w:color w:val="1C1C1A"/>
                <w:sz w:val="19"/>
                <w:szCs w:val="19"/>
              </w:rPr>
              <w:t xml:space="preserve">ब  (ba)</w:t>
            </w:r>
          </w:p>
        </w:tc>
        <w:tc>
          <w:tcPr>
            <w:tcW w:type="dxa" w:w="3200"/>
            <w:tcMar>
              <w:top w:type="dxa" w:w="100"/>
              <w:left w:type="dxa" w:w="140"/>
              <w:bottom w:type="dxa" w:w="100"/>
              <w:right w:type="dxa" w:w="140"/>
            </w:tcMar>
            <w:vAlign w:val="center"/>
          </w:tcPr>
          <w:p>
            <w:pPr>
              <w:jc w:val="left"/>
            </w:pPr>
            <w:r>
              <w:rPr>
                <w:b w:val="false"/>
                <w:bCs w:val="false"/>
                <w:color w:val="1C1C1A"/>
                <w:sz w:val="18"/>
                <w:szCs w:val="18"/>
              </w:rPr>
              <w:t xml:space="preserve">visual look-alike</w:t>
            </w:r>
          </w:p>
        </w:tc>
        <w:tc>
          <w:tcPr>
            <w:tcW w:type="dxa" w:w="40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ब, व  (ba vs va)</w:t>
            </w:r>
          </w:p>
        </w:tc>
      </w:tr>
    </w:tbl>
    <w:p>
      <w:pPr>
        <w:spacing w:after="260" w:before="60"/>
        <w:jc w:val="center"/>
      </w:pPr>
      <w:r>
        <w:rPr>
          <w:i/>
          <w:iCs/>
          <w:color w:val="5B5B57"/>
          <w:sz w:val="18"/>
          <w:szCs w:val="18"/>
        </w:rPr>
        <w:t xml:space="preserve">Figure 3 — example rows from the confusion table. The candidate set is always 2–4 letters, never all 33+ consonants.</w:t>
      </w:r>
    </w:p>
    <w:p>
      <w:pPr>
        <w:pStyle w:val="Heading2"/>
        <w:spacing w:after="120" w:before="280"/>
      </w:pPr>
      <w:r>
        <w:rPr>
          <w:b/>
          <w:bCs/>
          <w:color w:val="1C1C1A"/>
          <w:sz w:val="24"/>
          <w:szCs w:val="24"/>
        </w:rPr>
        <w:t xml:space="preserve">3.3 Step 3 — Widen the search window</w:t>
      </w:r>
    </w:p>
    <w:p>
      <w:pPr>
        <w:spacing w:after="140" w:line="300"/>
      </w:pPr>
      <w:r>
        <w:rPr>
          <w:b w:val="false"/>
          <w:bCs w:val="false"/>
          <w:i w:val="false"/>
          <w:iCs w:val="false"/>
          <w:color w:val="1C1C1A"/>
          <w:sz w:val="21"/>
          <w:szCs w:val="21"/>
        </w:rPr>
        <w:t xml:space="preserve">A real fix applied during testing: the peak search was originally restricted to the exact (sometimes single-frame) span Viterbi assigned to the letter, which missed the true peak in fast or connected speech. The window is now widened to the midpoint with each neighbouring letter’s span before scoring, giving the scorer room to find the sound’s real peak instead of an artificially narrow slice.</w:t>
      </w:r>
    </w:p>
    <w:p>
      <w:pPr>
        <w:pStyle w:val="Heading2"/>
        <w:spacing w:after="120" w:before="280"/>
      </w:pPr>
      <w:r>
        <w:rPr>
          <w:b/>
          <w:bCs/>
          <w:color w:val="1C1C1A"/>
          <w:sz w:val="24"/>
          <w:szCs w:val="24"/>
        </w:rPr>
        <w:t xml:space="preserve">3.4 Step 4 — Score every candidate</w:t>
      </w:r>
    </w:p>
    <w:p>
      <w:pPr>
        <w:spacing w:after="140" w:line="300"/>
      </w:pPr>
      <w:r>
        <w:rPr>
          <w:b w:val="false"/>
          <w:bCs w:val="false"/>
          <w:i w:val="false"/>
          <w:iCs w:val="false"/>
          <w:color w:val="1C1C1A"/>
          <w:sz w:val="21"/>
          <w:szCs w:val="21"/>
        </w:rPr>
        <w:t xml:space="preserve">ctc_path_score() is computed for the expected letter and every rival in the candidate set, at each candidate’s strongest frame inside the widened window. This produces one comparable score per candidate.</w:t>
      </w:r>
    </w:p>
    <w:p>
      <w:pPr>
        <w:pStyle w:val="Heading2"/>
        <w:spacing w:after="120" w:before="280"/>
      </w:pPr>
      <w:r>
        <w:rPr>
          <w:b/>
          <w:bCs/>
          <w:color w:val="1C1C1A"/>
          <w:sz w:val="24"/>
          <w:szCs w:val="24"/>
        </w:rPr>
        <w:t xml:space="preserve">3.5 Step 5 — argmax and margin</w:t>
      </w:r>
    </w:p>
    <w:p>
      <w:pPr>
        <w:shd w:fill="F3F2ED" w:val="clear"/>
        <w:spacing w:after="140"/>
      </w:pPr>
      <w:r>
        <w:rPr>
          <w:rFonts w:ascii="Consolas" w:cs="Consolas" w:eastAsia="Consolas" w:hAnsi="Consolas"/>
          <w:color w:val="1C1C1A"/>
          <w:sz w:val="19"/>
          <w:szCs w:val="19"/>
        </w:rPr>
        <w:t xml:space="preserve">winner   = candidate with the highest score
margin   = winner_score − runner_up_score</w:t>
      </w:r>
    </w:p>
    <w:p>
      <w:pPr>
        <w:spacing w:after="140" w:line="300"/>
      </w:pPr>
      <w:r>
        <w:rPr>
          <w:b w:val="false"/>
          <w:bCs w:val="false"/>
          <w:i w:val="false"/>
          <w:iCs w:val="false"/>
          <w:color w:val="1C1C1A"/>
          <w:sz w:val="21"/>
          <w:szCs w:val="21"/>
        </w:rPr>
        <w:t xml:space="preserve">The margin is shown to the teacher alongside the verdict — a wide margin means a confident call, a narrow one flags a close, borderline sound worth a human listen.</w:t>
      </w:r>
    </w:p>
    <w:p>
      <w:pPr>
        <w:pStyle w:val="Heading2"/>
        <w:spacing w:after="120" w:before="280"/>
      </w:pPr>
      <w:r>
        <w:rPr>
          <w:b/>
          <w:bCs/>
          <w:color w:val="1C1C1A"/>
          <w:sz w:val="24"/>
          <w:szCs w:val="24"/>
        </w:rPr>
        <w:t xml:space="preserve">3.6 Step 6 — Verdict</w:t>
      </w:r>
    </w:p>
    <w:p>
      <w:pPr>
        <w:spacing w:after="140" w:line="300"/>
      </w:pPr>
      <w:r>
        <w:rPr>
          <w:b w:val="false"/>
          <w:bCs w:val="false"/>
          <w:i w:val="false"/>
          <w:iCs w:val="false"/>
          <w:color w:val="1C1C1A"/>
          <w:sz w:val="21"/>
          <w:szCs w:val="21"/>
        </w:rPr>
        <w:t xml:space="preserve">Whichever candidate wins step 5 IS the verdict. If the winner equals the expected letter, the letter is marked correct; otherwise the specific wrong letter the child said is named (e.g. “said ग instead of घ”). No later stage — including GOP — is consulted to confirm or override this.</w:t>
      </w:r>
    </w:p>
    <w:p>
      <w:pPr>
        <w:pStyle w:val="Heading1"/>
        <w:pBdr>
          <w:bottom w:val="single" w:color="1C1C1A" w:sz="6" w:space="4"/>
        </w:pBdr>
        <w:spacing w:after="160" w:before="360"/>
      </w:pPr>
      <w:r>
        <w:rPr>
          <w:b/>
          <w:bCs/>
          <w:color w:val="1C1C1A"/>
          <w:sz w:val="30"/>
          <w:szCs w:val="30"/>
        </w:rPr>
        <w:t xml:space="preserve">4. GOP: computed, shown, never decides</w:t>
      </w:r>
    </w:p>
    <w:p>
      <w:pPr>
        <w:spacing w:after="140" w:line="300"/>
      </w:pPr>
      <w:r>
        <w:rPr>
          <w:b w:val="false"/>
          <w:bCs w:val="false"/>
          <w:i w:val="false"/>
          <w:iCs w:val="false"/>
          <w:color w:val="1C1C1A"/>
          <w:sz w:val="21"/>
          <w:szCs w:val="21"/>
        </w:rPr>
        <w:t xml:space="preserve">GOP (Goodness of Pronunciation) is computed for letters too and displayed to the teacher, but it is explicitly prevented from changing the letter verdict. The design reason: GOP is an absolute test (must beat every symbol in the vocabulary, including silence), which is a much stricter and currently uncalibrated-on-real-microphones bar than the letter check’s relative test (beat only 2–4 named rivals).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4F1E9" w:val="clear"/>
            <w:tcMar>
              <w:top w:type="dxa" w:w="100"/>
              <w:left w:type="dxa" w:w="140"/>
              <w:bottom w:type="dxa" w:w="100"/>
              <w:right w:type="dxa" w:w="140"/>
            </w:tcMar>
            <w:vAlign w:val="center"/>
          </w:tcPr>
          <w:p>
            <w:pPr>
              <w:jc w:val="center"/>
            </w:pPr>
            <w:r>
              <w:rPr>
                <w:b/>
                <w:bCs/>
                <w:color w:val="2F7D4F"/>
                <w:sz w:val="19"/>
                <w:szCs w:val="19"/>
              </w:rPr>
              <w:t xml:space="preserve">LETTER CHECK  (decides)</w:t>
            </w:r>
          </w:p>
        </w:tc>
        <w:tc>
          <w:tcPr>
            <w:tcW w:type="dxa" w:w="4500"/>
            <w:shd w:fill="F3F2ED" w:val="clear"/>
            <w:tcMar>
              <w:top w:type="dxa" w:w="100"/>
              <w:left w:type="dxa" w:w="140"/>
              <w:bottom w:type="dxa" w:w="100"/>
              <w:right w:type="dxa" w:w="140"/>
            </w:tcMar>
            <w:vAlign w:val="center"/>
          </w:tcPr>
          <w:p>
            <w:pPr>
              <w:jc w:val="center"/>
            </w:pPr>
            <w:r>
              <w:rPr>
                <w:b/>
                <w:bCs/>
                <w:color w:val="5B5B57"/>
                <w:sz w:val="19"/>
                <w:szCs w:val="19"/>
              </w:rPr>
              <w:t xml:space="preserve">GOP  (advisory only)</w:t>
            </w:r>
          </w:p>
        </w:tc>
      </w:tr>
      <w:tr>
        <w:tc>
          <w:tcPr>
            <w:tcW w:type="dxa" w:w="4500"/>
            <w:tcMar>
              <w:top w:type="dxa" w:w="100"/>
              <w:left w:type="dxa" w:w="140"/>
              <w:bottom w:type="dxa" w:w="100"/>
              <w:right w:type="dxa" w:w="140"/>
            </w:tcMar>
            <w:vAlign w:val="center"/>
          </w:tcPr>
          <w:p>
            <w:pPr>
              <w:jc w:val="center"/>
            </w:pPr>
            <w:r>
              <w:rPr>
                <w:b w:val="false"/>
                <w:bCs w:val="false"/>
                <w:color w:val="1C1C1A"/>
                <w:sz w:val="18"/>
                <w:szCs w:val="18"/>
              </w:rPr>
              <w:t xml:space="preserve">Relative test: beat 2–4 named rivals from the confusion list.</w:t>
            </w:r>
          </w:p>
        </w:tc>
        <w:tc>
          <w:tcPr>
            <w:tcW w:type="dxa" w:w="4500"/>
            <w:tcMar>
              <w:top w:type="dxa" w:w="100"/>
              <w:left w:type="dxa" w:w="140"/>
              <w:bottom w:type="dxa" w:w="100"/>
              <w:right w:type="dxa" w:w="140"/>
            </w:tcMar>
            <w:vAlign w:val="center"/>
          </w:tcPr>
          <w:p>
            <w:pPr>
              <w:jc w:val="center"/>
            </w:pPr>
            <w:r>
              <w:rPr>
                <w:b w:val="false"/>
                <w:bCs w:val="false"/>
                <w:color w:val="1C1C1A"/>
                <w:sz w:val="18"/>
                <w:szCs w:val="18"/>
              </w:rPr>
              <w:t xml:space="preserve">Absolute test: beat every symbol in the vocabulary, including silence/blank.</w:t>
            </w:r>
          </w:p>
        </w:tc>
      </w:tr>
      <w:tr>
        <w:tc>
          <w:tcPr>
            <w:tcW w:type="dxa" w:w="4500"/>
            <w:tcMar>
              <w:top w:type="dxa" w:w="100"/>
              <w:left w:type="dxa" w:w="140"/>
              <w:bottom w:type="dxa" w:w="100"/>
              <w:right w:type="dxa" w:w="140"/>
            </w:tcMar>
            <w:vAlign w:val="center"/>
          </w:tcPr>
          <w:p>
            <w:pPr>
              <w:jc w:val="center"/>
            </w:pPr>
            <w:r>
              <w:rPr>
                <w:b w:val="false"/>
                <w:bCs w:val="false"/>
                <w:color w:val="1C1C1A"/>
                <w:sz w:val="18"/>
                <w:szCs w:val="18"/>
              </w:rPr>
              <w:t xml:space="preserve">Easier, well-scoped → reliable enough to BE the verdict.</w:t>
            </w:r>
          </w:p>
        </w:tc>
        <w:tc>
          <w:tcPr>
            <w:tcW w:type="dxa" w:w="4500"/>
            <w:tcMar>
              <w:top w:type="dxa" w:w="100"/>
              <w:left w:type="dxa" w:w="140"/>
              <w:bottom w:type="dxa" w:w="100"/>
              <w:right w:type="dxa" w:w="140"/>
            </w:tcMar>
            <w:vAlign w:val="center"/>
          </w:tcPr>
          <w:p>
            <w:pPr>
              <w:jc w:val="center"/>
            </w:pPr>
            <w:r>
              <w:rPr>
                <w:b w:val="false"/>
                <w:bCs w:val="false"/>
                <w:color w:val="1C1C1A"/>
                <w:sz w:val="18"/>
                <w:szCs w:val="18"/>
              </w:rPr>
              <w:t xml:space="preserve">Stricter, uncalibrated on real mics → shown for review, never used to override.</w:t>
            </w:r>
          </w:p>
        </w:tc>
      </w:tr>
      <w:tr>
        <w:tc>
          <w:tcPr>
            <w:tcW w:type="dxa" w:w="4500"/>
            <w:tcMar>
              <w:top w:type="dxa" w:w="100"/>
              <w:left w:type="dxa" w:w="140"/>
              <w:bottom w:type="dxa" w:w="100"/>
              <w:right w:type="dxa" w:w="140"/>
            </w:tcMar>
            <w:vAlign w:val="center"/>
          </w:tcPr>
          <w:p>
            <w:pPr>
              <w:jc w:val="center"/>
            </w:pPr>
            <w:r>
              <w:rPr>
                <w:rFonts w:ascii="Consolas" w:cs="Consolas" w:eastAsia="Consolas" w:hAnsi="Consolas"/>
                <w:b w:val="false"/>
                <w:bCs w:val="false"/>
                <w:color w:val="5B5B57"/>
                <w:sz w:val="17"/>
                <w:szCs w:val="17"/>
              </w:rPr>
              <w:t xml:space="preserve">code path: letter_decisions()</w:t>
            </w:r>
          </w:p>
        </w:tc>
        <w:tc>
          <w:tcPr>
            <w:tcW w:type="dxa" w:w="4500"/>
            <w:tcMar>
              <w:top w:type="dxa" w:w="100"/>
              <w:left w:type="dxa" w:w="140"/>
              <w:bottom w:type="dxa" w:w="100"/>
              <w:right w:type="dxa" w:w="140"/>
            </w:tcMar>
            <w:vAlign w:val="center"/>
          </w:tcPr>
          <w:p>
            <w:pPr>
              <w:jc w:val="center"/>
            </w:pPr>
            <w:r>
              <w:rPr>
                <w:rFonts w:ascii="Consolas" w:cs="Consolas" w:eastAsia="Consolas" w:hAnsi="Consolas"/>
                <w:b w:val="false"/>
                <w:bCs w:val="false"/>
                <w:color w:val="5B5B57"/>
                <w:sz w:val="17"/>
                <w:szCs w:val="17"/>
              </w:rPr>
              <w:t xml:space="preserve">code path: gop(), blocked by “not letter_task” guard in pipeline.py</w:t>
            </w:r>
          </w:p>
        </w:tc>
      </w:tr>
    </w:tbl>
    <w:p>
      <w:pPr>
        <w:spacing w:after="260" w:before="60"/>
        <w:jc w:val="center"/>
      </w:pPr>
      <w:r>
        <w:rPr>
          <w:i/>
          <w:iCs/>
          <w:color w:val="5B5B57"/>
          <w:sz w:val="18"/>
          <w:szCs w:val="18"/>
        </w:rPr>
        <w:t xml:space="preserve">Figure 4 — two scores are produced per letter; only one of them is allowed to decide.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7EEF5" w:val="clear"/>
            <w:tcMar>
              <w:top w:type="dxa" w:w="160"/>
              <w:left w:type="dxa" w:w="200"/>
              <w:bottom w:type="dxa" w:w="160"/>
              <w:right w:type="dxa" w:w="200"/>
            </w:tcMar>
          </w:tcPr>
          <w:p>
            <w:pPr>
              <w:spacing w:after="60"/>
            </w:pPr>
            <w:r>
              <w:rPr>
                <w:b/>
                <w:bCs/>
                <w:color w:val="2F5D8A"/>
                <w:sz w:val="20"/>
                <w:szCs w:val="20"/>
              </w:rPr>
              <w:t xml:space="preserve">Where this is enforced in code</w:t>
            </w:r>
          </w:p>
          <w:p>
            <w:r>
              <w:rPr>
                <w:color w:val="1C1C1A"/>
                <w:sz w:val="19"/>
                <w:szCs w:val="19"/>
              </w:rPr>
              <w:t xml:space="preserve">pipeline.py guards the audio-correction/override step with: “if audio_decides and acoustic is not None and gop_threshold is not None and not letter_task: …” — the “not letter_task” clause is what switches this override off specifically for letters. For words and paragraphs the same override is active and can rebuild a word from audio evidence; for letters it never fires.</w:t>
            </w:r>
          </w:p>
        </w:tc>
      </w:tr>
    </w:tbl>
    <w:p>
      <w:pPr>
        <w:pStyle w:val="Heading1"/>
        <w:pBdr>
          <w:bottom w:val="single" w:color="1C1C1A" w:sz="6" w:space="4"/>
        </w:pBdr>
        <w:spacing w:after="160" w:before="360"/>
      </w:pPr>
      <w:r>
        <w:rPr>
          <w:b/>
          <w:bCs/>
          <w:color w:val="1C1C1A"/>
          <w:sz w:val="30"/>
          <w:szCs w:val="30"/>
        </w:rPr>
        <w:t xml:space="preserve">5. Why this design, in one paragraph</w:t>
      </w:r>
    </w:p>
    <w:p>
      <w:pPr>
        <w:spacing w:after="140" w:line="300"/>
      </w:pPr>
      <w:r>
        <w:rPr>
          <w:b w:val="false"/>
          <w:bCs w:val="false"/>
          <w:i w:val="false"/>
          <w:iCs w:val="false"/>
          <w:color w:val="1C1C1A"/>
          <w:sz w:val="21"/>
          <w:szCs w:val="21"/>
        </w:rPr>
        <w:t xml:space="preserve">Word- and paragraph-level scoring can afford GOP as a correcting force because there is already a transcript to check it against, and a rulebook to decide what a disagreement means. A single isolated letter has neither: there is no transcript to distrust, and “not the expected letter” has no forgiveness rules the way a dropped nasal in a long word might. So the letter path is built to be self-contained and conservative — a narrow, well-scoped comparison the model can be trusted to make outright, with the stricter, less-calibrated GOP score kept visible as a second opinion rather than a second vote.</w:t>
      </w:r>
    </w:p>
    <w:p>
      <w:pPr>
        <w:pStyle w:val="Heading1"/>
        <w:pBdr>
          <w:bottom w:val="single" w:color="1C1C1A" w:sz="6" w:space="4"/>
        </w:pBdr>
        <w:spacing w:after="160" w:before="360"/>
      </w:pPr>
      <w:r>
        <w:rPr>
          <w:b/>
          <w:bCs/>
          <w:color w:val="1C1C1A"/>
          <w:sz w:val="30"/>
          <w:szCs w:val="30"/>
        </w:rPr>
        <w:t xml:space="preserve">6. Known limitation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F3DF" w:val="clear"/>
            <w:tcMar>
              <w:top w:type="dxa" w:w="160"/>
              <w:left w:type="dxa" w:w="200"/>
              <w:bottom w:type="dxa" w:w="160"/>
              <w:right w:type="dxa" w:w="200"/>
            </w:tcMar>
          </w:tcPr>
          <w:p>
            <w:pPr>
              <w:spacing w:after="60"/>
            </w:pPr>
            <w:r>
              <w:rPr>
                <w:b/>
                <w:bCs/>
                <w:color w:val="8A6A1A"/>
                <w:sz w:val="20"/>
                <w:szCs w:val="20"/>
              </w:rPr>
              <w:t xml:space="preserve">Open item</w:t>
            </w:r>
          </w:p>
          <w:p>
            <w:r>
              <w:rPr>
                <w:color w:val="1C1C1A"/>
                <w:sz w:val="19"/>
                <w:szCs w:val="19"/>
              </w:rPr>
              <w:t xml:space="preserve">The GOP threshold (default −2.0) was tuned on clean synthetic speech; real child microphones score lower across the board. Because GOP cannot override the letter verdict, this limitation affects only the advisory score shown alongside letters, not the verdict itself — but it is the reason GOP was kept advisory in the first place, and calibration against real, teacher-labelled recordings remains unfinished.</w:t>
            </w:r>
          </w:p>
        </w:tc>
      </w:tr>
    </w:tbl>
    <w:p>
      <w:pPr>
        <w:pStyle w:val="Heading1"/>
        <w:pBdr>
          <w:bottom w:val="single" w:color="1C1C1A" w:sz="6" w:space="4"/>
        </w:pBdr>
        <w:spacing w:after="160" w:before="360"/>
      </w:pPr>
      <w:r>
        <w:rPr>
          <w:b/>
          <w:bCs/>
          <w:color w:val="1C1C1A"/>
          <w:sz w:val="30"/>
          <w:szCs w:val="30"/>
        </w:rPr>
        <w:t xml:space="preserve">7. Reference — files involved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C1C1A" w:val="clear"/>
            <w:tcMar>
              <w:top w:type="dxa" w:w="100"/>
              <w:left w:type="dxa" w:w="140"/>
              <w:bottom w:type="dxa" w:w="100"/>
              <w:right w:type="dxa" w:w="140"/>
            </w:tcMar>
            <w:vAlign w:val="center"/>
          </w:tcPr>
          <w:p>
            <w:pPr>
              <w:jc w:val="left"/>
            </w:pPr>
            <w:r>
              <w:rPr>
                <w:b/>
                <w:bCs/>
                <w:color w:val="FFFFFF"/>
                <w:sz w:val="19"/>
                <w:szCs w:val="19"/>
              </w:rPr>
              <w:t xml:space="preserve">File</w:t>
            </w:r>
          </w:p>
        </w:tc>
        <w:tc>
          <w:tcPr>
            <w:tcW w:type="dxa" w:w="5800"/>
            <w:shd w:fill="1C1C1A" w:val="clear"/>
            <w:tcMar>
              <w:top w:type="dxa" w:w="100"/>
              <w:left w:type="dxa" w:w="140"/>
              <w:bottom w:type="dxa" w:w="100"/>
              <w:right w:type="dxa" w:w="140"/>
            </w:tcMar>
            <w:vAlign w:val="center"/>
          </w:tcPr>
          <w:p>
            <w:pPr>
              <w:jc w:val="left"/>
            </w:pPr>
            <w:r>
              <w:rPr>
                <w:b/>
                <w:bCs/>
                <w:color w:val="FFFFFF"/>
                <w:sz w:val="19"/>
                <w:szCs w:val="19"/>
              </w:rPr>
              <w:t xml:space="preserve">Role in the letter path</w:t>
            </w:r>
          </w:p>
        </w:tc>
      </w:tr>
      <w:tr>
        <w:tc>
          <w:tcPr>
            <w:tcW w:type="dxa" w:w="32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readnet/acoustic.py</w:t>
            </w:r>
          </w:p>
        </w:tc>
        <w:tc>
          <w:tcPr>
            <w:tcW w:type="dxa" w:w="5800"/>
            <w:tcMar>
              <w:top w:type="dxa" w:w="100"/>
              <w:left w:type="dxa" w:w="140"/>
              <w:bottom w:type="dxa" w:w="100"/>
              <w:right w:type="dxa" w:w="140"/>
            </w:tcMar>
            <w:vAlign w:val="center"/>
          </w:tcPr>
          <w:p>
            <w:pPr>
              <w:jc w:val="left"/>
            </w:pPr>
            <w:r>
              <w:rPr>
                <w:b w:val="false"/>
                <w:bCs w:val="false"/>
                <w:color w:val="1C1C1A"/>
                <w:sz w:val="18"/>
                <w:szCs w:val="18"/>
              </w:rPr>
              <w:t xml:space="preserve">letter_decisions(), ctc_path_score(), _viterbi(), gop()</w:t>
            </w:r>
          </w:p>
        </w:tc>
      </w:tr>
      <w:tr>
        <w:tc>
          <w:tcPr>
            <w:tcW w:type="dxa" w:w="32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readnet/languages/devanagari.py</w:t>
            </w:r>
          </w:p>
        </w:tc>
        <w:tc>
          <w:tcPr>
            <w:tcW w:type="dxa" w:w="5800"/>
            <w:tcMar>
              <w:top w:type="dxa" w:w="100"/>
              <w:left w:type="dxa" w:w="140"/>
              <w:bottom w:type="dxa" w:w="100"/>
              <w:right w:type="dxa" w:w="140"/>
            </w:tcMar>
            <w:vAlign w:val="center"/>
          </w:tcPr>
          <w:p>
            <w:pPr>
              <w:jc w:val="left"/>
            </w:pPr>
            <w:r>
              <w:rPr>
                <w:b w:val="false"/>
                <w:bCs w:val="false"/>
                <w:color w:val="1C1C1A"/>
                <w:sz w:val="18"/>
                <w:szCs w:val="18"/>
              </w:rPr>
              <w:t xml:space="preserve">hand-curated confusion tables (aspiration / voicing / retroflex-dental / sibilant / visual)</w:t>
            </w:r>
          </w:p>
        </w:tc>
      </w:tr>
      <w:tr>
        <w:tc>
          <w:tcPr>
            <w:tcW w:type="dxa" w:w="32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readnet/pipeline.py</w:t>
            </w:r>
          </w:p>
        </w:tc>
        <w:tc>
          <w:tcPr>
            <w:tcW w:type="dxa" w:w="5800"/>
            <w:tcMar>
              <w:top w:type="dxa" w:w="100"/>
              <w:left w:type="dxa" w:w="140"/>
              <w:bottom w:type="dxa" w:w="100"/>
              <w:right w:type="dxa" w:w="140"/>
            </w:tcMar>
            <w:vAlign w:val="center"/>
          </w:tcPr>
          <w:p>
            <w:pPr>
              <w:jc w:val="left"/>
            </w:pPr>
            <w:r>
              <w:rPr>
                <w:b w:val="false"/>
                <w:bCs w:val="false"/>
                <w:color w:val="1C1C1A"/>
                <w:sz w:val="18"/>
                <w:szCs w:val="18"/>
              </w:rPr>
              <w:t xml:space="preserve">is_letter_text(), the “not letter_task” guard that disables audio-override for letters</w:t>
            </w:r>
          </w:p>
        </w:tc>
      </w:tr>
      <w:tr>
        <w:tc>
          <w:tcPr>
            <w:tcW w:type="dxa" w:w="3200"/>
            <w:tcMar>
              <w:top w:type="dxa" w:w="100"/>
              <w:left w:type="dxa" w:w="140"/>
              <w:bottom w:type="dxa" w:w="100"/>
              <w:right w:type="dxa" w:w="140"/>
            </w:tcMar>
            <w:vAlign w:val="center"/>
          </w:tcPr>
          <w:p>
            <w:pPr>
              <w:jc w:val="left"/>
            </w:pPr>
            <w:r>
              <w:rPr>
                <w:rFonts w:ascii="Consolas" w:cs="Consolas" w:eastAsia="Consolas" w:hAnsi="Consolas"/>
                <w:b w:val="false"/>
                <w:bCs w:val="false"/>
                <w:color w:val="1C1C1A"/>
                <w:sz w:val="17"/>
                <w:szCs w:val="17"/>
              </w:rPr>
              <w:t xml:space="preserve">readnet/web/core.py</w:t>
            </w:r>
          </w:p>
        </w:tc>
        <w:tc>
          <w:tcPr>
            <w:tcW w:type="dxa" w:w="5800"/>
            <w:tcMar>
              <w:top w:type="dxa" w:w="100"/>
              <w:left w:type="dxa" w:w="140"/>
              <w:bottom w:type="dxa" w:w="100"/>
              <w:right w:type="dxa" w:w="140"/>
            </w:tcMar>
            <w:vAlign w:val="center"/>
          </w:tcPr>
          <w:p>
            <w:pPr>
              <w:jc w:val="left"/>
            </w:pPr>
            <w:r>
              <w:rPr>
                <w:b w:val="false"/>
                <w:bCs w:val="false"/>
                <w:color w:val="1C1C1A"/>
                <w:sz w:val="18"/>
                <w:szCs w:val="18"/>
              </w:rPr>
              <w:t xml:space="preserve">wires letter results into the scored result shared by server and browser</w:t>
            </w:r>
          </w:p>
        </w:tc>
      </w:tr>
    </w:tbl>
    <w:p>
      <w:pPr>
        <w:pBdr>
          <w:top w:val="single" w:color="D8D6CF" w:sz="4" w:space="8"/>
        </w:pBdr>
        <w:spacing w:before="400"/>
      </w:pPr>
      <w:r>
        <w:rPr>
          <w:i/>
          <w:iCs/>
          <w:color w:val="5B5B57"/>
          <w:sz w:val="17"/>
          <w:szCs w:val="17"/>
        </w:rPr>
        <w:t xml:space="preserve">Akshar — internal architecture note, letter subsystem</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2026-09-29T08:15:09.023Z</dcterms:created>
  <dcterms:modified xsi:type="dcterms:W3CDTF">2026-09-29T08:15:09.025Z</dcterms:modified>
</cp:coreProperties>
</file>

<file path=docProps/custom.xml><?xml version="1.0" encoding="utf-8"?>
<Properties xmlns="http://schemas.openxmlformats.org/officeDocument/2006/custom-properties" xmlns:vt="http://schemas.openxmlformats.org/officeDocument/2006/docPropsVTypes"/>
</file>