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A07848"/>
          <w:spacing w:val="120"/>
          <w:sz w:val="22"/>
          <w:szCs w:val="22"/>
        </w:rPr>
        <w:t xml:space="preserve">AZUMI DESIGNS</w:t>
      </w:r>
    </w:p>
    <w:p>
      <w:pPr>
        <w:spacing w:after="120" w:before="600"/>
        <w:jc w:val="left"/>
      </w:pPr>
      <w:r>
        <w:rPr>
          <w:rFonts w:ascii="Georgia" w:cs="Georgia" w:eastAsia="Georgia" w:hAnsi="Georgia"/>
          <w:color w:val="1A1714"/>
          <w:sz w:val="72"/>
          <w:szCs w:val="72"/>
        </w:rPr>
        <w:t xml:space="preserve">Inclusions &amp;
Exclusions
Clause Sheet</w:t>
      </w:r>
    </w:p>
    <w:p>
      <w:pPr>
        <w:pBdr>
          <w:bottom w:val="single" w:color="C8A97A" w:sz="6"/>
        </w:pBdr>
        <w:spacing w:after="120" w:before="120"/>
      </w:pP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Professional language for what is in scope, what is not, and what attracts an additional fee.</w:t>
      </w: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Copy directly into your proposals. Edit to match your project.</w:t>
      </w:r>
    </w:p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A97A" w:sz="16"/>
              <w:bottom w:val="none"/>
              <w:right w:val="none"/>
            </w:tcBorders>
            <w:shd w:fill="FAF5E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D3630"/>
                <w:sz w:val="18"/>
                <w:szCs w:val="18"/>
              </w:rPr>
              <w:t xml:space="preserve">HOW TO USE: This is a library of pre-written clauses. Select the ones relevant to your project and paste them into your proposal under an "Inclusions &amp; Exclusions" section. Delete, adapt, or add your own as needed.</w:t>
            </w:r>
          </w:p>
        </w:tc>
      </w:tr>
    </w:tbl>
    <w:p>
      <w:pPr>
        <w:spacing w:after="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PART A — STANDARD INCLUSIONS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What Is Typically
Included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The following services and deliverables are included within the scope of this engagement unless specifically removed in writing: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97A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Design Concept &amp; Direction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Development of a design concept including mood board, material palette, colour scheme, and spatial narrative. One revision round is included.</w:t>
            </w:r>
          </w:p>
        </w:tc>
      </w:tr>
      <w:tr>
        <w:tc>
          <w:tcPr>
            <w:tcW w:type="dxa" w:w="9026"/>
            <w:tcBorders>
              <w:top w:val="none"/>
              <w:left w:val="single" w:color="C8A97A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Space Planning &amp; Furniture Layout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Scaled furniture layout drawings for all rooms within scope, prepared in AutoCAD or similar. Minimum one layout option per room.</w:t>
            </w:r>
          </w:p>
        </w:tc>
      </w:tr>
      <w:tr>
        <w:tc>
          <w:tcPr>
            <w:tcW w:type="dxa" w:w="9026"/>
            <w:tcBorders>
              <w:top w:val="none"/>
              <w:left w:val="single" w:color="C8A97A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Material &amp; Finish Specification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Selection and specification of all flooring, wall treatment, ceiling treatment, and surface finishes within scope.</w:t>
            </w:r>
          </w:p>
        </w:tc>
      </w:tr>
      <w:tr>
        <w:tc>
          <w:tcPr>
            <w:tcW w:type="dxa" w:w="9026"/>
            <w:tcBorders>
              <w:top w:val="none"/>
              <w:left w:val="single" w:color="C8A97A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Furniture Selection &amp; Procurement Support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Identification, specification, and procurement facilitation for all loose furniture within scope. Final purchase is the client's responsibility.</w:t>
            </w:r>
          </w:p>
        </w:tc>
      </w:tr>
      <w:tr>
        <w:tc>
          <w:tcPr>
            <w:tcW w:type="dxa" w:w="9026"/>
            <w:tcBorders>
              <w:top w:val="none"/>
              <w:left w:val="single" w:color="C8A97A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Joinery / Millwork Design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Design drawings and specifications for all bespoke joinery within scope (wardrobes, cabinets, TV units, kitchen, etc.).</w:t>
            </w:r>
          </w:p>
        </w:tc>
      </w:tr>
      <w:tr>
        <w:tc>
          <w:tcPr>
            <w:tcW w:type="dxa" w:w="9026"/>
            <w:tcBorders>
              <w:top w:val="none"/>
              <w:left w:val="single" w:color="C8A97A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Lighting Design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Ambient, task, and accent lighting layout for all rooms in scope. Fixture selection and specification included. Electrical execution is the contractor's responsibility.</w:t>
            </w:r>
          </w:p>
        </w:tc>
      </w:tr>
      <w:tr>
        <w:tc>
          <w:tcPr>
            <w:tcW w:type="dxa" w:w="9026"/>
            <w:tcBorders>
              <w:top w:val="none"/>
              <w:left w:val="single" w:color="C8A97A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Window Treatment Specification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Specification of curtain/blind/sheer type, fabric, colour, and mechanism for all windows within scope.</w:t>
            </w:r>
          </w:p>
        </w:tc>
      </w:tr>
      <w:tr>
        <w:tc>
          <w:tcPr>
            <w:tcW w:type="dxa" w:w="9026"/>
            <w:tcBorders>
              <w:top w:val="none"/>
              <w:left w:val="single" w:color="C8A97A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Vendor &amp; Contractor Coordination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Coordination with furniture vendors, material suppliers, and the site contractor for items within scope. Site visits as agreed in the project schedule.</w:t>
            </w:r>
          </w:p>
        </w:tc>
      </w:tr>
      <w:tr>
        <w:tc>
          <w:tcPr>
            <w:tcW w:type="dxa" w:w="9026"/>
            <w:tcBorders>
              <w:top w:val="none"/>
              <w:left w:val="single" w:color="C8A97A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Client Presentations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Minimum two formal presentations (concept and final design). Additional presentations attract a supplementary fee.</w:t>
            </w:r>
          </w:p>
        </w:tc>
      </w:tr>
    </w:tbl>
    <w:p>
      <w:pPr>
        <w:spacing w:after="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PART B — STANDARD EXCLUSIONS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What Is Not
Included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Unless separately agreed and documented in writing, the following are excluded from this scope and the associated fee: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Civil &amp; Structural Work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Demolition, construction, structural alterations, waterproofing, and associated work are excluded. These are to be executed by the client's appointed contractor and are not the responsibility of the designer.</w:t>
            </w:r>
          </w:p>
        </w:tc>
      </w:tr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Electrical &amp; Plumbing Execution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All electrical, plumbing, and HVAC work is excluded. The designer will provide specifications; execution is the contractor's responsibility.</w:t>
            </w:r>
          </w:p>
        </w:tc>
      </w:tr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False Ceiling Electrical Routing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Electrical routing within false ceilings and the associated wiring work are excluded from the design scope. The designer will provide a lighting layout; the contractor must route accordingly.</w:t>
            </w:r>
          </w:p>
        </w:tc>
      </w:tr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Loose Accessories &amp; Art Procurement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Artwork, decorative accessories, plants, books, and personalisation items are not included in the base scope unless a separate styling or accessories package is agreed.</w:t>
            </w:r>
          </w:p>
        </w:tc>
      </w:tr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Project Management / PMC Services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Day-to-day site supervision and project management are not included unless a separate PMC fee is agreed.</w:t>
            </w:r>
          </w:p>
        </w:tc>
      </w:tr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Structural Engineer or MEP Consultant Fees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Fees for structural engineers, MEP consultants, or other specialist consultants engaged for the project are not included in the design fee.</w:t>
            </w:r>
          </w:p>
        </w:tc>
      </w:tr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Permit &amp; Approval Fees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Municipal permissions, NOCs, layout approvals, and related statutory fees are the client's responsibility.</w:t>
            </w:r>
          </w:p>
        </w:tc>
      </w:tr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Furniture or Material Purchases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The design fee covers specification and procurement support only. The cost of furniture, materials, and products is borne by the client.</w:t>
            </w:r>
          </w:p>
        </w:tc>
      </w:tr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Post-Handover Modifications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Changes requested after the completed interior has been handed over to the client are billable at the current hourly rate.</w:t>
            </w:r>
          </w:p>
        </w:tc>
      </w:tr>
      <w:tr>
        <w:tc>
          <w:tcPr>
            <w:tcW w:type="dxa" w:w="9026"/>
            <w:tcBorders>
              <w:top w:val="none"/>
              <w:left w:val="single" w:color="999999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Properties or Spaces Not Listed in Scope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Any rooms, areas, or properties not explicitly named in the agreed scope are excluded. Additional spaces can be added by a written scope amendment.</w:t>
            </w:r>
          </w:p>
        </w:tc>
      </w:tr>
    </w:tbl>
    <w:p>
      <w:pPr>
        <w:spacing w:after="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PART C — ADDITIONAL FEE TRIGGERS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What Attracts
an Additional Fee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The following scenarios are not included in the base scope and will be invoiced separately at the agreed supplementary rate: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A07848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Design Revisions Beyond the Agreed Round(s)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The base scope includes [insert number] round(s) of revisions per design stage. Each additional revision round will be charged at ₹ ________ per round.</w:t>
            </w:r>
          </w:p>
        </w:tc>
      </w:tr>
      <w:tr>
        <w:tc>
          <w:tcPr>
            <w:tcW w:type="dxa" w:w="9026"/>
            <w:tcBorders>
              <w:top w:val="none"/>
              <w:left w:val="single" w:color="A07848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Additional Site Visits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The base scope includes [insert number] site visit(s). Each additional visit will be charged at ₹ ________ per visit, plus travel if applicable.</w:t>
            </w:r>
          </w:p>
        </w:tc>
      </w:tr>
      <w:tr>
        <w:tc>
          <w:tcPr>
            <w:tcW w:type="dxa" w:w="9026"/>
            <w:tcBorders>
              <w:top w:val="none"/>
              <w:left w:val="single" w:color="A07848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Scope Additions Mid-Project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Any room, element, or service added after the scope has been signed off will be subject to a separate written amendment and additional fee, agreed before work commences.</w:t>
            </w:r>
          </w:p>
        </w:tc>
      </w:tr>
      <w:tr>
        <w:tc>
          <w:tcPr>
            <w:tcW w:type="dxa" w:w="9026"/>
            <w:tcBorders>
              <w:top w:val="none"/>
              <w:left w:val="single" w:color="A07848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Rush / Expedited Delivery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Work required on a compressed timeline outside the agreed project schedule attracts a 25% premium on the applicable fees.</w:t>
            </w:r>
          </w:p>
        </w:tc>
      </w:tr>
      <w:tr>
        <w:tc>
          <w:tcPr>
            <w:tcW w:type="dxa" w:w="9026"/>
            <w:tcBorders>
              <w:top w:val="none"/>
              <w:left w:val="single" w:color="A07848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Third-Party Product Sourcing (custom / overseas)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Sourcing products from custom or overseas manufacturers on the client's behalf, beyond the standard vendor network, is charged at an hourly rate of ₹ ________ per hour.</w:t>
            </w:r>
          </w:p>
        </w:tc>
      </w:tr>
      <w:tr>
        <w:tc>
          <w:tcPr>
            <w:tcW w:type="dxa" w:w="9026"/>
            <w:tcBorders>
              <w:top w:val="none"/>
              <w:left w:val="single" w:color="A07848" w:sz="14"/>
              <w:bottom w:val="single" w:color="D4C9B0" w:sz="1"/>
              <w:right w:val="none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Contractor Non-Compliance Visits</w:t>
            </w:r>
          </w:p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If a site visit is required specifically because the contractor has not followed the design specification, and this is determined to be the contractor's error, the visit cost will be billed separately.</w:t>
            </w:r>
          </w:p>
        </w:tc>
      </w:tr>
    </w:tbl>
    <w:p>
      <w:pPr>
        <w:spacing w:after="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PART D — SIGNATURE &amp; AGREEMENT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Client
Acknowledgement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By signing below, the client confirms they have read, understood, and agreed to the inclusions and exclusions described in this document as part of the overall project agreement.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single" w:color="D4C9B0" w:sz="1"/>
              <w:right w:val="none"/>
            </w:tcBorders>
            <w:tcMar>
              <w:top w:type="dxa" w:w="80"/>
              <w:left w:type="dxa" w:w="0"/>
              <w:bottom w:type="dxa" w:w="200"/>
              <w:right w:type="dxa" w:w="40"/>
            </w:tcMar>
          </w:tcPr>
          <w:p>
            <w:r>
              <w:rPr>
                <w:rFonts w:ascii="Arial" w:cs="Arial" w:eastAsia="Arial" w:hAnsi="Arial"/>
                <w:color w:val="7A6F65"/>
                <w:sz w:val="17"/>
                <w:szCs w:val="17"/>
              </w:rPr>
              <w:t xml:space="preserve">Client signature</w:t>
            </w:r>
          </w:p>
        </w:tc>
        <w:tc>
          <w:tcPr>
            <w:tcW w:type="dxa" w:w="4513"/>
            <w:tcBorders>
              <w:top w:val="none"/>
              <w:left w:val="none"/>
              <w:bottom w:val="single" w:color="D4C9B0" w:sz="1"/>
              <w:right w:val="none"/>
            </w:tcBorders>
            <w:tcMar>
              <w:top w:type="dxa" w:w="80"/>
              <w:left w:type="dxa" w:w="40"/>
              <w:bottom w:type="dxa" w:w="200"/>
              <w:right w:type="dxa" w:w="0"/>
            </w:tcMar>
          </w:tcPr>
          <w:p>
            <w:r>
              <w:rPr>
                <w:rFonts w:ascii="Arial" w:cs="Arial" w:eastAsia="Arial" w:hAnsi="Arial"/>
                <w:color w:val="7A6F65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45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Print name</w:t>
            </w:r>
          </w:p>
        </w:tc>
        <w:tc>
          <w:tcPr>
            <w:tcW w:type="dxa" w:w="45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Project reference</w:t>
            </w:r>
          </w:p>
        </w:tc>
      </w:tr>
    </w:tbl>
    <w:p>
      <w:pPr>
        <w:spacing w:after="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7A6F65"/>
          <w:sz w:val="18"/>
          <w:szCs w:val="18"/>
        </w:rPr>
        <w:t xml:space="preserve">Azumi Designs · Goa &amp; Pune · azumidesigns.co.in · hello@azumidesigns.co.in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C8A97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2026-05-31T05:42:26.718Z</dcterms:created>
  <dcterms:modified xsi:type="dcterms:W3CDTF">2026-05-31T05:42:26.718Z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