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</w:pPr>
      <w:r>
        <w:rPr>
          <w:rFonts w:ascii="Arial" w:cs="Arial" w:eastAsia="Arial" w:hAnsi="Arial"/>
          <w:b/>
          <w:bCs/>
          <w:color w:val="A07848"/>
          <w:spacing w:val="120"/>
          <w:sz w:val="22"/>
          <w:szCs w:val="22"/>
        </w:rPr>
        <w:t xml:space="preserve">AZUMI DESIGNS</w:t>
      </w:r>
    </w:p>
    <w:p>
      <w:pPr>
        <w:spacing w:after="120" w:before="600"/>
        <w:jc w:val="left"/>
      </w:pPr>
      <w:r>
        <w:rPr>
          <w:rFonts w:ascii="Georgia" w:cs="Georgia" w:eastAsia="Georgia" w:hAnsi="Georgia"/>
          <w:color w:val="1A1714"/>
          <w:sz w:val="72"/>
          <w:szCs w:val="72"/>
        </w:rPr>
        <w:t xml:space="preserve">Budget
Calibration
Worksheet</w:t>
      </w:r>
    </w:p>
    <w:p>
      <w:pPr>
        <w:pBdr>
          <w:bottom w:val="single" w:color="C8A97A" w:sz="6"/>
        </w:pBdr>
        <w:spacing w:after="120" w:before="120"/>
      </w:pPr>
    </w:p>
    <w:p>
      <w:pPr>
        <w:spacing w:after="60" w:before="80"/>
      </w:pPr>
      <w:r>
        <w:rPr>
          <w:rFonts w:ascii="Arial" w:cs="Arial" w:eastAsia="Arial" w:hAnsi="Arial"/>
          <w:color w:val="7A6F65"/>
          <w:sz w:val="22"/>
          <w:szCs w:val="22"/>
        </w:rPr>
        <w:t xml:space="preserve">Align client budget expectations with real project costs before writing a proposal.</w:t>
      </w:r>
    </w:p>
    <w:p>
      <w:pPr>
        <w:spacing w:after="60" w:before="80"/>
      </w:pPr>
      <w:r>
        <w:rPr>
          <w:rFonts w:ascii="Arial" w:cs="Arial" w:eastAsia="Arial" w:hAnsi="Arial"/>
          <w:color w:val="7A6F65"/>
          <w:sz w:val="22"/>
          <w:szCs w:val="22"/>
        </w:rPr>
        <w:t xml:space="preserve">Based on typical market rates in Goa and Pune — 2025–2026.</w:t>
      </w:r>
    </w:p>
    <w:p>
      <w:pPr>
        <w:spacing w:after="0"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C8A97A" w:sz="16"/>
              <w:bottom w:val="none"/>
              <w:right w:val="none"/>
            </w:tcBorders>
            <w:shd w:fill="FAF5EC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D3630"/>
                <w:sz w:val="18"/>
                <w:szCs w:val="18"/>
              </w:rPr>
              <w:t xml:space="preserve">IMPORTANT: These benchmarks are per sq ft of built-up area and are indicative. Actual costs vary significantly based on material brand, contractor, site conditions, and project complexity. Use these as a starting point for client conversations, not as a quotation.</w:t>
            </w:r>
          </w:p>
        </w:tc>
      </w:tr>
    </w:tbl>
    <w:p>
      <w:pPr>
        <w:spacing w:after="0" w:before="2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A07848"/>
          <w:spacing w:val="80"/>
          <w:sz w:val="16"/>
          <w:szCs w:val="16"/>
        </w:rPr>
        <w:t xml:space="preserve">PART 1 — GOA MARKET BENCHMARKS</w:t>
      </w:r>
    </w:p>
    <w:p>
      <w:pPr>
        <w:pBdr>
          <w:left w:val="single" w:color="C8A97A" w:sz="18" w:space="8"/>
        </w:pBdr>
        <w:spacing w:after="200" w:before="120"/>
        <w:ind w:left="160"/>
      </w:pPr>
      <w:r>
        <w:rPr>
          <w:rFonts w:ascii="Georgia" w:cs="Georgia" w:eastAsia="Georgia" w:hAnsi="Georgia"/>
          <w:b w:val="false"/>
          <w:bCs w:val="false"/>
          <w:color w:val="1A1714"/>
          <w:sz w:val="40"/>
          <w:szCs w:val="40"/>
        </w:rPr>
        <w:t xml:space="preserve">Goa —
Villas &amp; Holiday
Homes</w:t>
      </w:r>
    </w:p>
    <w:p>
      <w:pPr>
        <w:spacing w:after="0" w:before="80"/>
      </w:pP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D3630"/>
          <w:sz w:val="20"/>
          <w:szCs w:val="20"/>
        </w:rPr>
        <w:t xml:space="preserve">Benchmarks below are per sq ft of built-up area, inclusive of furniture, fixtures, and designer fees. Exclusive of civil work.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42"/>
        <w:gridCol w:w="2142"/>
        <w:gridCol w:w="2142"/>
      </w:tblGrid>
      <w:tr>
        <w:tc>
          <w:tcPr>
            <w:tcW w:type="dxa" w:w="2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A07848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DFAF5"/>
                <w:sz w:val="18"/>
                <w:szCs w:val="18"/>
              </w:rPr>
              <w:t xml:space="preserve">GOA — Per Sq Ft (approx)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A07848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DFAF5"/>
                <w:sz w:val="18"/>
                <w:szCs w:val="18"/>
              </w:rPr>
              <w:t xml:space="preserve">Standard Finish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A07848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DFAF5"/>
                <w:sz w:val="18"/>
                <w:szCs w:val="18"/>
              </w:rPr>
              <w:t xml:space="preserve">Premium Finish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A07848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DFAF5"/>
                <w:sz w:val="18"/>
                <w:szCs w:val="18"/>
              </w:rPr>
              <w:t xml:space="preserve">Luxury Finish</w:t>
            </w:r>
          </w:p>
        </w:tc>
      </w:tr>
      <w:tr>
        <w:tc>
          <w:tcPr>
            <w:tcW w:type="dxa" w:w="2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Full villa interior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₹1,800–2,500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₹2,800–4,000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₹4,500–8,000+</w:t>
            </w:r>
          </w:p>
        </w:tc>
      </w:tr>
      <w:tr>
        <w:tc>
          <w:tcPr>
            <w:tcW w:type="dxa" w:w="2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Living &amp; dining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₹1,500–2,200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₹2,500–3,800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₹4,000–7,000+</w:t>
            </w:r>
          </w:p>
        </w:tc>
      </w:tr>
      <w:tr>
        <w:tc>
          <w:tcPr>
            <w:tcW w:type="dxa" w:w="2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Master bedroom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₹1,200–1,800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₹2,000–3,200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₹3,500–6,000+</w:t>
            </w:r>
          </w:p>
        </w:tc>
      </w:tr>
      <w:tr>
        <w:tc>
          <w:tcPr>
            <w:tcW w:type="dxa" w:w="2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Guest bedroom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₹800–1,200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₹1,400–2,000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₹2,200–4,000+</w:t>
            </w:r>
          </w:p>
        </w:tc>
      </w:tr>
      <w:tr>
        <w:tc>
          <w:tcPr>
            <w:tcW w:type="dxa" w:w="2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Kitchen (modular)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₹1,800–2,800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₹3,000–5,000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₹5,500–10,000+</w:t>
            </w:r>
          </w:p>
        </w:tc>
      </w:tr>
      <w:tr>
        <w:tc>
          <w:tcPr>
            <w:tcW w:type="dxa" w:w="2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Bathroom (per bathroom)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₹1,200–2,000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₹2,200–3,800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₹4,000–8,000+</w:t>
            </w:r>
          </w:p>
        </w:tc>
      </w:tr>
      <w:tr>
        <w:tc>
          <w:tcPr>
            <w:tcW w:type="dxa" w:w="2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Outdoor / pool area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₹800–1,400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₹1,600–2,800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₹3,000–6,000+</w:t>
            </w:r>
          </w:p>
        </w:tc>
      </w:tr>
    </w:tbl>
    <w:p>
      <w:pPr>
        <w:spacing w:after="0" w:before="120"/>
      </w:pP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7A6F65"/>
          <w:sz w:val="20"/>
          <w:szCs w:val="20"/>
        </w:rPr>
        <w:t xml:space="preserve">Standard Finish: Good quality Indian brands, ready-made furniture, basic tile work.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7A6F65"/>
          <w:sz w:val="20"/>
          <w:szCs w:val="20"/>
        </w:rPr>
        <w:t xml:space="preserve">Premium Finish: Mix of custom joinery, mid-range imported tiles, curated furniture brands.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7A6F65"/>
          <w:sz w:val="20"/>
          <w:szCs w:val="20"/>
        </w:rPr>
        <w:t xml:space="preserve">Luxury Finish: Custom everything, designer brands, imported materials, full styling.</w:t>
      </w:r>
    </w:p>
    <w:p>
      <w:pPr>
        <w:spacing w:after="0" w:before="2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A07848"/>
          <w:spacing w:val="80"/>
          <w:sz w:val="16"/>
          <w:szCs w:val="16"/>
        </w:rPr>
        <w:t xml:space="preserve">PART 2 — PUNE MARKET BENCHMARKS</w:t>
      </w:r>
    </w:p>
    <w:p>
      <w:pPr>
        <w:pBdr>
          <w:left w:val="single" w:color="C8A97A" w:sz="18" w:space="8"/>
        </w:pBdr>
        <w:spacing w:after="200" w:before="120"/>
        <w:ind w:left="160"/>
      </w:pPr>
      <w:r>
        <w:rPr>
          <w:rFonts w:ascii="Georgia" w:cs="Georgia" w:eastAsia="Georgia" w:hAnsi="Georgia"/>
          <w:b w:val="false"/>
          <w:bCs w:val="false"/>
          <w:color w:val="1A1714"/>
          <w:sz w:val="40"/>
          <w:szCs w:val="40"/>
        </w:rPr>
        <w:t xml:space="preserve">Pune —
Apartments &amp;
Residences</w:t>
      </w:r>
    </w:p>
    <w:p>
      <w:pPr>
        <w:spacing w:after="0" w:before="80"/>
      </w:pP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D3630"/>
          <w:sz w:val="20"/>
          <w:szCs w:val="20"/>
        </w:rPr>
        <w:t xml:space="preserve">Benchmarks for a typical 2BHK to 4BHK apartment, per sq ft of carpet area.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42"/>
        <w:gridCol w:w="2142"/>
        <w:gridCol w:w="2142"/>
      </w:tblGrid>
      <w:tr>
        <w:tc>
          <w:tcPr>
            <w:tcW w:type="dxa" w:w="2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A07848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DFAF5"/>
                <w:sz w:val="18"/>
                <w:szCs w:val="18"/>
              </w:rPr>
              <w:t xml:space="preserve">PUNE — Per Sq Ft (approx)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A07848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DFAF5"/>
                <w:sz w:val="18"/>
                <w:szCs w:val="18"/>
              </w:rPr>
              <w:t xml:space="preserve">Standard Finish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A07848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DFAF5"/>
                <w:sz w:val="18"/>
                <w:szCs w:val="18"/>
              </w:rPr>
              <w:t xml:space="preserve">Premium Finish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A07848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DFAF5"/>
                <w:sz w:val="18"/>
                <w:szCs w:val="18"/>
              </w:rPr>
              <w:t xml:space="preserve">Luxury Finish</w:t>
            </w:r>
          </w:p>
        </w:tc>
      </w:tr>
      <w:tr>
        <w:tc>
          <w:tcPr>
            <w:tcW w:type="dxa" w:w="2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Full apartment interior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₹1,200–1,800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₹2,000–3,000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₹3,500–6,000+</w:t>
            </w:r>
          </w:p>
        </w:tc>
      </w:tr>
      <w:tr>
        <w:tc>
          <w:tcPr>
            <w:tcW w:type="dxa" w:w="2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Living &amp; dining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₹1,000–1,600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₹1,800–2,800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₹3,200–5,500+</w:t>
            </w:r>
          </w:p>
        </w:tc>
      </w:tr>
      <w:tr>
        <w:tc>
          <w:tcPr>
            <w:tcW w:type="dxa" w:w="2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Master bedroom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₹900–1,400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₹1,600–2,400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₹2,800–5,000+</w:t>
            </w:r>
          </w:p>
        </w:tc>
      </w:tr>
      <w:tr>
        <w:tc>
          <w:tcPr>
            <w:tcW w:type="dxa" w:w="2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Secondary bedroom(s)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₹600–900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₹1,000–1,600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₹1,800–3,000+</w:t>
            </w:r>
          </w:p>
        </w:tc>
      </w:tr>
      <w:tr>
        <w:tc>
          <w:tcPr>
            <w:tcW w:type="dxa" w:w="2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Kitchen (modular)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₹1,500–2,200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₹2,500–4,000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₹4,500–8,000+</w:t>
            </w:r>
          </w:p>
        </w:tc>
      </w:tr>
      <w:tr>
        <w:tc>
          <w:tcPr>
            <w:tcW w:type="dxa" w:w="2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Bathroom (per bathroom)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₹900–1,400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₹1,600–2,800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₹3,000–6,000+</w:t>
            </w:r>
          </w:p>
        </w:tc>
      </w:tr>
      <w:tr>
        <w:tc>
          <w:tcPr>
            <w:tcW w:type="dxa" w:w="2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Study / home office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₹700–1,200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₹1,400–2,200</w:t>
            </w:r>
          </w:p>
        </w:tc>
        <w:tc>
          <w:tcPr>
            <w:tcW w:type="dxa" w:w="2142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₹2,500–4,500+</w:t>
            </w:r>
          </w:p>
        </w:tc>
      </w:tr>
    </w:tbl>
    <w:p>
      <w:pPr>
        <w:spacing w:after="0" w:before="2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A07848"/>
          <w:spacing w:val="80"/>
          <w:sz w:val="16"/>
          <w:szCs w:val="16"/>
        </w:rPr>
        <w:t xml:space="preserve">PART 3 — CLIENT BUDGET MAPPING</w:t>
      </w:r>
    </w:p>
    <w:p>
      <w:pPr>
        <w:pBdr>
          <w:left w:val="single" w:color="C8A97A" w:sz="18" w:space="8"/>
        </w:pBdr>
        <w:spacing w:after="200" w:before="120"/>
        <w:ind w:left="160"/>
      </w:pPr>
      <w:r>
        <w:rPr>
          <w:rFonts w:ascii="Georgia" w:cs="Georgia" w:eastAsia="Georgia" w:hAnsi="Georgia"/>
          <w:b w:val="false"/>
          <w:bCs w:val="false"/>
          <w:color w:val="1A1714"/>
          <w:sz w:val="40"/>
          <w:szCs w:val="40"/>
        </w:rPr>
        <w:t xml:space="preserve">Project
Budget Matrix</w:t>
      </w:r>
    </w:p>
    <w:p>
      <w:pPr>
        <w:spacing w:after="0" w:before="80"/>
      </w:pP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D3630"/>
          <w:sz w:val="20"/>
          <w:szCs w:val="20"/>
        </w:rPr>
        <w:t xml:space="preserve">Use this section during the discovery meeting to map client budget to realistic scope.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0"/>
        <w:gridCol w:w="2483"/>
        <w:gridCol w:w="2030"/>
        <w:gridCol w:w="2483"/>
      </w:tblGrid>
      <w:tr>
        <w:tc>
          <w:tcPr>
            <w:tcW w:type="dxa" w:w="203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7"/>
                <w:szCs w:val="17"/>
              </w:rPr>
              <w:t xml:space="preserve">Property location</w:t>
            </w:r>
          </w:p>
        </w:tc>
        <w:tc>
          <w:tcPr>
            <w:tcW w:type="dxa" w:w="248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7"/>
                <w:szCs w:val="17"/>
              </w:rPr>
              <w:t xml:space="preserve">Goa / Pune / Other</w:t>
            </w:r>
          </w:p>
        </w:tc>
        <w:tc>
          <w:tcPr>
            <w:tcW w:type="dxa" w:w="203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7"/>
                <w:szCs w:val="17"/>
              </w:rPr>
              <w:t xml:space="preserve">Carpet / built-up area (sq ft)</w:t>
            </w:r>
          </w:p>
        </w:tc>
        <w:tc>
          <w:tcPr>
            <w:tcW w:type="dxa" w:w="248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3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7"/>
                <w:szCs w:val="17"/>
              </w:rPr>
              <w:t xml:space="preserve">No. of bedrooms</w:t>
            </w:r>
          </w:p>
        </w:tc>
        <w:tc>
          <w:tcPr>
            <w:tcW w:type="dxa" w:w="248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7"/>
                <w:szCs w:val="17"/>
              </w:rPr>
              <w:t xml:space="preserve"/>
            </w:r>
          </w:p>
        </w:tc>
        <w:tc>
          <w:tcPr>
            <w:tcW w:type="dxa" w:w="203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7"/>
                <w:szCs w:val="17"/>
              </w:rPr>
              <w:t xml:space="preserve">No. of bathrooms</w:t>
            </w:r>
          </w:p>
        </w:tc>
        <w:tc>
          <w:tcPr>
            <w:tcW w:type="dxa" w:w="248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0"/>
        <w:gridCol w:w="2483"/>
        <w:gridCol w:w="2030"/>
        <w:gridCol w:w="2483"/>
      </w:tblGrid>
      <w:tr>
        <w:tc>
          <w:tcPr>
            <w:tcW w:type="dxa" w:w="203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7"/>
                <w:szCs w:val="17"/>
              </w:rPr>
              <w:t xml:space="preserve">Client stated budget</w:t>
            </w:r>
          </w:p>
        </w:tc>
        <w:tc>
          <w:tcPr>
            <w:tcW w:type="dxa" w:w="248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7"/>
                <w:szCs w:val="17"/>
              </w:rPr>
              <w:t xml:space="preserve">₹</w:t>
            </w:r>
          </w:p>
        </w:tc>
        <w:tc>
          <w:tcPr>
            <w:tcW w:type="dxa" w:w="203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7"/>
                <w:szCs w:val="17"/>
              </w:rPr>
              <w:t xml:space="preserve">Budget per sq ft (calculated)</w:t>
            </w:r>
          </w:p>
        </w:tc>
        <w:tc>
          <w:tcPr>
            <w:tcW w:type="dxa" w:w="248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7"/>
                <w:szCs w:val="17"/>
              </w:rPr>
              <w:t xml:space="preserve">₹</w:t>
            </w:r>
          </w:p>
        </w:tc>
      </w:tr>
      <w:tr>
        <w:tc>
          <w:tcPr>
            <w:tcW w:type="dxa" w:w="203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7"/>
                <w:szCs w:val="17"/>
              </w:rPr>
              <w:t xml:space="preserve">This aligns with</w:t>
            </w:r>
          </w:p>
        </w:tc>
        <w:tc>
          <w:tcPr>
            <w:tcW w:type="dxa" w:w="248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7"/>
                <w:szCs w:val="17"/>
              </w:rPr>
              <w:t xml:space="preserve">Standard / Premium / Luxury</w:t>
            </w:r>
          </w:p>
        </w:tc>
        <w:tc>
          <w:tcPr>
            <w:tcW w:type="dxa" w:w="203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7"/>
                <w:szCs w:val="17"/>
              </w:rPr>
              <w:t xml:space="preserve">Gap (if any)</w:t>
            </w:r>
          </w:p>
        </w:tc>
        <w:tc>
          <w:tcPr>
            <w:tcW w:type="dxa" w:w="248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7"/>
                <w:szCs w:val="17"/>
              </w:rPr>
              <w:t xml:space="preserve">₹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3630"/>
          <w:sz w:val="18"/>
          <w:szCs w:val="18"/>
        </w:rPr>
        <w:t xml:space="preserve">Scope adjustment options if budget is below benchmark: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Reduce scope — prioritise 2–3 key rooms at premium level, rest at standard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Phase the project — complete living areas now, bedrooms later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Remove custom joinery from secondary bedrooms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Use procured furniture in guest rooms vs. custom in master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D3630"/>
          <w:sz w:val="20"/>
          <w:szCs w:val="20"/>
        </w:rPr>
        <w:t xml:space="preserve">Defer accessories / styling to a later phase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Agreed approach (note here)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A07848"/>
          <w:spacing w:val="80"/>
          <w:sz w:val="16"/>
          <w:szCs w:val="16"/>
        </w:rPr>
        <w:t xml:space="preserve">PART 4 — DESIGN FEE BENCHMARKS</w:t>
      </w:r>
    </w:p>
    <w:p>
      <w:pPr>
        <w:pBdr>
          <w:left w:val="single" w:color="C8A97A" w:sz="18" w:space="8"/>
        </w:pBdr>
        <w:spacing w:after="200" w:before="120"/>
        <w:ind w:left="160"/>
      </w:pPr>
      <w:r>
        <w:rPr>
          <w:rFonts w:ascii="Georgia" w:cs="Georgia" w:eastAsia="Georgia" w:hAnsi="Georgia"/>
          <w:b w:val="false"/>
          <w:bCs w:val="false"/>
          <w:color w:val="1A1714"/>
          <w:sz w:val="40"/>
          <w:szCs w:val="40"/>
        </w:rPr>
        <w:t xml:space="preserve">Designer Fee
Structure</w:t>
      </w:r>
    </w:p>
    <w:p>
      <w:pPr>
        <w:spacing w:after="0" w:before="80"/>
      </w:pP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D3630"/>
          <w:sz w:val="20"/>
          <w:szCs w:val="20"/>
        </w:rPr>
        <w:t xml:space="preserve">Reference only — fee structures vary by studio and project type.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c>
          <w:tcPr>
            <w:tcW w:type="dxa" w:w="3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 Model</w:t>
            </w:r>
          </w:p>
        </w:tc>
        <w:tc>
          <w:tcPr>
            <w:tcW w:type="dxa" w:w="27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Typical Range</w:t>
            </w:r>
          </w:p>
        </w:tc>
        <w:tc>
          <w:tcPr>
            <w:tcW w:type="dxa" w:w="27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3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% of project cost</w:t>
            </w:r>
          </w:p>
        </w:tc>
        <w:tc>
          <w:tcPr>
            <w:tcW w:type="dxa" w:w="27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8–15% of total interior cost</w:t>
            </w:r>
          </w:p>
        </w:tc>
        <w:tc>
          <w:tcPr>
            <w:tcW w:type="dxa" w:w="27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Larger, high-value projects</w:t>
            </w:r>
          </w:p>
        </w:tc>
      </w:tr>
      <w:tr>
        <w:tc>
          <w:tcPr>
            <w:tcW w:type="dxa" w:w="3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Per sq ft (design fee only)</w:t>
            </w:r>
          </w:p>
        </w:tc>
        <w:tc>
          <w:tcPr>
            <w:tcW w:type="dxa" w:w="27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₹75–250 per sq ft</w:t>
            </w:r>
          </w:p>
        </w:tc>
        <w:tc>
          <w:tcPr>
            <w:tcW w:type="dxa" w:w="27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Mid-range apartments</w:t>
            </w:r>
          </w:p>
        </w:tc>
      </w:tr>
      <w:tr>
        <w:tc>
          <w:tcPr>
            <w:tcW w:type="dxa" w:w="3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Fixed project fee</w:t>
            </w:r>
          </w:p>
        </w:tc>
        <w:tc>
          <w:tcPr>
            <w:tcW w:type="dxa" w:w="27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Negotiated per scope</w:t>
            </w:r>
          </w:p>
        </w:tc>
        <w:tc>
          <w:tcPr>
            <w:tcW w:type="dxa" w:w="27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Well-defined, bounded projects</w:t>
            </w:r>
          </w:p>
        </w:tc>
      </w:tr>
      <w:tr>
        <w:tc>
          <w:tcPr>
            <w:tcW w:type="dxa" w:w="3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Hourly rate</w:t>
            </w:r>
          </w:p>
        </w:tc>
        <w:tc>
          <w:tcPr>
            <w:tcW w:type="dxa" w:w="27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₹2,000–5,000 per hour</w:t>
            </w:r>
          </w:p>
        </w:tc>
        <w:tc>
          <w:tcPr>
            <w:tcW w:type="dxa" w:w="27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Consultations, smaller add-ons</w:t>
            </w:r>
          </w:p>
        </w:tc>
      </w:tr>
      <w:tr>
        <w:tc>
          <w:tcPr>
            <w:tcW w:type="dxa" w:w="3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Retainer + procurement %</w:t>
            </w:r>
          </w:p>
        </w:tc>
        <w:tc>
          <w:tcPr>
            <w:tcW w:type="dxa" w:w="27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Monthly fee + 10–20% of FF&amp;E</w:t>
            </w:r>
          </w:p>
        </w:tc>
        <w:tc>
          <w:tcPr>
            <w:tcW w:type="dxa" w:w="27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Ongoing, complex projects</w:t>
            </w:r>
          </w:p>
        </w:tc>
      </w:tr>
    </w:tbl>
    <w:p>
      <w:pPr>
        <w:spacing w:after="0" w:before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7A6F65"/>
          <w:sz w:val="18"/>
          <w:szCs w:val="18"/>
        </w:rPr>
        <w:t xml:space="preserve">Azumi Designs · Goa &amp; Pune · azumidesigns.co.in · hello@azumidesigns.co.in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  <w:rPr>
        <w:rFonts w:ascii="Arial" w:cs="Arial" w:eastAsia="Arial" w:hAnsi="Arial"/>
        <w:color w:val="C8A97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2026-05-31T05:42:26.792Z</dcterms:created>
  <dcterms:modified xsi:type="dcterms:W3CDTF">2026-05-31T05:42:26.792Z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