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AE9E" w14:textId="697E68D3" w:rsidR="00D833E5" w:rsidRDefault="00D833E5" w:rsidP="00D833E5">
      <w:pPr>
        <w:rPr>
          <w:b/>
          <w:bCs/>
          <w:noProof/>
        </w:rPr>
      </w:pPr>
      <w:r w:rsidRPr="00D833E5">
        <w:rPr>
          <w:b/>
          <w:bCs/>
          <w:noProof/>
        </w:rPr>
        <w:t>Review of Compliance Tool – Tunisia</w:t>
      </w:r>
    </w:p>
    <w:p w14:paraId="1771CC02" w14:textId="5B290A5B" w:rsidR="00EE594C" w:rsidRPr="00D833E5" w:rsidRDefault="00EE594C" w:rsidP="00D833E5">
      <w:pPr>
        <w:rPr>
          <w:b/>
          <w:bCs/>
          <w:noProof/>
        </w:rPr>
      </w:pPr>
      <w:r>
        <w:rPr>
          <w:b/>
          <w:bCs/>
          <w:noProof/>
        </w:rPr>
        <w:t>Review date: July 16, 2026</w:t>
      </w:r>
    </w:p>
    <w:p w14:paraId="4B8CCA00" w14:textId="6F34411F" w:rsidR="00D833E5" w:rsidRDefault="00D833E5" w:rsidP="00A86BF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It seems that the </w:t>
      </w:r>
      <w:r w:rsidR="00A86BF2">
        <w:rPr>
          <w:noProof/>
        </w:rPr>
        <w:t xml:space="preserve">tool is not adapted to required dimensions for the shapes illustrated in </w:t>
      </w:r>
      <w:r>
        <w:rPr>
          <w:noProof/>
        </w:rPr>
        <w:t>Figures and thus several issues with the provided illustrations such as T-shape. The screen asks for Y3 even though no</w:t>
      </w:r>
      <w:r w:rsidR="00A86BF2">
        <w:rPr>
          <w:noProof/>
        </w:rPr>
        <w:t xml:space="preserve"> </w:t>
      </w:r>
      <w:r>
        <w:rPr>
          <w:noProof/>
        </w:rPr>
        <w:t xml:space="preserve">Y3 is </w:t>
      </w:r>
      <w:r w:rsidR="00A86BF2">
        <w:rPr>
          <w:noProof/>
        </w:rPr>
        <w:t>needed</w:t>
      </w:r>
      <w:r>
        <w:rPr>
          <w:noProof/>
        </w:rPr>
        <w:t xml:space="preserve"> in the illustration as noted belo</w:t>
      </w:r>
      <w:r w:rsidR="00A86BF2">
        <w:rPr>
          <w:noProof/>
        </w:rPr>
        <w:t>w:</w:t>
      </w:r>
    </w:p>
    <w:p w14:paraId="528ED830" w14:textId="77777777" w:rsidR="00D833E5" w:rsidRDefault="00D833E5">
      <w:pPr>
        <w:rPr>
          <w:noProof/>
        </w:rPr>
      </w:pPr>
    </w:p>
    <w:p w14:paraId="1754B3E2" w14:textId="36A076BF" w:rsidR="00D833E5" w:rsidRDefault="00D833E5">
      <w:r>
        <w:rPr>
          <w:noProof/>
        </w:rPr>
        <w:drawing>
          <wp:inline distT="0" distB="0" distL="0" distR="0" wp14:anchorId="2C06F3FE" wp14:editId="0A86448D">
            <wp:extent cx="5943600" cy="3073400"/>
            <wp:effectExtent l="0" t="0" r="0" b="0"/>
            <wp:docPr id="7863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9005" name=""/>
                    <pic:cNvPicPr/>
                  </pic:nvPicPr>
                  <pic:blipFill rotWithShape="1">
                    <a:blip r:embed="rId5"/>
                    <a:srcRect t="10769" b="6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35ECF" w14:textId="77777777" w:rsidR="00A86BF2" w:rsidRDefault="00A86BF2"/>
    <w:p w14:paraId="3C83682D" w14:textId="16D9183D" w:rsidR="00A86BF2" w:rsidRPr="00A86BF2" w:rsidRDefault="00A86BF2" w:rsidP="00A86BF2">
      <w:pPr>
        <w:jc w:val="center"/>
      </w:pPr>
    </w:p>
    <w:p w14:paraId="32242D0A" w14:textId="77777777" w:rsidR="00A86BF2" w:rsidRDefault="00A86BF2" w:rsidP="00A86BF2"/>
    <w:p w14:paraId="7F20D3A7" w14:textId="77777777" w:rsidR="00D833E5" w:rsidRDefault="00D833E5"/>
    <w:p w14:paraId="17E7A4E5" w14:textId="00B11AE0" w:rsidR="00D833E5" w:rsidRDefault="00D833E5" w:rsidP="00D833E5">
      <w:pPr>
        <w:pStyle w:val="ListParagraph"/>
        <w:numPr>
          <w:ilvl w:val="0"/>
          <w:numId w:val="1"/>
        </w:numPr>
      </w:pPr>
      <w:r>
        <w:t xml:space="preserve">Similar to this illustration for the </w:t>
      </w:r>
      <w:r w:rsidR="00A86BF2">
        <w:t>shading features (label are not aligned and not visible in the current version of the tool):</w:t>
      </w:r>
    </w:p>
    <w:p w14:paraId="198F2377" w14:textId="055FC87C" w:rsidR="00D833E5" w:rsidRDefault="00D833E5">
      <w:r>
        <w:rPr>
          <w:noProof/>
        </w:rPr>
        <w:lastRenderedPageBreak/>
        <w:drawing>
          <wp:inline distT="0" distB="0" distL="0" distR="0" wp14:anchorId="469AF40B" wp14:editId="6F79EC89">
            <wp:extent cx="5943600" cy="3175000"/>
            <wp:effectExtent l="0" t="0" r="0" b="6350"/>
            <wp:docPr id="11157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4191" name=""/>
                    <pic:cNvPicPr/>
                  </pic:nvPicPr>
                  <pic:blipFill rotWithShape="1">
                    <a:blip r:embed="rId6"/>
                    <a:srcRect t="5299" b="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0EB6D" w14:textId="77777777" w:rsidR="00A86BF2" w:rsidRDefault="00A86BF2"/>
    <w:p w14:paraId="7DD04A47" w14:textId="799F8A3F" w:rsidR="00A86BF2" w:rsidRDefault="00A86BF2" w:rsidP="00A86BF2">
      <w:r>
        <w:t>Here is the provided illustrat</w:t>
      </w:r>
      <w:r>
        <w:t>ion for the shade parameter (French but can google translated!)</w:t>
      </w:r>
      <w:r>
        <w:t xml:space="preserve"> that was provided with the old version of the compliance tool:</w:t>
      </w:r>
    </w:p>
    <w:p w14:paraId="0EB0F596" w14:textId="24535E11" w:rsidR="00D833E5" w:rsidRDefault="00A86BF2" w:rsidP="00A86BF2">
      <w:pPr>
        <w:jc w:val="center"/>
      </w:pPr>
      <w:r w:rsidRPr="00A86BF2">
        <w:drawing>
          <wp:inline distT="0" distB="0" distL="0" distR="0" wp14:anchorId="2D4C6774" wp14:editId="6729863C">
            <wp:extent cx="2717800" cy="2520950"/>
            <wp:effectExtent l="0" t="0" r="6350" b="0"/>
            <wp:docPr id="809380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9C9F" w14:textId="77777777" w:rsidR="00A86BF2" w:rsidRDefault="00A86BF2" w:rsidP="00A86BF2">
      <w:pPr>
        <w:jc w:val="center"/>
      </w:pPr>
    </w:p>
    <w:p w14:paraId="4B5E7385" w14:textId="77777777" w:rsidR="00A86BF2" w:rsidRDefault="00A86BF2" w:rsidP="00A86BF2">
      <w:pPr>
        <w:jc w:val="center"/>
      </w:pPr>
    </w:p>
    <w:p w14:paraId="0A363223" w14:textId="77777777" w:rsidR="00A86BF2" w:rsidRDefault="00A86BF2" w:rsidP="00A86BF2">
      <w:pPr>
        <w:jc w:val="center"/>
      </w:pPr>
    </w:p>
    <w:p w14:paraId="6EE2ADA5" w14:textId="61B6D4BD" w:rsidR="00A86BF2" w:rsidRDefault="00A86BF2" w:rsidP="00A86BF2">
      <w:pPr>
        <w:pStyle w:val="ListParagraph"/>
        <w:numPr>
          <w:ilvl w:val="0"/>
          <w:numId w:val="1"/>
        </w:numPr>
        <w:jc w:val="both"/>
      </w:pPr>
      <w:r>
        <w:t xml:space="preserve">This screen should be related to internal load for spaces rather than air conditioned spaces only. Try to use the same screen titles as the offline tool. </w:t>
      </w:r>
    </w:p>
    <w:p w14:paraId="29674709" w14:textId="607E8A6E" w:rsidR="00D833E5" w:rsidRDefault="00D833E5">
      <w:r>
        <w:rPr>
          <w:noProof/>
        </w:rPr>
        <w:lastRenderedPageBreak/>
        <w:drawing>
          <wp:inline distT="0" distB="0" distL="0" distR="0" wp14:anchorId="71918EA6" wp14:editId="2959D01F">
            <wp:extent cx="5943600" cy="3333750"/>
            <wp:effectExtent l="0" t="0" r="0" b="0"/>
            <wp:docPr id="13595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19283" name=""/>
                    <pic:cNvPicPr/>
                  </pic:nvPicPr>
                  <pic:blipFill rotWithShape="1">
                    <a:blip r:embed="rId8"/>
                    <a:srcRect t="4958" b="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D1023" w14:textId="77777777" w:rsidR="00D833E5" w:rsidRDefault="00D833E5"/>
    <w:p w14:paraId="79DD746C" w14:textId="39CE3B7F" w:rsidR="00A86BF2" w:rsidRDefault="00A86BF2" w:rsidP="00A86BF2">
      <w:pPr>
        <w:pStyle w:val="ListParagraph"/>
        <w:numPr>
          <w:ilvl w:val="0"/>
          <w:numId w:val="1"/>
        </w:numPr>
      </w:pPr>
      <w:r>
        <w:t>Add illustrations for the selected HVAC systems as provided in the old version for various types of HVAC.</w:t>
      </w:r>
    </w:p>
    <w:p w14:paraId="1E9DBB92" w14:textId="01C052A2" w:rsidR="00D833E5" w:rsidRDefault="00D833E5">
      <w:r>
        <w:rPr>
          <w:noProof/>
        </w:rPr>
        <w:drawing>
          <wp:inline distT="0" distB="0" distL="0" distR="0" wp14:anchorId="4A2EC959" wp14:editId="2374F534">
            <wp:extent cx="5943600" cy="3251200"/>
            <wp:effectExtent l="0" t="0" r="0" b="6350"/>
            <wp:docPr id="77186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3724" name=""/>
                    <pic:cNvPicPr/>
                  </pic:nvPicPr>
                  <pic:blipFill rotWithShape="1">
                    <a:blip r:embed="rId9"/>
                    <a:srcRect t="4786"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68732" w14:textId="264C71D2" w:rsidR="00D833E5" w:rsidRDefault="00A86BF2" w:rsidP="00A86BF2">
      <w:pPr>
        <w:pStyle w:val="ListParagraph"/>
        <w:numPr>
          <w:ilvl w:val="0"/>
          <w:numId w:val="1"/>
        </w:numPr>
      </w:pPr>
      <w:r>
        <w:t>Th</w:t>
      </w:r>
      <w:r w:rsidR="00EE594C">
        <w:t>is may the most important issue: Th</w:t>
      </w:r>
      <w:r>
        <w:t xml:space="preserve">e online tool </w:t>
      </w:r>
      <w:r w:rsidR="00EE594C">
        <w:t xml:space="preserve">like the </w:t>
      </w:r>
      <w:r>
        <w:t xml:space="preserve">offline tool should be able to perform the performance compliance using the simulation tool. It should be </w:t>
      </w:r>
      <w:r>
        <w:lastRenderedPageBreak/>
        <w:t xml:space="preserve">possible to connect the online tool to run in the background the </w:t>
      </w:r>
      <w:r w:rsidR="00EE594C">
        <w:t xml:space="preserve">simulation tool (KBEAT tool uses the same DOE2.2 simulation engine). Otherwise, this online tool is not useful! Let us discuss this issue if there is an issue of running DOE2.2. </w:t>
      </w:r>
    </w:p>
    <w:p w14:paraId="25C1AFF6" w14:textId="77777777" w:rsidR="00EE594C" w:rsidRDefault="00EE594C" w:rsidP="00EE594C">
      <w:pPr>
        <w:pStyle w:val="ListParagraph"/>
      </w:pPr>
    </w:p>
    <w:p w14:paraId="6D2EEE30" w14:textId="1391BE67" w:rsidR="00D833E5" w:rsidRDefault="00D833E5">
      <w:r>
        <w:rPr>
          <w:noProof/>
        </w:rPr>
        <w:drawing>
          <wp:inline distT="0" distB="0" distL="0" distR="0" wp14:anchorId="594227B2" wp14:editId="0F17CA76">
            <wp:extent cx="5943600" cy="3302000"/>
            <wp:effectExtent l="0" t="0" r="0" b="0"/>
            <wp:docPr id="2083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372" name=""/>
                    <pic:cNvPicPr/>
                  </pic:nvPicPr>
                  <pic:blipFill rotWithShape="1">
                    <a:blip r:embed="rId10"/>
                    <a:srcRect t="5299" b="5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22920" w14:textId="2FDEB9BC" w:rsidR="00D833E5" w:rsidRDefault="00EE594C" w:rsidP="00EE594C">
      <w:pPr>
        <w:pStyle w:val="ListParagraph"/>
        <w:numPr>
          <w:ilvl w:val="0"/>
          <w:numId w:val="1"/>
        </w:numPr>
      </w:pPr>
      <w:r>
        <w:t>The compliance report should be like the old version as noted below:</w:t>
      </w:r>
    </w:p>
    <w:p w14:paraId="7EE252BA" w14:textId="4B8CAF9E" w:rsidR="00D833E5" w:rsidRDefault="00D833E5">
      <w:r w:rsidRPr="00201080">
        <w:rPr>
          <w:noProof/>
        </w:rPr>
        <w:lastRenderedPageBreak/>
        <w:drawing>
          <wp:inline distT="0" distB="0" distL="0" distR="0" wp14:anchorId="6F3A1896" wp14:editId="22CE2AAE">
            <wp:extent cx="4962525" cy="6742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359" cy="674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61C"/>
    <w:multiLevelType w:val="hybridMultilevel"/>
    <w:tmpl w:val="68889A7A"/>
    <w:lvl w:ilvl="0" w:tplc="06F68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74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E5"/>
    <w:rsid w:val="0016333A"/>
    <w:rsid w:val="00A86BF2"/>
    <w:rsid w:val="00CA76CB"/>
    <w:rsid w:val="00D833E5"/>
    <w:rsid w:val="00EE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6FA7"/>
  <w15:chartTrackingRefBased/>
  <w15:docId w15:val="{AAE219D7-87E3-41F8-82A8-85015A75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Moncef Krarti</dc:creator>
  <cp:keywords/>
  <dc:description/>
  <cp:lastModifiedBy>Moncef Krarti</cp:lastModifiedBy>
  <cp:revision>2</cp:revision>
  <dcterms:created xsi:type="dcterms:W3CDTF">2026-07-16T16:03:00Z</dcterms:created>
  <dcterms:modified xsi:type="dcterms:W3CDTF">2026-07-16T16:27:00Z</dcterms:modified>
</cp:coreProperties>
</file>