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Job Tracker – Technical Documentation</w:t>
      </w:r>
    </w:p>
    <w:p>
      <w:pPr>
        <w:pStyle w:val="Heading2"/>
      </w:pPr>
      <w:r>
        <w:t>1.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2276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application follows a decoupled, high-performance architecture designed for scalability and low latency.</w:t>
        <w:br/>
        <w:br/>
        <w:t>Frontend: React.js Single Page Application (SPA) handling UI and LocalStorage-based persistence.</w:t>
        <w:br/>
        <w:t>Backend: Fastify (Node.js) server optimized for high throughput.</w:t>
        <w:br/>
        <w:t>AI Integration: Stateless communication with Google Gemini-1.5-Flash for semantic matching.</w:t>
        <w:br/>
        <w:t>External Data: Live job listings fetched via the Adzuna Job Search API.</w:t>
      </w:r>
    </w:p>
    <w:p>
      <w:pPr>
        <w:pStyle w:val="Heading2"/>
      </w:pPr>
      <w:r>
        <w:t>2. AI Matching Logic</w:t>
      </w:r>
    </w:p>
    <w:p>
      <w:r>
        <w:t>Semantic Analysis: Uses Gemini AI to evaluate skill context, seniority, and relevance.</w:t>
        <w:br/>
        <w:br/>
        <w:t>Fallback Reliability: Regex-based manual keyword matcher ensures uninterrupted scoring during AI downtime.</w:t>
        <w:br/>
        <w:br/>
        <w:t>Parallel Processing: Promise.all() enables concurrent job-resume matching for faster response times.</w:t>
      </w:r>
    </w:p>
    <w:p>
      <w:pPr>
        <w:pStyle w:val="Heading2"/>
      </w:pPr>
      <w:r>
        <w:t>3. Critical Thinking: Popup Flow</w:t>
      </w:r>
    </w:p>
    <w:p>
      <w:r>
        <w:t>Event-Driven Detection: window.focus event triggers confirmation when users return after applying externally.</w:t>
        <w:br/>
        <w:br/>
        <w:t>Edge Case Handling: Popup appears only if an Apply link was clicked beforehand.</w:t>
        <w:br/>
        <w:br/>
        <w:t>Design Choice: Automated confirmation improves accuracy over manual logging.</w:t>
      </w:r>
    </w:p>
    <w:p>
      <w:pPr>
        <w:pStyle w:val="Heading2"/>
      </w:pPr>
      <w:r>
        <w:t>4. Scalability &amp; Tradeoffs</w:t>
      </w:r>
    </w:p>
    <w:p>
      <w:r>
        <w:t>Scalability: Redis caching proposed for storing frequent job-resume match scores.</w:t>
        <w:br/>
        <w:br/>
        <w:t>Tradeoff – Persistence: LocalStorage chosen for demo simplicity; PostgreSQL recommended for production.</w:t>
        <w:br/>
        <w:br/>
        <w:t>Tradeoff – Complexity: MERN-lite stack (Fastify) reduces boilerplate while maintaining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