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E691EE" w14:textId="77777777" w:rsidR="00E64DED" w:rsidRDefault="00A1167F">
      <w:pPr>
        <w:spacing w:after="80"/>
      </w:pPr>
      <w:r>
        <w:rPr>
          <w:b/>
          <w:bCs/>
          <w:color w:val="1F4E78"/>
          <w:sz w:val="36"/>
          <w:szCs w:val="36"/>
        </w:rPr>
        <w:t>Diagnostic Report: Customer Churn &amp; Revenue Concentration</w:t>
      </w:r>
    </w:p>
    <w:p w14:paraId="2AE691EF" w14:textId="77777777" w:rsidR="00E64DED" w:rsidRDefault="00A1167F">
      <w:pPr>
        <w:spacing w:after="60"/>
      </w:pPr>
      <w:r>
        <w:rPr>
          <w:color w:val="666666"/>
          <w:sz w:val="22"/>
          <w:szCs w:val="22"/>
        </w:rPr>
        <w:t>Online Retail Business — December 2010 to December 2011</w:t>
      </w:r>
    </w:p>
    <w:p w14:paraId="2AE691F0" w14:textId="77777777" w:rsidR="00E64DED" w:rsidRDefault="00A1167F">
      <w:pPr>
        <w:spacing w:after="300"/>
      </w:pPr>
      <w:r>
        <w:rPr>
          <w:color w:val="666666"/>
        </w:rPr>
        <w:t>Prepared from the cleaned transactional data model (531,237 rows; 4,334 identified customers)</w:t>
      </w:r>
    </w:p>
    <w:p w14:paraId="2AE691F1" w14:textId="77777777" w:rsidR="00E64DED" w:rsidRDefault="00A1167F">
      <w:pPr>
        <w:pStyle w:val="Heading1"/>
        <w:spacing w:before="280" w:after="120"/>
      </w:pPr>
      <w:r>
        <w:rPr>
          <w:color w:val="1F4E78"/>
        </w:rPr>
        <w:t>1. Problem Statement</w:t>
      </w:r>
    </w:p>
    <w:p w14:paraId="2AE691F2" w14:textId="77777777" w:rsidR="00E64DED" w:rsidRDefault="00A1167F">
      <w:pPr>
        <w:spacing w:after="140"/>
      </w:pPr>
      <w:r>
        <w:rPr>
          <w:sz w:val="22"/>
          <w:szCs w:val="22"/>
        </w:rPr>
        <w:t xml:space="preserve">Foot traffic — order volume and the number of active customers — grew steadily across 2011, roughly doubling from December 2010 to November 2011. Total revenue grew alongside it. But revenue growth is not coming from getting more value out of the existing </w:t>
      </w:r>
      <w:r>
        <w:rPr>
          <w:sz w:val="22"/>
          <w:szCs w:val="22"/>
        </w:rPr>
        <w:t>customer base: revenue per customer was effectively flat across the year (£858 in December 2010 vs. £860 in November 2011), even as the business added hundreds of new customers every month. In other words, the business is running hard to acquire new traffi</w:t>
      </w:r>
      <w:r>
        <w:rPr>
          <w:sz w:val="22"/>
          <w:szCs w:val="22"/>
        </w:rPr>
        <w:t>c just to stand still on a per-customer basis, while roughly a third of its customer base churns out the back door. This report identifies which customer cohorts are churning fastest, which geographic segments are dragging on per-customer monetization, and</w:t>
      </w:r>
      <w:r>
        <w:rPr>
          <w:sz w:val="22"/>
          <w:szCs w:val="22"/>
        </w:rPr>
        <w:t xml:space="preserve"> what is driving the gap between traffic and revenue growth.</w:t>
      </w:r>
    </w:p>
    <w:p w14:paraId="2AE691F3" w14:textId="77777777" w:rsidR="00E64DED" w:rsidRDefault="00A1167F">
      <w:pPr>
        <w:pStyle w:val="Heading1"/>
        <w:spacing w:before="280" w:after="120"/>
      </w:pPr>
      <w:r>
        <w:rPr>
          <w:color w:val="1F4E78"/>
        </w:rPr>
        <w:t>2. Headline Numbers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E64DED" w14:paraId="2AE691F6" w14:textId="77777777">
        <w:tblPrEx>
          <w:tblCellMar>
            <w:top w:w="0" w:type="dxa"/>
            <w:bottom w:w="0" w:type="dxa"/>
          </w:tblCellMar>
        </w:tblPrEx>
        <w:tc>
          <w:tcPr>
            <w:tcW w:w="5000" w:type="dxa"/>
            <w:shd w:val="clear" w:color="auto" w:fill="1F4E78"/>
          </w:tcPr>
          <w:p w14:paraId="2AE691F4" w14:textId="77777777" w:rsidR="00E64DED" w:rsidRDefault="00A1167F">
            <w:r>
              <w:rPr>
                <w:b/>
                <w:bCs/>
                <w:color w:val="FFFFFF"/>
              </w:rPr>
              <w:t>Metric</w:t>
            </w:r>
          </w:p>
        </w:tc>
        <w:tc>
          <w:tcPr>
            <w:tcW w:w="4000" w:type="dxa"/>
            <w:shd w:val="clear" w:color="auto" w:fill="1F4E78"/>
          </w:tcPr>
          <w:p w14:paraId="2AE691F5" w14:textId="77777777" w:rsidR="00E64DED" w:rsidRDefault="00A1167F">
            <w:r>
              <w:rPr>
                <w:b/>
                <w:bCs/>
                <w:color w:val="FFFFFF"/>
              </w:rPr>
              <w:t>Value</w:t>
            </w:r>
          </w:p>
        </w:tc>
      </w:tr>
      <w:tr w:rsidR="00E64DED" w14:paraId="2AE691F9" w14:textId="77777777">
        <w:tblPrEx>
          <w:tblCellMar>
            <w:top w:w="0" w:type="dxa"/>
            <w:bottom w:w="0" w:type="dxa"/>
          </w:tblCellMar>
        </w:tblPrEx>
        <w:tc>
          <w:tcPr>
            <w:tcW w:w="5000" w:type="dxa"/>
          </w:tcPr>
          <w:p w14:paraId="2AE691F7" w14:textId="77777777" w:rsidR="00E64DED" w:rsidRDefault="00A1167F">
            <w:r>
              <w:t xml:space="preserve">Identified customers </w:t>
            </w:r>
            <w:proofErr w:type="spellStart"/>
            <w:r>
              <w:t>analyzed</w:t>
            </w:r>
            <w:proofErr w:type="spellEnd"/>
          </w:p>
        </w:tc>
        <w:tc>
          <w:tcPr>
            <w:tcW w:w="4000" w:type="dxa"/>
          </w:tcPr>
          <w:p w14:paraId="2AE691F8" w14:textId="77777777" w:rsidR="00E64DED" w:rsidRDefault="00A1167F">
            <w:r>
              <w:t>4,334</w:t>
            </w:r>
          </w:p>
        </w:tc>
      </w:tr>
      <w:tr w:rsidR="00E64DED" w14:paraId="2AE691FC" w14:textId="77777777">
        <w:tblPrEx>
          <w:tblCellMar>
            <w:top w:w="0" w:type="dxa"/>
            <w:bottom w:w="0" w:type="dxa"/>
          </w:tblCellMar>
        </w:tblPrEx>
        <w:tc>
          <w:tcPr>
            <w:tcW w:w="5000" w:type="dxa"/>
          </w:tcPr>
          <w:p w14:paraId="2AE691FA" w14:textId="77777777" w:rsidR="00E64DED" w:rsidRDefault="00A1167F">
            <w:r>
              <w:t>Overall churn rate (no purchase in 90+ days)</w:t>
            </w:r>
          </w:p>
        </w:tc>
        <w:tc>
          <w:tcPr>
            <w:tcW w:w="4000" w:type="dxa"/>
          </w:tcPr>
          <w:p w14:paraId="2AE691FB" w14:textId="77777777" w:rsidR="00E64DED" w:rsidRDefault="00A1167F">
            <w:r>
              <w:t>33.4%</w:t>
            </w:r>
          </w:p>
        </w:tc>
      </w:tr>
      <w:tr w:rsidR="00E64DED" w14:paraId="2AE691FF" w14:textId="77777777">
        <w:tblPrEx>
          <w:tblCellMar>
            <w:top w:w="0" w:type="dxa"/>
            <w:bottom w:w="0" w:type="dxa"/>
          </w:tblCellMar>
        </w:tblPrEx>
        <w:tc>
          <w:tcPr>
            <w:tcW w:w="5000" w:type="dxa"/>
          </w:tcPr>
          <w:p w14:paraId="2AE691FD" w14:textId="77777777" w:rsidR="00E64DED" w:rsidRDefault="00A1167F">
            <w:r>
              <w:t>One-time buyers who churn</w:t>
            </w:r>
          </w:p>
        </w:tc>
        <w:tc>
          <w:tcPr>
            <w:tcW w:w="4000" w:type="dxa"/>
          </w:tcPr>
          <w:p w14:paraId="2AE691FE" w14:textId="77777777" w:rsidR="00E64DED" w:rsidRDefault="00A1167F">
            <w:r>
              <w:t>56.7% (n=1,505, 35% of base)</w:t>
            </w:r>
          </w:p>
        </w:tc>
      </w:tr>
      <w:tr w:rsidR="00E64DED" w14:paraId="2AE69202" w14:textId="77777777">
        <w:tblPrEx>
          <w:tblCellMar>
            <w:top w:w="0" w:type="dxa"/>
            <w:bottom w:w="0" w:type="dxa"/>
          </w:tblCellMar>
        </w:tblPrEx>
        <w:tc>
          <w:tcPr>
            <w:tcW w:w="5000" w:type="dxa"/>
          </w:tcPr>
          <w:p w14:paraId="2AE69200" w14:textId="77777777" w:rsidR="00E64DED" w:rsidRDefault="00A1167F">
            <w:r>
              <w:t>Repeat buyers (2+ orders) who churn</w:t>
            </w:r>
          </w:p>
        </w:tc>
        <w:tc>
          <w:tcPr>
            <w:tcW w:w="4000" w:type="dxa"/>
          </w:tcPr>
          <w:p w14:paraId="2AE69201" w14:textId="77777777" w:rsidR="00E64DED" w:rsidRDefault="00A1167F">
            <w:r>
              <w:t>21.0% (n=2,829, 65% of base)</w:t>
            </w:r>
          </w:p>
        </w:tc>
      </w:tr>
      <w:tr w:rsidR="00E64DED" w14:paraId="2AE69205" w14:textId="77777777">
        <w:tblPrEx>
          <w:tblCellMar>
            <w:top w:w="0" w:type="dxa"/>
            <w:bottom w:w="0" w:type="dxa"/>
          </w:tblCellMar>
        </w:tblPrEx>
        <w:tc>
          <w:tcPr>
            <w:tcW w:w="5000" w:type="dxa"/>
          </w:tcPr>
          <w:p w14:paraId="2AE69203" w14:textId="77777777" w:rsidR="00E64DED" w:rsidRDefault="00A1167F">
            <w:r>
              <w:t>Revenue per customer, Dec-2010 vs Nov-2011</w:t>
            </w:r>
          </w:p>
        </w:tc>
        <w:tc>
          <w:tcPr>
            <w:tcW w:w="4000" w:type="dxa"/>
          </w:tcPr>
          <w:p w14:paraId="2AE69204" w14:textId="77777777" w:rsidR="00E64DED" w:rsidRDefault="00A1167F">
            <w:r>
              <w:t>£858 → £860 (+0.2%)</w:t>
            </w:r>
          </w:p>
        </w:tc>
      </w:tr>
      <w:tr w:rsidR="00E64DED" w14:paraId="2AE69208" w14:textId="77777777">
        <w:tblPrEx>
          <w:tblCellMar>
            <w:top w:w="0" w:type="dxa"/>
            <w:bottom w:w="0" w:type="dxa"/>
          </w:tblCellMar>
        </w:tblPrEx>
        <w:tc>
          <w:tcPr>
            <w:tcW w:w="5000" w:type="dxa"/>
          </w:tcPr>
          <w:p w14:paraId="2AE69206" w14:textId="77777777" w:rsidR="00E64DED" w:rsidRDefault="00A1167F">
            <w:r>
              <w:t>Order volume growth, Dec-2010 vs Nov-2011</w:t>
            </w:r>
          </w:p>
        </w:tc>
        <w:tc>
          <w:tcPr>
            <w:tcW w:w="4000" w:type="dxa"/>
          </w:tcPr>
          <w:p w14:paraId="2AE69207" w14:textId="77777777" w:rsidR="00E64DED" w:rsidRDefault="00A1167F">
            <w:r>
              <w:t>+70%</w:t>
            </w:r>
          </w:p>
        </w:tc>
      </w:tr>
      <w:tr w:rsidR="00E64DED" w14:paraId="2AE6920B" w14:textId="77777777">
        <w:tblPrEx>
          <w:tblCellMar>
            <w:top w:w="0" w:type="dxa"/>
            <w:bottom w:w="0" w:type="dxa"/>
          </w:tblCellMar>
        </w:tblPrEx>
        <w:tc>
          <w:tcPr>
            <w:tcW w:w="5000" w:type="dxa"/>
          </w:tcPr>
          <w:p w14:paraId="2AE69209" w14:textId="77777777" w:rsidR="00E64DED" w:rsidRDefault="00A1167F">
            <w:r>
              <w:t>Customer count growth, Dec-2010 vs Nov-2011</w:t>
            </w:r>
          </w:p>
        </w:tc>
        <w:tc>
          <w:tcPr>
            <w:tcW w:w="4000" w:type="dxa"/>
          </w:tcPr>
          <w:p w14:paraId="2AE6920A" w14:textId="77777777" w:rsidR="00E64DED" w:rsidRDefault="00A1167F">
            <w:r>
              <w:t>+88%</w:t>
            </w:r>
          </w:p>
        </w:tc>
      </w:tr>
    </w:tbl>
    <w:p w14:paraId="2AE6920C" w14:textId="77777777" w:rsidR="00E64DED" w:rsidRDefault="00E64DED">
      <w:pPr>
        <w:spacing w:after="140"/>
      </w:pPr>
    </w:p>
    <w:p w14:paraId="2AE6920D" w14:textId="77777777" w:rsidR="00E64DED" w:rsidRDefault="00A1167F">
      <w:pPr>
        <w:pStyle w:val="Heading1"/>
        <w:spacing w:before="280" w:after="120"/>
      </w:pPr>
      <w:r>
        <w:rPr>
          <w:color w:val="1F4E78"/>
        </w:rPr>
        <w:t>3. High-Churn Cohorts</w:t>
      </w:r>
    </w:p>
    <w:p w14:paraId="2AE6920E" w14:textId="77777777" w:rsidR="00E64DED" w:rsidRDefault="00A1167F">
      <w:pPr>
        <w:spacing w:after="140"/>
      </w:pPr>
      <w:r>
        <w:rPr>
          <w:sz w:val="22"/>
          <w:szCs w:val="22"/>
        </w:rPr>
        <w:t xml:space="preserve">The monthly cohort retention table (see </w:t>
      </w:r>
      <w:proofErr w:type="spellStart"/>
      <w:r>
        <w:rPr>
          <w:sz w:val="22"/>
          <w:szCs w:val="22"/>
        </w:rPr>
        <w:t>Cohort_Analysis</w:t>
      </w:r>
      <w:proofErr w:type="spellEnd"/>
      <w:r>
        <w:rPr>
          <w:sz w:val="22"/>
          <w:szCs w:val="22"/>
        </w:rPr>
        <w:t xml:space="preserve"> sheet) shows a clear and worsening pattern: newer cohorts retain worse than the founding cohort.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200"/>
      </w:tblGrid>
      <w:tr w:rsidR="00E64DED" w14:paraId="2AE69212" w14:textId="77777777">
        <w:tblPrEx>
          <w:tblCellMar>
            <w:top w:w="0" w:type="dxa"/>
            <w:bottom w:w="0" w:type="dxa"/>
          </w:tblCellMar>
        </w:tblPrEx>
        <w:tc>
          <w:tcPr>
            <w:tcW w:w="4000" w:type="dxa"/>
            <w:shd w:val="clear" w:color="auto" w:fill="1F4E78"/>
          </w:tcPr>
          <w:p w14:paraId="2AE6920F" w14:textId="77777777" w:rsidR="00E64DED" w:rsidRDefault="00A1167F">
            <w:r>
              <w:rPr>
                <w:b/>
                <w:bCs/>
                <w:color w:val="FFFFFF"/>
              </w:rPr>
              <w:t>Acquisition Cohort</w:t>
            </w:r>
          </w:p>
        </w:tc>
        <w:tc>
          <w:tcPr>
            <w:tcW w:w="2800" w:type="dxa"/>
            <w:shd w:val="clear" w:color="auto" w:fill="1F4E78"/>
          </w:tcPr>
          <w:p w14:paraId="2AE69210" w14:textId="77777777" w:rsidR="00E64DED" w:rsidRDefault="00A1167F">
            <w:r>
              <w:rPr>
                <w:b/>
                <w:bCs/>
                <w:color w:val="FFFFFF"/>
              </w:rPr>
              <w:t>Month-1 Retention</w:t>
            </w:r>
          </w:p>
        </w:tc>
        <w:tc>
          <w:tcPr>
            <w:tcW w:w="2200" w:type="dxa"/>
            <w:shd w:val="clear" w:color="auto" w:fill="1F4E78"/>
          </w:tcPr>
          <w:p w14:paraId="2AE69211" w14:textId="77777777" w:rsidR="00E64DED" w:rsidRDefault="00A1167F">
            <w:r>
              <w:rPr>
                <w:b/>
                <w:bCs/>
                <w:color w:val="FFFFFF"/>
              </w:rPr>
              <w:t>Cohort Size</w:t>
            </w:r>
          </w:p>
        </w:tc>
      </w:tr>
      <w:tr w:rsidR="00E64DED" w14:paraId="2AE69216" w14:textId="77777777">
        <w:tblPrEx>
          <w:tblCellMar>
            <w:top w:w="0" w:type="dxa"/>
            <w:bottom w:w="0" w:type="dxa"/>
          </w:tblCellMar>
        </w:tblPrEx>
        <w:tc>
          <w:tcPr>
            <w:tcW w:w="4000" w:type="dxa"/>
          </w:tcPr>
          <w:p w14:paraId="2AE69213" w14:textId="77777777" w:rsidR="00E64DED" w:rsidRDefault="00A1167F">
            <w:r>
              <w:t>Dec 2010 (founding cohort)</w:t>
            </w:r>
          </w:p>
        </w:tc>
        <w:tc>
          <w:tcPr>
            <w:tcW w:w="2800" w:type="dxa"/>
          </w:tcPr>
          <w:p w14:paraId="2AE69214" w14:textId="77777777" w:rsidR="00E64DED" w:rsidRDefault="00A1167F">
            <w:r>
              <w:t>36.5%</w:t>
            </w:r>
          </w:p>
        </w:tc>
        <w:tc>
          <w:tcPr>
            <w:tcW w:w="2200" w:type="dxa"/>
          </w:tcPr>
          <w:p w14:paraId="2AE69215" w14:textId="77777777" w:rsidR="00E64DED" w:rsidRDefault="00A1167F">
            <w:r>
              <w:t>884 customers</w:t>
            </w:r>
          </w:p>
        </w:tc>
      </w:tr>
      <w:tr w:rsidR="00E64DED" w14:paraId="2AE6921A" w14:textId="77777777">
        <w:tblPrEx>
          <w:tblCellMar>
            <w:top w:w="0" w:type="dxa"/>
            <w:bottom w:w="0" w:type="dxa"/>
          </w:tblCellMar>
        </w:tblPrEx>
        <w:tc>
          <w:tcPr>
            <w:tcW w:w="4000" w:type="dxa"/>
          </w:tcPr>
          <w:p w14:paraId="2AE69217" w14:textId="77777777" w:rsidR="00E64DED" w:rsidRDefault="00A1167F">
            <w:r>
              <w:t>Jan–Mar 2011</w:t>
            </w:r>
          </w:p>
        </w:tc>
        <w:tc>
          <w:tcPr>
            <w:tcW w:w="2800" w:type="dxa"/>
          </w:tcPr>
          <w:p w14:paraId="2AE69218" w14:textId="77777777" w:rsidR="00E64DED" w:rsidRDefault="00A1167F">
            <w:r>
              <w:t>15–27%</w:t>
            </w:r>
          </w:p>
        </w:tc>
        <w:tc>
          <w:tcPr>
            <w:tcW w:w="2200" w:type="dxa"/>
          </w:tcPr>
          <w:p w14:paraId="2AE69219" w14:textId="77777777" w:rsidR="00E64DED" w:rsidRDefault="00A1167F">
            <w:r>
              <w:t>1,248 customers combined</w:t>
            </w:r>
          </w:p>
        </w:tc>
      </w:tr>
      <w:tr w:rsidR="00E64DED" w14:paraId="2AE6921E" w14:textId="77777777">
        <w:tblPrEx>
          <w:tblCellMar>
            <w:top w:w="0" w:type="dxa"/>
            <w:bottom w:w="0" w:type="dxa"/>
          </w:tblCellMar>
        </w:tblPrEx>
        <w:tc>
          <w:tcPr>
            <w:tcW w:w="4000" w:type="dxa"/>
          </w:tcPr>
          <w:p w14:paraId="2AE6921B" w14:textId="77777777" w:rsidR="00E64DED" w:rsidRDefault="00A1167F">
            <w:r>
              <w:t>Apr–Aug 2011 (steepest decline)</w:t>
            </w:r>
          </w:p>
        </w:tc>
        <w:tc>
          <w:tcPr>
            <w:tcW w:w="2800" w:type="dxa"/>
          </w:tcPr>
          <w:p w14:paraId="2AE6921C" w14:textId="77777777" w:rsidR="00E64DED" w:rsidRDefault="00A1167F">
            <w:r>
              <w:t>17–21%</w:t>
            </w:r>
          </w:p>
        </w:tc>
        <w:tc>
          <w:tcPr>
            <w:tcW w:w="2200" w:type="dxa"/>
          </w:tcPr>
          <w:p w14:paraId="2AE6921D" w14:textId="77777777" w:rsidR="00E64DED" w:rsidRDefault="00A1167F">
            <w:r>
              <w:t>1,182 customers combined</w:t>
            </w:r>
          </w:p>
        </w:tc>
      </w:tr>
      <w:tr w:rsidR="00E64DED" w14:paraId="2AE69222" w14:textId="77777777">
        <w:tblPrEx>
          <w:tblCellMar>
            <w:top w:w="0" w:type="dxa"/>
            <w:bottom w:w="0" w:type="dxa"/>
          </w:tblCellMar>
        </w:tblPrEx>
        <w:tc>
          <w:tcPr>
            <w:tcW w:w="4000" w:type="dxa"/>
          </w:tcPr>
          <w:p w14:paraId="2AE6921F" w14:textId="77777777" w:rsidR="00E64DED" w:rsidRDefault="00A1167F">
            <w:r>
              <w:t>Sep–Nov 2011 (most recent, still maturing)</w:t>
            </w:r>
          </w:p>
        </w:tc>
        <w:tc>
          <w:tcPr>
            <w:tcW w:w="2800" w:type="dxa"/>
          </w:tcPr>
          <w:p w14:paraId="2AE69220" w14:textId="77777777" w:rsidR="00E64DED" w:rsidRDefault="00A1167F">
            <w:r>
              <w:t>11–23%</w:t>
            </w:r>
          </w:p>
        </w:tc>
        <w:tc>
          <w:tcPr>
            <w:tcW w:w="2200" w:type="dxa"/>
          </w:tcPr>
          <w:p w14:paraId="2AE69221" w14:textId="77777777" w:rsidR="00E64DED" w:rsidRDefault="00A1167F">
            <w:r>
              <w:t>979 customers combined</w:t>
            </w:r>
          </w:p>
        </w:tc>
      </w:tr>
    </w:tbl>
    <w:p w14:paraId="2AE69223" w14:textId="77777777" w:rsidR="00E64DED" w:rsidRDefault="00E64DED">
      <w:pPr>
        <w:spacing w:after="140"/>
      </w:pPr>
    </w:p>
    <w:p w14:paraId="2AE69224" w14:textId="77777777" w:rsidR="00E64DED" w:rsidRDefault="00A1167F">
      <w:pPr>
        <w:spacing w:after="140"/>
      </w:pPr>
      <w:r>
        <w:rPr>
          <w:sz w:val="22"/>
          <w:szCs w:val="22"/>
        </w:rPr>
        <w:t>Two structural drivers explain most of this decay:</w:t>
      </w:r>
    </w:p>
    <w:p w14:paraId="2AE69225" w14:textId="77777777" w:rsidR="00E64DED" w:rsidRDefault="00A1167F">
      <w:pPr>
        <w:pStyle w:val="ListParagraph"/>
        <w:numPr>
          <w:ilvl w:val="0"/>
          <w:numId w:val="1"/>
        </w:numPr>
        <w:spacing w:after="80"/>
      </w:pPr>
      <w:r>
        <w:rPr>
          <w:sz w:val="22"/>
          <w:szCs w:val="22"/>
        </w:rPr>
        <w:t>One-time buyers churn at 56.7%, versus 21.0% for anyone who places a second order. Every cohort after Dec-2010 has a lower repeat-purchase share than the founding cohort, which mechanically drags down that cohort's retention curve.</w:t>
      </w:r>
    </w:p>
    <w:p w14:paraId="2AE69226" w14:textId="77777777" w:rsidR="00E64DED" w:rsidRDefault="00A1167F">
      <w:pPr>
        <w:pStyle w:val="ListParagraph"/>
        <w:numPr>
          <w:ilvl w:val="0"/>
          <w:numId w:val="1"/>
        </w:numPr>
        <w:spacing w:after="80"/>
      </w:pPr>
      <w:r>
        <w:rPr>
          <w:sz w:val="22"/>
          <w:szCs w:val="22"/>
        </w:rPr>
        <w:t>Low-spend customers chur</w:t>
      </w:r>
      <w:r>
        <w:rPr>
          <w:sz w:val="22"/>
          <w:szCs w:val="22"/>
        </w:rPr>
        <w:t>n far more than high-spend ones: 56.3% churn in the bottom spend quartile versus 8.9% in the top quartile — an almost perfectly monotonic relationship across all four quartiles (56.3% → 43.4% → 25.1% → 8.9%).</w:t>
      </w:r>
    </w:p>
    <w:p w14:paraId="2AE69227" w14:textId="77777777" w:rsidR="00E64DED" w:rsidRDefault="00A1167F">
      <w:pPr>
        <w:pStyle w:val="ListParagraph"/>
        <w:numPr>
          <w:ilvl w:val="0"/>
          <w:numId w:val="1"/>
        </w:numPr>
        <w:spacing w:after="80"/>
      </w:pPr>
      <w:r>
        <w:rPr>
          <w:sz w:val="22"/>
          <w:szCs w:val="22"/>
        </w:rPr>
        <w:lastRenderedPageBreak/>
        <w:t>Customers who have never had a cancelled order churn at 39.9%, almost double the rate of customers who have cancelled at least once (21.4%). This is counter-intuitive at first, but it fits the same pattern: customers who cancel are disproportionately repea</w:t>
      </w:r>
      <w:r>
        <w:rPr>
          <w:sz w:val="22"/>
          <w:szCs w:val="22"/>
        </w:rPr>
        <w:t>t, higher-frequency buyers who are still engaged enough to place — and occasionally reverse — orders. Customers who simply stop buying, with no order to cancel, are the ones actually gone.</w:t>
      </w:r>
    </w:p>
    <w:p w14:paraId="2AE69228" w14:textId="77777777" w:rsidR="00E64DED" w:rsidRDefault="00A1167F">
      <w:pPr>
        <w:pStyle w:val="Heading1"/>
        <w:spacing w:before="280" w:after="120"/>
      </w:pPr>
      <w:r>
        <w:rPr>
          <w:color w:val="1F4E78"/>
        </w:rPr>
        <w:t>4. Underperforming Geographic Segments</w:t>
      </w:r>
    </w:p>
    <w:p w14:paraId="2AE69229" w14:textId="77777777" w:rsidR="00E64DED" w:rsidRDefault="00A1167F">
      <w:pPr>
        <w:spacing w:after="140"/>
      </w:pPr>
      <w:r>
        <w:rPr>
          <w:sz w:val="22"/>
          <w:szCs w:val="22"/>
        </w:rPr>
        <w:t xml:space="preserve">Comparing the first half of </w:t>
      </w:r>
      <w:r>
        <w:rPr>
          <w:sz w:val="22"/>
          <w:szCs w:val="22"/>
        </w:rPr>
        <w:t>the dataset (Dec 2010–May 2011) to the second half (Jun–Nov 2011) isolates which markets are actually improving in per-customer value versus which are declining, independent of overall customer growth.</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2600"/>
        <w:gridCol w:w="2000"/>
      </w:tblGrid>
      <w:tr w:rsidR="00E64DED" w14:paraId="2AE6922E" w14:textId="77777777">
        <w:tblPrEx>
          <w:tblCellMar>
            <w:top w:w="0" w:type="dxa"/>
            <w:bottom w:w="0" w:type="dxa"/>
          </w:tblCellMar>
        </w:tblPrEx>
        <w:tc>
          <w:tcPr>
            <w:tcW w:w="3000" w:type="dxa"/>
            <w:shd w:val="clear" w:color="auto" w:fill="1F4E78"/>
          </w:tcPr>
          <w:p w14:paraId="2AE6922A" w14:textId="77777777" w:rsidR="00E64DED" w:rsidRDefault="00A1167F">
            <w:r>
              <w:rPr>
                <w:b/>
                <w:bCs/>
                <w:color w:val="FFFFFF"/>
              </w:rPr>
              <w:t>Country</w:t>
            </w:r>
          </w:p>
        </w:tc>
        <w:tc>
          <w:tcPr>
            <w:tcW w:w="2600" w:type="dxa"/>
            <w:shd w:val="clear" w:color="auto" w:fill="1F4E78"/>
          </w:tcPr>
          <w:p w14:paraId="2AE6922B" w14:textId="77777777" w:rsidR="00E64DED" w:rsidRDefault="00A1167F">
            <w:r>
              <w:rPr>
                <w:b/>
                <w:bCs/>
                <w:color w:val="FFFFFF"/>
              </w:rPr>
              <w:t>Rev/Customer H1 (£)</w:t>
            </w:r>
          </w:p>
        </w:tc>
        <w:tc>
          <w:tcPr>
            <w:tcW w:w="2600" w:type="dxa"/>
            <w:shd w:val="clear" w:color="auto" w:fill="1F4E78"/>
          </w:tcPr>
          <w:p w14:paraId="2AE6922C" w14:textId="77777777" w:rsidR="00E64DED" w:rsidRDefault="00A1167F">
            <w:r>
              <w:rPr>
                <w:b/>
                <w:bCs/>
                <w:color w:val="FFFFFF"/>
              </w:rPr>
              <w:t>Rev/Customer H2 (£)</w:t>
            </w:r>
          </w:p>
        </w:tc>
        <w:tc>
          <w:tcPr>
            <w:tcW w:w="2000" w:type="dxa"/>
            <w:shd w:val="clear" w:color="auto" w:fill="1F4E78"/>
          </w:tcPr>
          <w:p w14:paraId="2AE6922D" w14:textId="77777777" w:rsidR="00E64DED" w:rsidRDefault="00A1167F">
            <w:r>
              <w:rPr>
                <w:b/>
                <w:bCs/>
                <w:color w:val="FFFFFF"/>
              </w:rPr>
              <w:t>Change</w:t>
            </w:r>
          </w:p>
        </w:tc>
      </w:tr>
      <w:tr w:rsidR="00E64DED" w14:paraId="2AE69233" w14:textId="77777777">
        <w:tblPrEx>
          <w:tblCellMar>
            <w:top w:w="0" w:type="dxa"/>
            <w:bottom w:w="0" w:type="dxa"/>
          </w:tblCellMar>
        </w:tblPrEx>
        <w:tc>
          <w:tcPr>
            <w:tcW w:w="3000" w:type="dxa"/>
          </w:tcPr>
          <w:p w14:paraId="2AE6922F" w14:textId="77777777" w:rsidR="00E64DED" w:rsidRDefault="00A1167F">
            <w:r>
              <w:t>Portugal</w:t>
            </w:r>
          </w:p>
        </w:tc>
        <w:tc>
          <w:tcPr>
            <w:tcW w:w="2600" w:type="dxa"/>
          </w:tcPr>
          <w:p w14:paraId="2AE69230" w14:textId="77777777" w:rsidR="00E64DED" w:rsidRDefault="00A1167F">
            <w:r>
              <w:t>1,022</w:t>
            </w:r>
          </w:p>
        </w:tc>
        <w:tc>
          <w:tcPr>
            <w:tcW w:w="2600" w:type="dxa"/>
          </w:tcPr>
          <w:p w14:paraId="2AE69231" w14:textId="77777777" w:rsidR="00E64DED" w:rsidRDefault="00A1167F">
            <w:r>
              <w:t>918</w:t>
            </w:r>
          </w:p>
        </w:tc>
        <w:tc>
          <w:tcPr>
            <w:tcW w:w="2000" w:type="dxa"/>
          </w:tcPr>
          <w:p w14:paraId="2AE69232" w14:textId="77777777" w:rsidR="00E64DED" w:rsidRDefault="00A1167F">
            <w:r>
              <w:t>-10.2%</w:t>
            </w:r>
          </w:p>
        </w:tc>
      </w:tr>
      <w:tr w:rsidR="00E64DED" w14:paraId="2AE69238" w14:textId="77777777">
        <w:tblPrEx>
          <w:tblCellMar>
            <w:top w:w="0" w:type="dxa"/>
            <w:bottom w:w="0" w:type="dxa"/>
          </w:tblCellMar>
        </w:tblPrEx>
        <w:tc>
          <w:tcPr>
            <w:tcW w:w="3000" w:type="dxa"/>
          </w:tcPr>
          <w:p w14:paraId="2AE69234" w14:textId="77777777" w:rsidR="00E64DED" w:rsidRDefault="00A1167F">
            <w:r>
              <w:t>Spain</w:t>
            </w:r>
          </w:p>
        </w:tc>
        <w:tc>
          <w:tcPr>
            <w:tcW w:w="2600" w:type="dxa"/>
          </w:tcPr>
          <w:p w14:paraId="2AE69235" w14:textId="77777777" w:rsidR="00E64DED" w:rsidRDefault="00A1167F">
            <w:r>
              <w:t>1,229</w:t>
            </w:r>
          </w:p>
        </w:tc>
        <w:tc>
          <w:tcPr>
            <w:tcW w:w="2600" w:type="dxa"/>
          </w:tcPr>
          <w:p w14:paraId="2AE69236" w14:textId="77777777" w:rsidR="00E64DED" w:rsidRDefault="00A1167F">
            <w:r>
              <w:t>1,176</w:t>
            </w:r>
          </w:p>
        </w:tc>
        <w:tc>
          <w:tcPr>
            <w:tcW w:w="2000" w:type="dxa"/>
          </w:tcPr>
          <w:p w14:paraId="2AE69237" w14:textId="77777777" w:rsidR="00E64DED" w:rsidRDefault="00A1167F">
            <w:r>
              <w:t>-4.3%</w:t>
            </w:r>
          </w:p>
        </w:tc>
      </w:tr>
      <w:tr w:rsidR="00E64DED" w14:paraId="2AE6923D" w14:textId="77777777">
        <w:tblPrEx>
          <w:tblCellMar>
            <w:top w:w="0" w:type="dxa"/>
            <w:bottom w:w="0" w:type="dxa"/>
          </w:tblCellMar>
        </w:tblPrEx>
        <w:tc>
          <w:tcPr>
            <w:tcW w:w="3000" w:type="dxa"/>
          </w:tcPr>
          <w:p w14:paraId="2AE69239" w14:textId="77777777" w:rsidR="00E64DED" w:rsidRDefault="00A1167F">
            <w:r>
              <w:t>Germany</w:t>
            </w:r>
          </w:p>
        </w:tc>
        <w:tc>
          <w:tcPr>
            <w:tcW w:w="2600" w:type="dxa"/>
          </w:tcPr>
          <w:p w14:paraId="2AE6923A" w14:textId="77777777" w:rsidR="00E64DED" w:rsidRDefault="00A1167F">
            <w:r>
              <w:t>1,448</w:t>
            </w:r>
          </w:p>
        </w:tc>
        <w:tc>
          <w:tcPr>
            <w:tcW w:w="2600" w:type="dxa"/>
          </w:tcPr>
          <w:p w14:paraId="2AE6923B" w14:textId="77777777" w:rsidR="00E64DED" w:rsidRDefault="00A1167F">
            <w:r>
              <w:t>1,391</w:t>
            </w:r>
          </w:p>
        </w:tc>
        <w:tc>
          <w:tcPr>
            <w:tcW w:w="2000" w:type="dxa"/>
          </w:tcPr>
          <w:p w14:paraId="2AE6923C" w14:textId="77777777" w:rsidR="00E64DED" w:rsidRDefault="00A1167F">
            <w:r>
              <w:t>-3.9%</w:t>
            </w:r>
          </w:p>
        </w:tc>
      </w:tr>
      <w:tr w:rsidR="00E64DED" w14:paraId="2AE69242" w14:textId="77777777">
        <w:tblPrEx>
          <w:tblCellMar>
            <w:top w:w="0" w:type="dxa"/>
            <w:bottom w:w="0" w:type="dxa"/>
          </w:tblCellMar>
        </w:tblPrEx>
        <w:tc>
          <w:tcPr>
            <w:tcW w:w="3000" w:type="dxa"/>
          </w:tcPr>
          <w:p w14:paraId="2AE6923E" w14:textId="77777777" w:rsidR="00E64DED" w:rsidRDefault="00A1167F">
            <w:r>
              <w:t>United Kingdom</w:t>
            </w:r>
          </w:p>
        </w:tc>
        <w:tc>
          <w:tcPr>
            <w:tcW w:w="2600" w:type="dxa"/>
          </w:tcPr>
          <w:p w14:paraId="2AE6923F" w14:textId="77777777" w:rsidR="00E64DED" w:rsidRDefault="00A1167F">
            <w:r>
              <w:t>1,017</w:t>
            </w:r>
          </w:p>
        </w:tc>
        <w:tc>
          <w:tcPr>
            <w:tcW w:w="2600" w:type="dxa"/>
          </w:tcPr>
          <w:p w14:paraId="2AE69240" w14:textId="77777777" w:rsidR="00E64DED" w:rsidRDefault="00A1167F">
            <w:r>
              <w:t>1,254</w:t>
            </w:r>
          </w:p>
        </w:tc>
        <w:tc>
          <w:tcPr>
            <w:tcW w:w="2000" w:type="dxa"/>
          </w:tcPr>
          <w:p w14:paraId="2AE69241" w14:textId="77777777" w:rsidR="00E64DED" w:rsidRDefault="00A1167F">
            <w:r>
              <w:t>+23.3%</w:t>
            </w:r>
          </w:p>
        </w:tc>
      </w:tr>
      <w:tr w:rsidR="00E64DED" w14:paraId="2AE69247" w14:textId="77777777">
        <w:tblPrEx>
          <w:tblCellMar>
            <w:top w:w="0" w:type="dxa"/>
            <w:bottom w:w="0" w:type="dxa"/>
          </w:tblCellMar>
        </w:tblPrEx>
        <w:tc>
          <w:tcPr>
            <w:tcW w:w="3000" w:type="dxa"/>
          </w:tcPr>
          <w:p w14:paraId="2AE69243" w14:textId="77777777" w:rsidR="00E64DED" w:rsidRDefault="00A1167F">
            <w:r>
              <w:t>France</w:t>
            </w:r>
          </w:p>
        </w:tc>
        <w:tc>
          <w:tcPr>
            <w:tcW w:w="2600" w:type="dxa"/>
          </w:tcPr>
          <w:p w14:paraId="2AE69244" w14:textId="77777777" w:rsidR="00E64DED" w:rsidRDefault="00A1167F">
            <w:r>
              <w:t>1,172</w:t>
            </w:r>
          </w:p>
        </w:tc>
        <w:tc>
          <w:tcPr>
            <w:tcW w:w="2600" w:type="dxa"/>
          </w:tcPr>
          <w:p w14:paraId="2AE69245" w14:textId="77777777" w:rsidR="00E64DED" w:rsidRDefault="00A1167F">
            <w:r>
              <w:t>1,563</w:t>
            </w:r>
          </w:p>
        </w:tc>
        <w:tc>
          <w:tcPr>
            <w:tcW w:w="2000" w:type="dxa"/>
          </w:tcPr>
          <w:p w14:paraId="2AE69246" w14:textId="77777777" w:rsidR="00E64DED" w:rsidRDefault="00A1167F">
            <w:r>
              <w:t>+33.3%</w:t>
            </w:r>
          </w:p>
        </w:tc>
      </w:tr>
      <w:tr w:rsidR="00E64DED" w14:paraId="2AE6924C" w14:textId="77777777">
        <w:tblPrEx>
          <w:tblCellMar>
            <w:top w:w="0" w:type="dxa"/>
            <w:bottom w:w="0" w:type="dxa"/>
          </w:tblCellMar>
        </w:tblPrEx>
        <w:tc>
          <w:tcPr>
            <w:tcW w:w="3000" w:type="dxa"/>
          </w:tcPr>
          <w:p w14:paraId="2AE69248" w14:textId="77777777" w:rsidR="00E64DED" w:rsidRDefault="00A1167F">
            <w:r>
              <w:t>Switzerland</w:t>
            </w:r>
          </w:p>
        </w:tc>
        <w:tc>
          <w:tcPr>
            <w:tcW w:w="2600" w:type="dxa"/>
          </w:tcPr>
          <w:p w14:paraId="2AE69249" w14:textId="77777777" w:rsidR="00E64DED" w:rsidRDefault="00A1167F">
            <w:r>
              <w:t>1,284</w:t>
            </w:r>
          </w:p>
        </w:tc>
        <w:tc>
          <w:tcPr>
            <w:tcW w:w="2600" w:type="dxa"/>
          </w:tcPr>
          <w:p w14:paraId="2AE6924A" w14:textId="77777777" w:rsidR="00E64DED" w:rsidRDefault="00A1167F">
            <w:r>
              <w:t>2,220</w:t>
            </w:r>
          </w:p>
        </w:tc>
        <w:tc>
          <w:tcPr>
            <w:tcW w:w="2000" w:type="dxa"/>
          </w:tcPr>
          <w:p w14:paraId="2AE6924B" w14:textId="77777777" w:rsidR="00E64DED" w:rsidRDefault="00A1167F">
            <w:r>
              <w:t>+73.0%</w:t>
            </w:r>
          </w:p>
        </w:tc>
      </w:tr>
      <w:tr w:rsidR="00E64DED" w14:paraId="2AE69251" w14:textId="77777777">
        <w:tblPrEx>
          <w:tblCellMar>
            <w:top w:w="0" w:type="dxa"/>
            <w:bottom w:w="0" w:type="dxa"/>
          </w:tblCellMar>
        </w:tblPrEx>
        <w:tc>
          <w:tcPr>
            <w:tcW w:w="3000" w:type="dxa"/>
          </w:tcPr>
          <w:p w14:paraId="2AE6924D" w14:textId="77777777" w:rsidR="00E64DED" w:rsidRDefault="00A1167F">
            <w:r>
              <w:t>Belgium</w:t>
            </w:r>
          </w:p>
        </w:tc>
        <w:tc>
          <w:tcPr>
            <w:tcW w:w="2600" w:type="dxa"/>
          </w:tcPr>
          <w:p w14:paraId="2AE6924E" w14:textId="77777777" w:rsidR="00E64DED" w:rsidRDefault="00A1167F">
            <w:r>
              <w:t>653</w:t>
            </w:r>
          </w:p>
        </w:tc>
        <w:tc>
          <w:tcPr>
            <w:tcW w:w="2600" w:type="dxa"/>
          </w:tcPr>
          <w:p w14:paraId="2AE6924F" w14:textId="77777777" w:rsidR="00E64DED" w:rsidRDefault="00A1167F">
            <w:r>
              <w:t>1,243</w:t>
            </w:r>
          </w:p>
        </w:tc>
        <w:tc>
          <w:tcPr>
            <w:tcW w:w="2000" w:type="dxa"/>
          </w:tcPr>
          <w:p w14:paraId="2AE69250" w14:textId="77777777" w:rsidR="00E64DED" w:rsidRDefault="00A1167F">
            <w:r>
              <w:t>+90.4%</w:t>
            </w:r>
          </w:p>
        </w:tc>
      </w:tr>
    </w:tbl>
    <w:p w14:paraId="2AE69252" w14:textId="77777777" w:rsidR="00E64DED" w:rsidRDefault="00E64DED">
      <w:pPr>
        <w:spacing w:after="140"/>
      </w:pPr>
    </w:p>
    <w:p w14:paraId="2AE69253" w14:textId="77777777" w:rsidR="00E64DED" w:rsidRDefault="00A1167F">
      <w:pPr>
        <w:spacing w:after="140"/>
      </w:pPr>
      <w:r>
        <w:rPr>
          <w:sz w:val="22"/>
          <w:szCs w:val="22"/>
        </w:rPr>
        <w:t xml:space="preserve">Portugal, Spain, and Germany are the three markets (among those with sufficient volume to be reliable) where revenue per customer is declining even as the customer count in each market grows. These three together account for a small share of total revenue </w:t>
      </w:r>
      <w:r>
        <w:rPr>
          <w:sz w:val="22"/>
          <w:szCs w:val="22"/>
        </w:rPr>
        <w:t>today, but they are moving in the wrong direction while every other major market — including the dominant UK base — is improving. If left unaddressed, they will keep needing more new customers just to hold flat revenue, mirroring the pattern seen at the wh</w:t>
      </w:r>
      <w:r>
        <w:rPr>
          <w:sz w:val="22"/>
          <w:szCs w:val="22"/>
        </w:rPr>
        <w:t>ole-business level.</w:t>
      </w:r>
    </w:p>
    <w:p w14:paraId="2AE69254" w14:textId="77777777" w:rsidR="00E64DED" w:rsidRDefault="00A1167F">
      <w:pPr>
        <w:pStyle w:val="Heading1"/>
        <w:spacing w:before="280" w:after="120"/>
      </w:pPr>
      <w:r>
        <w:rPr>
          <w:color w:val="1F4E78"/>
        </w:rPr>
        <w:t>5. Why Revenue and Traffic Have Diverged</w:t>
      </w:r>
    </w:p>
    <w:p w14:paraId="2AE69255" w14:textId="77777777" w:rsidR="00E64DED" w:rsidRDefault="00A1167F">
      <w:pPr>
        <w:spacing w:after="140"/>
      </w:pPr>
      <w:r>
        <w:rPr>
          <w:sz w:val="22"/>
          <w:szCs w:val="22"/>
        </w:rPr>
        <w:t>Putting the pieces together, the business's growth engine currently works like this: new customers are acquired at a healthy and accelerating rate (orders and active customers both roughly doubled across the year), but a large share of them buy once and ne</w:t>
      </w:r>
      <w:r>
        <w:rPr>
          <w:sz w:val="22"/>
          <w:szCs w:val="22"/>
        </w:rPr>
        <w:t xml:space="preserve">ver return — 35% of the customer base has bought exactly once, and this group churns at 57%. This creates a structural ceiling on revenue-per-customer, because the business isn't converting first-time buyers into repeat, higher-value customers fast enough </w:t>
      </w:r>
      <w:r>
        <w:rPr>
          <w:sz w:val="22"/>
          <w:szCs w:val="22"/>
        </w:rPr>
        <w:t>to lift the average. Growth this year has therefore come almost entirely from the top of the funnel (new-customer acquisition, +88% in customer count) rather than from deepening existing relationships (revenue per customer, +0.2%). This is a sustainable st</w:t>
      </w:r>
      <w:r>
        <w:rPr>
          <w:sz w:val="22"/>
          <w:szCs w:val="22"/>
        </w:rPr>
        <w:t>rategy only as long as new-customer acquisition keeps accelerating; any slowdown in acquisition would immediately show up as flat or declining revenue, because there is currently no retained-customer engine offsetting it.</w:t>
      </w:r>
    </w:p>
    <w:p w14:paraId="2AE69256" w14:textId="77777777" w:rsidR="00E64DED" w:rsidRDefault="00A1167F">
      <w:pPr>
        <w:pStyle w:val="Heading1"/>
        <w:spacing w:before="280" w:after="120"/>
      </w:pPr>
      <w:r>
        <w:rPr>
          <w:color w:val="1F4E78"/>
        </w:rPr>
        <w:t>6. Recommended Focus Areas</w:t>
      </w:r>
    </w:p>
    <w:p w14:paraId="2AE69257" w14:textId="77777777" w:rsidR="00E64DED" w:rsidRDefault="00A1167F">
      <w:pPr>
        <w:pStyle w:val="ListParagraph"/>
        <w:numPr>
          <w:ilvl w:val="0"/>
          <w:numId w:val="1"/>
        </w:numPr>
        <w:spacing w:after="80"/>
      </w:pPr>
      <w:r>
        <w:rPr>
          <w:sz w:val="22"/>
          <w:szCs w:val="22"/>
        </w:rPr>
        <w:t>Target the one-time-buyer segment (1,505 customers, 56.7% churn) with a second-purchase incentive in the 30–</w:t>
      </w:r>
      <w:proofErr w:type="gramStart"/>
      <w:r>
        <w:rPr>
          <w:sz w:val="22"/>
          <w:szCs w:val="22"/>
        </w:rPr>
        <w:t>60 day</w:t>
      </w:r>
      <w:proofErr w:type="gramEnd"/>
      <w:r>
        <w:rPr>
          <w:sz w:val="22"/>
          <w:szCs w:val="22"/>
        </w:rPr>
        <w:t xml:space="preserve"> window after first order — this is the single largest lever, since converting even a modest share of this group into repeat buyers would mate</w:t>
      </w:r>
      <w:r>
        <w:rPr>
          <w:sz w:val="22"/>
          <w:szCs w:val="22"/>
        </w:rPr>
        <w:t>rially lower blended churn.</w:t>
      </w:r>
    </w:p>
    <w:p w14:paraId="2AE69258" w14:textId="77777777" w:rsidR="00E64DED" w:rsidRDefault="00A1167F">
      <w:pPr>
        <w:pStyle w:val="ListParagraph"/>
        <w:numPr>
          <w:ilvl w:val="0"/>
          <w:numId w:val="1"/>
        </w:numPr>
        <w:spacing w:after="80"/>
      </w:pPr>
      <w:r>
        <w:rPr>
          <w:sz w:val="22"/>
          <w:szCs w:val="22"/>
        </w:rPr>
        <w:t xml:space="preserve">Investigate the Portugal, Spain, and Germany segments specifically — their declining per-customer revenue, while sitting on rising customer counts, suggests either a shift toward lower-value customers, a </w:t>
      </w:r>
      <w:proofErr w:type="spellStart"/>
      <w:r>
        <w:rPr>
          <w:sz w:val="22"/>
          <w:szCs w:val="22"/>
        </w:rPr>
        <w:t>fulfillment</w:t>
      </w:r>
      <w:proofErr w:type="spellEnd"/>
      <w:r>
        <w:rPr>
          <w:sz w:val="22"/>
          <w:szCs w:val="22"/>
        </w:rPr>
        <w:t>/service issu</w:t>
      </w:r>
      <w:r>
        <w:rPr>
          <w:sz w:val="22"/>
          <w:szCs w:val="22"/>
        </w:rPr>
        <w:t>e unique to those markets, or a competitive or pricing pressure not present in the improving markets.</w:t>
      </w:r>
    </w:p>
    <w:p w14:paraId="2AE69259" w14:textId="77777777" w:rsidR="00E64DED" w:rsidRDefault="00A1167F">
      <w:pPr>
        <w:pStyle w:val="ListParagraph"/>
        <w:numPr>
          <w:ilvl w:val="0"/>
          <w:numId w:val="1"/>
        </w:numPr>
        <w:spacing w:after="80"/>
      </w:pPr>
      <w:r>
        <w:rPr>
          <w:sz w:val="22"/>
          <w:szCs w:val="22"/>
        </w:rPr>
        <w:lastRenderedPageBreak/>
        <w:t>Build retention outreach around the bottom two spend quartiles rather than treating churn as a single undifferentiated pool — the churn gradient across qu</w:t>
      </w:r>
      <w:r>
        <w:rPr>
          <w:sz w:val="22"/>
          <w:szCs w:val="22"/>
        </w:rPr>
        <w:t>artiles (56% → 9%) means a one-size-fits-all win-back campaign will underperform a tiered one.</w:t>
      </w:r>
    </w:p>
    <w:p w14:paraId="2AE6925A" w14:textId="77777777" w:rsidR="00E64DED" w:rsidRDefault="00A1167F">
      <w:pPr>
        <w:pStyle w:val="ListParagraph"/>
        <w:numPr>
          <w:ilvl w:val="0"/>
          <w:numId w:val="1"/>
        </w:numPr>
        <w:spacing w:after="80"/>
      </w:pPr>
      <w:r>
        <w:rPr>
          <w:sz w:val="22"/>
          <w:szCs w:val="22"/>
        </w:rPr>
        <w:t>Track revenue-per-customer as a standing KPI alongside total revenue and order count — the dashboard in this workbook adds this column precisely because top-line</w:t>
      </w:r>
      <w:r>
        <w:rPr>
          <w:sz w:val="22"/>
          <w:szCs w:val="22"/>
        </w:rPr>
        <w:t xml:space="preserve"> revenue and order growth alone were masking the flat per-customer trend.</w:t>
      </w:r>
    </w:p>
    <w:p w14:paraId="2AE6925B" w14:textId="77777777" w:rsidR="00E64DED" w:rsidRDefault="00A1167F">
      <w:pPr>
        <w:pStyle w:val="Heading1"/>
        <w:spacing w:before="280" w:after="120"/>
      </w:pPr>
      <w:r>
        <w:rPr>
          <w:color w:val="1F4E78"/>
        </w:rPr>
        <w:t>7. Methodology &amp; Caveats</w:t>
      </w:r>
    </w:p>
    <w:p w14:paraId="2AE6925C" w14:textId="77777777" w:rsidR="00E64DED" w:rsidRDefault="00A1167F">
      <w:pPr>
        <w:pStyle w:val="ListParagraph"/>
        <w:numPr>
          <w:ilvl w:val="0"/>
          <w:numId w:val="1"/>
        </w:numPr>
        <w:spacing w:after="80"/>
      </w:pPr>
      <w:r>
        <w:rPr>
          <w:sz w:val="22"/>
          <w:szCs w:val="22"/>
        </w:rPr>
        <w:t xml:space="preserve">Churn is defined as an identified customer with no purchase in the 90 days before the dataset's final transaction (2011-12-09). This is a reasonable default </w:t>
      </w:r>
      <w:r>
        <w:rPr>
          <w:sz w:val="22"/>
          <w:szCs w:val="22"/>
        </w:rPr>
        <w:t>given the ~12-month observation window and the business's order cadence, but it is a judgment call, not a business-supplied definition — a 60-day or 120-day threshold would move the headline churn rate up or down by several points without changing the unde</w:t>
      </w:r>
      <w:r>
        <w:rPr>
          <w:sz w:val="22"/>
          <w:szCs w:val="22"/>
        </w:rPr>
        <w:t>rlying patterns above (frequency, spend quartile, and geography effects are directionally stable under either threshold).</w:t>
      </w:r>
    </w:p>
    <w:p w14:paraId="2AE6925D" w14:textId="77777777" w:rsidR="00E64DED" w:rsidRDefault="00A1167F">
      <w:pPr>
        <w:pStyle w:val="ListParagraph"/>
        <w:numPr>
          <w:ilvl w:val="0"/>
          <w:numId w:val="1"/>
        </w:numPr>
        <w:spacing w:after="80"/>
      </w:pPr>
      <w:r>
        <w:rPr>
          <w:sz w:val="22"/>
          <w:szCs w:val="22"/>
        </w:rPr>
        <w:t>131,581 rows (24.8% of clean transactions) have no Customer ID and are excluded from every customer-level, cohort, and churn figure in</w:t>
      </w:r>
      <w:r>
        <w:rPr>
          <w:sz w:val="22"/>
          <w:szCs w:val="22"/>
        </w:rPr>
        <w:t xml:space="preserve"> this report. They are retained in gross revenue totals on the KPI Dashboard but cannot be tied to a churn outcome.</w:t>
      </w:r>
    </w:p>
    <w:p w14:paraId="2AE6925E" w14:textId="77777777" w:rsidR="00E64DED" w:rsidRDefault="00A1167F">
      <w:pPr>
        <w:pStyle w:val="ListParagraph"/>
        <w:numPr>
          <w:ilvl w:val="0"/>
          <w:numId w:val="1"/>
        </w:numPr>
        <w:spacing w:after="80"/>
      </w:pPr>
      <w:r>
        <w:rPr>
          <w:sz w:val="22"/>
          <w:szCs w:val="22"/>
        </w:rPr>
        <w:t>December 2011 is a partial month (data ends Dec 9) and is excluded from all growth and trend comparisons in this report to avoid understatin</w:t>
      </w:r>
      <w:r>
        <w:rPr>
          <w:sz w:val="22"/>
          <w:szCs w:val="22"/>
        </w:rPr>
        <w:t>g that month's true activity.</w:t>
      </w:r>
    </w:p>
    <w:p w14:paraId="2AE6925F" w14:textId="77777777" w:rsidR="00E64DED" w:rsidRDefault="00A1167F">
      <w:pPr>
        <w:pStyle w:val="ListParagraph"/>
        <w:numPr>
          <w:ilvl w:val="0"/>
          <w:numId w:val="1"/>
        </w:numPr>
        <w:spacing w:after="80"/>
      </w:pPr>
      <w:r>
        <w:rPr>
          <w:sz w:val="22"/>
          <w:szCs w:val="22"/>
        </w:rPr>
        <w:t>The H1/H2 geographic comparison uses only countries with at least 10 customers in H1 to avoid drawing conclusions from very</w:t>
      </w:r>
      <w:bookmarkStart w:id="0" w:name="_GoBack"/>
      <w:bookmarkEnd w:id="0"/>
      <w:r>
        <w:rPr>
          <w:sz w:val="22"/>
          <w:szCs w:val="22"/>
        </w:rPr>
        <w:t xml:space="preserve"> small samples.</w:t>
      </w:r>
    </w:p>
    <w:sectPr w:rsidR="00E64D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784182"/>
    <w:multiLevelType w:val="hybridMultilevel"/>
    <w:tmpl w:val="A05C79B2"/>
    <w:lvl w:ilvl="0" w:tplc="29DAF2A8">
      <w:start w:val="1"/>
      <w:numFmt w:val="bullet"/>
      <w:lvlText w:val="●"/>
      <w:lvlJc w:val="left"/>
      <w:pPr>
        <w:ind w:left="720" w:hanging="360"/>
      </w:pPr>
    </w:lvl>
    <w:lvl w:ilvl="1" w:tplc="BCEAD7E8">
      <w:start w:val="1"/>
      <w:numFmt w:val="bullet"/>
      <w:lvlText w:val="○"/>
      <w:lvlJc w:val="left"/>
      <w:pPr>
        <w:ind w:left="1440" w:hanging="360"/>
      </w:pPr>
    </w:lvl>
    <w:lvl w:ilvl="2" w:tplc="6D96975E">
      <w:start w:val="1"/>
      <w:numFmt w:val="bullet"/>
      <w:lvlText w:val="■"/>
      <w:lvlJc w:val="left"/>
      <w:pPr>
        <w:ind w:left="2160" w:hanging="360"/>
      </w:pPr>
    </w:lvl>
    <w:lvl w:ilvl="3" w:tplc="9A74C2D8">
      <w:start w:val="1"/>
      <w:numFmt w:val="bullet"/>
      <w:lvlText w:val="●"/>
      <w:lvlJc w:val="left"/>
      <w:pPr>
        <w:ind w:left="2880" w:hanging="360"/>
      </w:pPr>
    </w:lvl>
    <w:lvl w:ilvl="4" w:tplc="7CDA3D88">
      <w:start w:val="1"/>
      <w:numFmt w:val="bullet"/>
      <w:lvlText w:val="○"/>
      <w:lvlJc w:val="left"/>
      <w:pPr>
        <w:ind w:left="3600" w:hanging="360"/>
      </w:pPr>
    </w:lvl>
    <w:lvl w:ilvl="5" w:tplc="0FC2D70C">
      <w:start w:val="1"/>
      <w:numFmt w:val="bullet"/>
      <w:lvlText w:val="■"/>
      <w:lvlJc w:val="left"/>
      <w:pPr>
        <w:ind w:left="4320" w:hanging="360"/>
      </w:pPr>
    </w:lvl>
    <w:lvl w:ilvl="6" w:tplc="99FE4B86">
      <w:start w:val="1"/>
      <w:numFmt w:val="bullet"/>
      <w:lvlText w:val="●"/>
      <w:lvlJc w:val="left"/>
      <w:pPr>
        <w:ind w:left="5040" w:hanging="360"/>
      </w:pPr>
    </w:lvl>
    <w:lvl w:ilvl="7" w:tplc="B7C8EFF8">
      <w:start w:val="1"/>
      <w:numFmt w:val="bullet"/>
      <w:lvlText w:val="●"/>
      <w:lvlJc w:val="left"/>
      <w:pPr>
        <w:ind w:left="5760" w:hanging="360"/>
      </w:pPr>
    </w:lvl>
    <w:lvl w:ilvl="8" w:tplc="7FC074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DED"/>
    <w:rsid w:val="00A1167F"/>
    <w:rsid w:val="00E64DE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91EE"/>
  <w15:docId w15:val="{47F0B5CC-D036-47CB-AFE6-AC2AA754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1077</Words>
  <Characters>6141</Characters>
  <Application>Microsoft Office Word</Application>
  <DocSecurity>0</DocSecurity>
  <Lines>51</Lines>
  <Paragraphs>14</Paragraphs>
  <ScaleCrop>false</ScaleCrop>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 patil</cp:lastModifiedBy>
  <cp:revision>2</cp:revision>
  <dcterms:created xsi:type="dcterms:W3CDTF">2026-07-18T18:48:00Z</dcterms:created>
  <dcterms:modified xsi:type="dcterms:W3CDTF">2026-07-20T05:01:00Z</dcterms:modified>
</cp:coreProperties>
</file>