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0F2027"/>
          <w:sz w:val="56"/>
        </w:rPr>
        <w:t>🛰️ SkyguardAI</w:t>
      </w:r>
    </w:p>
    <w:p>
      <w:pPr>
        <w:spacing w:after="320"/>
      </w:pPr>
      <w:r>
        <w:rPr>
          <w:rFonts w:ascii="Segoe UI" w:hAnsi="Segoe UI"/>
          <w:i/>
          <w:color w:val="0083B0"/>
          <w:sz w:val="28"/>
        </w:rPr>
        <w:t>Atmospheric Anomaly Detection, Spatial Consensus &amp; Prognostics Platform</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0F4F8"/>
            <w:tcMar>
              <w:top w:w="140" w:type="dxa"/>
              <w:bottom w:w="140" w:type="dxa"/>
              <w:left w:w="160" w:type="dxa"/>
              <w:right w:w="160" w:type="dxa"/>
            </w:tcMar>
          </w:tcPr>
          <w:p>
            <w:pPr>
              <w:spacing w:after="0"/>
              <w:jc w:val="center"/>
            </w:pPr>
            <w:r>
              <w:rPr>
                <w:b/>
                <w:color w:val="646E78"/>
                <w:sz w:val="17"/>
              </w:rPr>
              <w:t>Platform Version</w:t>
              <w:br/>
            </w:r>
            <w:r>
              <w:rPr>
                <w:b/>
                <w:color w:val="0F2027"/>
                <w:sz w:val="19"/>
              </w:rPr>
              <w:t>v1.0.0 (Production)</w:t>
            </w:r>
          </w:p>
        </w:tc>
        <w:tc>
          <w:tcPr>
            <w:tcW w:type="dxa" w:w="3120"/>
            <w:shd w:fill="F0F4F8"/>
            <w:tcMar>
              <w:top w:w="140" w:type="dxa"/>
              <w:bottom w:w="140" w:type="dxa"/>
              <w:left w:w="160" w:type="dxa"/>
              <w:right w:w="160" w:type="dxa"/>
            </w:tcMar>
          </w:tcPr>
          <w:p>
            <w:pPr>
              <w:spacing w:after="0"/>
              <w:jc w:val="center"/>
            </w:pPr>
            <w:r>
              <w:rPr>
                <w:b/>
                <w:color w:val="646E78"/>
                <w:sz w:val="17"/>
              </w:rPr>
              <w:t>Architecture</w:t>
              <w:br/>
            </w:r>
            <w:r>
              <w:rPr>
                <w:b/>
                <w:color w:val="0F2027"/>
                <w:sz w:val="19"/>
              </w:rPr>
              <w:t>FastAPI + PyTorch + React/TS</w:t>
            </w:r>
          </w:p>
        </w:tc>
        <w:tc>
          <w:tcPr>
            <w:tcW w:type="dxa" w:w="3120"/>
            <w:shd w:fill="F0F4F8"/>
            <w:tcMar>
              <w:top w:w="140" w:type="dxa"/>
              <w:bottom w:w="140" w:type="dxa"/>
              <w:left w:w="160" w:type="dxa"/>
              <w:right w:w="160" w:type="dxa"/>
            </w:tcMar>
          </w:tcPr>
          <w:p>
            <w:pPr>
              <w:spacing w:after="0"/>
              <w:jc w:val="center"/>
            </w:pPr>
            <w:r>
              <w:rPr>
                <w:b/>
                <w:color w:val="646E78"/>
                <w:sz w:val="17"/>
              </w:rPr>
              <w:t>Dataset Support</w:t>
              <w:br/>
            </w:r>
            <w:r>
              <w:rPr>
                <w:b/>
                <w:color w:val="0F2027"/>
                <w:sz w:val="19"/>
              </w:rPr>
              <w:t>IMD Maitri + Spatial Networks</w:t>
            </w:r>
          </w:p>
        </w:tc>
      </w:tr>
    </w:tbl>
    <w:p>
      <w:pPr>
        <w:spacing w:after="240"/>
      </w:pPr>
    </w:p>
    <w:p>
      <w:pPr>
        <w:keepNext/>
        <w:spacing w:before="360" w:after="120"/>
      </w:pPr>
      <w:r>
        <w:rPr>
          <w:rFonts w:ascii="Segoe UI Semibold" w:hAnsi="Segoe UI Semibold"/>
          <w:b/>
          <w:color w:val="0F2027"/>
          <w:sz w:val="32"/>
        </w:rPr>
        <w:t>1. Executive Summary &amp; System Overview</w:t>
      </w:r>
    </w:p>
    <w:p>
      <w:r>
        <w:t>SkyguardAI is a state-of-the-art atmospheric intelligence platform engineered to detect anomalies, isolate hardware faults, verify spatial-temporal consensus, and explain decisions in real-time. It operates on high-resolution meteorological telemetry, including ground-truth observations from the IMD Maitri Antarctic Research Station (-70.75°S, 11.74°E) and distributed sensor networks.</w:t>
      </w:r>
    </w:p>
    <w:p>
      <w:r>
        <w:t>The core innovation is a multi-tier consensus and explainability architecture: raw sensor data is filtered by an ensemble of statistical, deep learning, and unsupervised detectors, validated against physical lapse rates and spatial neighbors via Haversine and Mahalanobis distances, and translated into transparent SHAP attributions and human-readable meteorological narratives.</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80" w:type="dxa"/>
              <w:right w:w="180" w:type="dxa"/>
            </w:tcMar>
          </w:tcPr>
          <w:p>
            <w:pPr>
              <w:spacing w:after="0"/>
            </w:pPr>
            <w:r>
              <w:rPr>
                <w:b/>
                <w:color w:val="0083B0"/>
              </w:rPr>
              <w:t xml:space="preserve">[CORE CAPABILITY] </w:t>
            </w:r>
            <w:r>
              <w:t>Key Operational Principle: SkyguardAI strictly differentiates between single-station sensor faults (e.g., drift, spikes, frozen readings) and coherent regional meteorological phenomena (e.g., passing cold fronts, cyclonic depressions) using altitude-corrected neighbor consensus.</w:t>
            </w:r>
          </w:p>
        </w:tc>
      </w:tr>
    </w:tbl>
    <w:p>
      <w:pPr>
        <w:spacing w:after="80"/>
      </w:pPr>
    </w:p>
    <w:p>
      <w:pPr>
        <w:keepNext/>
        <w:spacing w:before="360" w:after="120"/>
      </w:pPr>
      <w:r>
        <w:rPr>
          <w:rFonts w:ascii="Segoe UI Semibold" w:hAnsi="Segoe UI Semibold"/>
          <w:b/>
          <w:color w:val="0F2027"/>
          <w:sz w:val="32"/>
        </w:rPr>
        <w:t>2. System Architecture &amp; Repository Layout</w:t>
      </w:r>
    </w:p>
    <w:p>
      <w:r>
        <w:t>The project follows a clean separation of concerns between raw data ingestion, machine learning inference, spatial consensus logic, FastAPI REST/SSE streaming endpoints, and a responsive React/TypeScript operational dashboard.</w:t>
      </w:r>
    </w:p>
    <w:tbl>
      <w:tblPr>
        <w:tblW w:type="auto" w:w="0"/>
        <w:jc w:val="center"/>
        <w:tblLook w:firstColumn="1" w:firstRow="1" w:lastColumn="0" w:lastRow="0" w:noHBand="0" w:noVBand="1" w:val="04A0"/>
      </w:tblPr>
      <w:tblGrid>
        <w:gridCol w:w="3120"/>
        <w:gridCol w:w="3120"/>
        <w:gridCol w:w="3120"/>
      </w:tblGrid>
      <w:tr>
        <w:tc>
          <w:tcPr>
            <w:tcW w:type="dxa" w:w="3120"/>
            <w:shd w:fill="0F2027"/>
          </w:tcPr>
          <w:p>
            <w:r>
              <w:rPr>
                <w:b/>
                <w:color w:val="FFFFFF"/>
                <w:sz w:val="19"/>
              </w:rPr>
              <w:t>Module / File</w:t>
            </w:r>
          </w:p>
        </w:tc>
        <w:tc>
          <w:tcPr>
            <w:tcW w:type="dxa" w:w="3120"/>
            <w:shd w:fill="0F2027"/>
          </w:tcPr>
          <w:p>
            <w:r>
              <w:rPr>
                <w:b/>
                <w:color w:val="FFFFFF"/>
                <w:sz w:val="19"/>
              </w:rPr>
              <w:t>Layer</w:t>
            </w:r>
          </w:p>
        </w:tc>
        <w:tc>
          <w:tcPr>
            <w:tcW w:type="dxa" w:w="3120"/>
            <w:shd w:fill="0F2027"/>
          </w:tcPr>
          <w:p>
            <w:r>
              <w:rPr>
                <w:b/>
                <w:color w:val="FFFFFF"/>
                <w:sz w:val="19"/>
              </w:rPr>
              <w:t>Function &amp; Responsibilities</w:t>
            </w:r>
          </w:p>
        </w:tc>
      </w:tr>
      <w:tr>
        <w:tc>
          <w:tcPr>
            <w:tcW w:type="dxa" w:w="3120"/>
            <w:shd w:fill="FFFFFF"/>
            <w:tcMar>
              <w:top w:w="80" w:type="dxa"/>
              <w:bottom w:w="80" w:type="dxa"/>
              <w:left w:w="100" w:type="dxa"/>
              <w:right w:w="100" w:type="dxa"/>
            </w:tcMar>
          </w:tcPr>
          <w:p>
            <w:pPr>
              <w:spacing w:after="0"/>
            </w:pPr>
            <w:r>
              <w:rPr>
                <w:sz w:val="18"/>
              </w:rPr>
              <w:t>backend/app.py</w:t>
            </w:r>
          </w:p>
        </w:tc>
        <w:tc>
          <w:tcPr>
            <w:tcW w:type="dxa" w:w="3120"/>
            <w:shd w:fill="FFFFFF"/>
            <w:tcMar>
              <w:top w:w="80" w:type="dxa"/>
              <w:bottom w:w="80" w:type="dxa"/>
              <w:left w:w="100" w:type="dxa"/>
              <w:right w:w="100" w:type="dxa"/>
            </w:tcMar>
          </w:tcPr>
          <w:p>
            <w:pPr>
              <w:spacing w:after="0"/>
            </w:pPr>
            <w:r>
              <w:rPr>
                <w:sz w:val="18"/>
              </w:rPr>
              <w:t>API &amp; Orchestration</w:t>
            </w:r>
          </w:p>
        </w:tc>
        <w:tc>
          <w:tcPr>
            <w:tcW w:type="dxa" w:w="3120"/>
            <w:shd w:fill="FFFFFF"/>
            <w:tcMar>
              <w:top w:w="80" w:type="dxa"/>
              <w:bottom w:w="80" w:type="dxa"/>
              <w:left w:w="100" w:type="dxa"/>
              <w:right w:w="100" w:type="dxa"/>
            </w:tcMar>
          </w:tcPr>
          <w:p>
            <w:pPr>
              <w:spacing w:after="0"/>
            </w:pPr>
            <w:r>
              <w:rPr>
                <w:sz w:val="18"/>
              </w:rPr>
              <w:t>FastAPI application, route handlers, SSE stream generator, and pipeline state.</w:t>
            </w:r>
          </w:p>
        </w:tc>
      </w:tr>
      <w:tr>
        <w:tc>
          <w:tcPr>
            <w:tcW w:type="dxa" w:w="3120"/>
            <w:shd w:fill="F9FAFC"/>
            <w:tcMar>
              <w:top w:w="80" w:type="dxa"/>
              <w:bottom w:w="80" w:type="dxa"/>
              <w:left w:w="100" w:type="dxa"/>
              <w:right w:w="100" w:type="dxa"/>
            </w:tcMar>
          </w:tcPr>
          <w:p>
            <w:pPr>
              <w:spacing w:after="0"/>
            </w:pPr>
            <w:r>
              <w:rPr>
                <w:sz w:val="18"/>
              </w:rPr>
              <w:t>backend/config.py</w:t>
            </w:r>
          </w:p>
        </w:tc>
        <w:tc>
          <w:tcPr>
            <w:tcW w:type="dxa" w:w="3120"/>
            <w:shd w:fill="F9FAFC"/>
            <w:tcMar>
              <w:top w:w="80" w:type="dxa"/>
              <w:bottom w:w="80" w:type="dxa"/>
              <w:left w:w="100" w:type="dxa"/>
              <w:right w:w="100" w:type="dxa"/>
            </w:tcMar>
          </w:tcPr>
          <w:p>
            <w:pPr>
              <w:spacing w:after="0"/>
            </w:pPr>
            <w:r>
              <w:rPr>
                <w:sz w:val="18"/>
              </w:rPr>
              <w:t>Domain Enums</w:t>
            </w:r>
          </w:p>
        </w:tc>
        <w:tc>
          <w:tcPr>
            <w:tcW w:type="dxa" w:w="3120"/>
            <w:shd w:fill="F9FAFC"/>
            <w:tcMar>
              <w:top w:w="80" w:type="dxa"/>
              <w:bottom w:w="80" w:type="dxa"/>
              <w:left w:w="100" w:type="dxa"/>
              <w:right w:w="100" w:type="dxa"/>
            </w:tcMar>
          </w:tcPr>
          <w:p>
            <w:pPr>
              <w:spacing w:after="0"/>
            </w:pPr>
            <w:r>
              <w:rPr>
                <w:sz w:val="18"/>
              </w:rPr>
              <w:t>Strict Enums (Severity, RootCause, Parameter, StationStatus) and CORS.</w:t>
            </w:r>
          </w:p>
        </w:tc>
      </w:tr>
      <w:tr>
        <w:tc>
          <w:tcPr>
            <w:tcW w:type="dxa" w:w="3120"/>
            <w:shd w:fill="FFFFFF"/>
            <w:tcMar>
              <w:top w:w="80" w:type="dxa"/>
              <w:bottom w:w="80" w:type="dxa"/>
              <w:left w:w="100" w:type="dxa"/>
              <w:right w:w="100" w:type="dxa"/>
            </w:tcMar>
          </w:tcPr>
          <w:p>
            <w:pPr>
              <w:spacing w:after="0"/>
            </w:pPr>
            <w:r>
              <w:rPr>
                <w:sz w:val="18"/>
              </w:rPr>
              <w:t>backend/data_pipeline.py</w:t>
            </w:r>
          </w:p>
        </w:tc>
        <w:tc>
          <w:tcPr>
            <w:tcW w:type="dxa" w:w="3120"/>
            <w:shd w:fill="FFFFFF"/>
            <w:tcMar>
              <w:top w:w="80" w:type="dxa"/>
              <w:bottom w:w="80" w:type="dxa"/>
              <w:left w:w="100" w:type="dxa"/>
              <w:right w:w="100" w:type="dxa"/>
            </w:tcMar>
          </w:tcPr>
          <w:p>
            <w:pPr>
              <w:spacing w:after="0"/>
            </w:pPr>
            <w:r>
              <w:rPr>
                <w:sz w:val="18"/>
              </w:rPr>
              <w:t>Data Engineering</w:t>
            </w:r>
          </w:p>
        </w:tc>
        <w:tc>
          <w:tcPr>
            <w:tcW w:type="dxa" w:w="3120"/>
            <w:shd w:fill="FFFFFF"/>
            <w:tcMar>
              <w:top w:w="80" w:type="dxa"/>
              <w:bottom w:w="80" w:type="dxa"/>
              <w:left w:w="100" w:type="dxa"/>
              <w:right w:w="100" w:type="dxa"/>
            </w:tcMar>
          </w:tcPr>
          <w:p>
            <w:pPr>
              <w:spacing w:after="0"/>
            </w:pPr>
            <w:r>
              <w:rPr>
                <w:sz w:val="18"/>
              </w:rPr>
              <w:t>IMD Maitri NetCDF/CSV parser, quality flag cleaner, diurnal STL features.</w:t>
            </w:r>
          </w:p>
        </w:tc>
      </w:tr>
      <w:tr>
        <w:tc>
          <w:tcPr>
            <w:tcW w:type="dxa" w:w="3120"/>
            <w:shd w:fill="F9FAFC"/>
            <w:tcMar>
              <w:top w:w="80" w:type="dxa"/>
              <w:bottom w:w="80" w:type="dxa"/>
              <w:left w:w="100" w:type="dxa"/>
              <w:right w:w="100" w:type="dxa"/>
            </w:tcMar>
          </w:tcPr>
          <w:p>
            <w:pPr>
              <w:spacing w:after="0"/>
            </w:pPr>
            <w:r>
              <w:rPr>
                <w:sz w:val="18"/>
              </w:rPr>
              <w:t>backend/detectors.py</w:t>
            </w:r>
          </w:p>
        </w:tc>
        <w:tc>
          <w:tcPr>
            <w:tcW w:type="dxa" w:w="3120"/>
            <w:shd w:fill="F9FAFC"/>
            <w:tcMar>
              <w:top w:w="80" w:type="dxa"/>
              <w:bottom w:w="80" w:type="dxa"/>
              <w:left w:w="100" w:type="dxa"/>
              <w:right w:w="100" w:type="dxa"/>
            </w:tcMar>
          </w:tcPr>
          <w:p>
            <w:pPr>
              <w:spacing w:after="0"/>
            </w:pPr>
            <w:r>
              <w:rPr>
                <w:sz w:val="18"/>
              </w:rPr>
              <w:t>ML / Detection</w:t>
            </w:r>
          </w:p>
        </w:tc>
        <w:tc>
          <w:tcPr>
            <w:tcW w:type="dxa" w:w="3120"/>
            <w:shd w:fill="F9FAFC"/>
            <w:tcMar>
              <w:top w:w="80" w:type="dxa"/>
              <w:bottom w:w="80" w:type="dxa"/>
              <w:left w:w="100" w:type="dxa"/>
              <w:right w:w="100" w:type="dxa"/>
            </w:tcMar>
          </w:tcPr>
          <w:p>
            <w:pPr>
              <w:spacing w:after="0"/>
            </w:pPr>
            <w:r>
              <w:rPr>
                <w:sz w:val="18"/>
              </w:rPr>
              <w:t>Statistical Z-score/frozen checks, 2-layer PyTorch LSTM Autoencoder, Isolation Forest.</w:t>
            </w:r>
          </w:p>
        </w:tc>
      </w:tr>
      <w:tr>
        <w:tc>
          <w:tcPr>
            <w:tcW w:type="dxa" w:w="3120"/>
            <w:shd w:fill="FFFFFF"/>
            <w:tcMar>
              <w:top w:w="80" w:type="dxa"/>
              <w:bottom w:w="80" w:type="dxa"/>
              <w:left w:w="100" w:type="dxa"/>
              <w:right w:w="100" w:type="dxa"/>
            </w:tcMar>
          </w:tcPr>
          <w:p>
            <w:pPr>
              <w:spacing w:after="0"/>
            </w:pPr>
            <w:r>
              <w:rPr>
                <w:sz w:val="18"/>
              </w:rPr>
              <w:t>backend/consistency.py</w:t>
            </w:r>
          </w:p>
        </w:tc>
        <w:tc>
          <w:tcPr>
            <w:tcW w:type="dxa" w:w="3120"/>
            <w:shd w:fill="FFFFFF"/>
            <w:tcMar>
              <w:top w:w="80" w:type="dxa"/>
              <w:bottom w:w="80" w:type="dxa"/>
              <w:left w:w="100" w:type="dxa"/>
              <w:right w:w="100" w:type="dxa"/>
            </w:tcMar>
          </w:tcPr>
          <w:p>
            <w:pPr>
              <w:spacing w:after="0"/>
            </w:pPr>
            <w:r>
              <w:rPr>
                <w:sz w:val="18"/>
              </w:rPr>
              <w:t>Spatial Consensus</w:t>
            </w:r>
          </w:p>
        </w:tc>
        <w:tc>
          <w:tcPr>
            <w:tcW w:type="dxa" w:w="3120"/>
            <w:shd w:fill="FFFFFF"/>
            <w:tcMar>
              <w:top w:w="80" w:type="dxa"/>
              <w:bottom w:w="80" w:type="dxa"/>
              <w:left w:w="100" w:type="dxa"/>
              <w:right w:w="100" w:type="dxa"/>
            </w:tcMar>
          </w:tcPr>
          <w:p>
            <w:pPr>
              <w:spacing w:after="0"/>
            </w:pPr>
            <w:r>
              <w:rPr>
                <w:sz w:val="18"/>
              </w:rPr>
              <w:t>Haversine distance, altitude lapse-rate corrections, and Mahalanobis fusion.</w:t>
            </w:r>
          </w:p>
        </w:tc>
      </w:tr>
      <w:tr>
        <w:tc>
          <w:tcPr>
            <w:tcW w:type="dxa" w:w="3120"/>
            <w:shd w:fill="F9FAFC"/>
            <w:tcMar>
              <w:top w:w="80" w:type="dxa"/>
              <w:bottom w:w="80" w:type="dxa"/>
              <w:left w:w="100" w:type="dxa"/>
              <w:right w:w="100" w:type="dxa"/>
            </w:tcMar>
          </w:tcPr>
          <w:p>
            <w:pPr>
              <w:spacing w:after="0"/>
            </w:pPr>
            <w:r>
              <w:rPr>
                <w:sz w:val="18"/>
              </w:rPr>
              <w:t>backend/explain.py</w:t>
            </w:r>
          </w:p>
        </w:tc>
        <w:tc>
          <w:tcPr>
            <w:tcW w:type="dxa" w:w="3120"/>
            <w:shd w:fill="F9FAFC"/>
            <w:tcMar>
              <w:top w:w="80" w:type="dxa"/>
              <w:bottom w:w="80" w:type="dxa"/>
              <w:left w:w="100" w:type="dxa"/>
              <w:right w:w="100" w:type="dxa"/>
            </w:tcMar>
          </w:tcPr>
          <w:p>
            <w:pPr>
              <w:spacing w:after="0"/>
            </w:pPr>
            <w:r>
              <w:rPr>
                <w:sz w:val="18"/>
              </w:rPr>
              <w:t>XAI &amp; Prognostics</w:t>
            </w:r>
          </w:p>
        </w:tc>
        <w:tc>
          <w:tcPr>
            <w:tcW w:type="dxa" w:w="3120"/>
            <w:shd w:fill="F9FAFC"/>
            <w:tcMar>
              <w:top w:w="80" w:type="dxa"/>
              <w:bottom w:w="80" w:type="dxa"/>
              <w:left w:w="100" w:type="dxa"/>
              <w:right w:w="100" w:type="dxa"/>
            </w:tcMar>
          </w:tcPr>
          <w:p>
            <w:pPr>
              <w:spacing w:after="0"/>
            </w:pPr>
            <w:r>
              <w:rPr>
                <w:sz w:val="18"/>
              </w:rPr>
              <w:t>SHAP feature attribution, domain meteorological narrative generation, and health forecast.</w:t>
            </w:r>
          </w:p>
        </w:tc>
      </w:tr>
      <w:tr>
        <w:tc>
          <w:tcPr>
            <w:tcW w:type="dxa" w:w="3120"/>
            <w:shd w:fill="FFFFFF"/>
            <w:tcMar>
              <w:top w:w="80" w:type="dxa"/>
              <w:bottom w:w="80" w:type="dxa"/>
              <w:left w:w="100" w:type="dxa"/>
              <w:right w:w="100" w:type="dxa"/>
            </w:tcMar>
          </w:tcPr>
          <w:p>
            <w:pPr>
              <w:spacing w:after="0"/>
            </w:pPr>
            <w:r>
              <w:rPr>
                <w:sz w:val="18"/>
              </w:rPr>
              <w:t>backend/simulate.py</w:t>
            </w:r>
          </w:p>
        </w:tc>
        <w:tc>
          <w:tcPr>
            <w:tcW w:type="dxa" w:w="3120"/>
            <w:shd w:fill="FFFFFF"/>
            <w:tcMar>
              <w:top w:w="80" w:type="dxa"/>
              <w:bottom w:w="80" w:type="dxa"/>
              <w:left w:w="100" w:type="dxa"/>
              <w:right w:w="100" w:type="dxa"/>
            </w:tcMar>
          </w:tcPr>
          <w:p>
            <w:pPr>
              <w:spacing w:after="0"/>
            </w:pPr>
            <w:r>
              <w:rPr>
                <w:sz w:val="18"/>
              </w:rPr>
              <w:t>Simulation Engine</w:t>
            </w:r>
          </w:p>
        </w:tc>
        <w:tc>
          <w:tcPr>
            <w:tcW w:type="dxa" w:w="3120"/>
            <w:shd w:fill="FFFFFF"/>
            <w:tcMar>
              <w:top w:w="80" w:type="dxa"/>
              <w:bottom w:w="80" w:type="dxa"/>
              <w:left w:w="100" w:type="dxa"/>
              <w:right w:w="100" w:type="dxa"/>
            </w:tcMar>
          </w:tcPr>
          <w:p>
            <w:pPr>
              <w:spacing w:after="0"/>
            </w:pPr>
            <w:r>
              <w:rPr>
                <w:sz w:val="18"/>
              </w:rPr>
              <w:t>Spatial station network generator, physical diurnal synthesizer, and fault injector.</w:t>
            </w:r>
          </w:p>
        </w:tc>
      </w:tr>
      <w:tr>
        <w:tc>
          <w:tcPr>
            <w:tcW w:type="dxa" w:w="3120"/>
            <w:shd w:fill="F9FAFC"/>
            <w:tcMar>
              <w:top w:w="80" w:type="dxa"/>
              <w:bottom w:w="80" w:type="dxa"/>
              <w:left w:w="100" w:type="dxa"/>
              <w:right w:w="100" w:type="dxa"/>
            </w:tcMar>
          </w:tcPr>
          <w:p>
            <w:pPr>
              <w:spacing w:after="0"/>
            </w:pPr>
            <w:r>
              <w:rPr>
                <w:sz w:val="18"/>
              </w:rPr>
              <w:t>frontend/src/pages/</w:t>
            </w:r>
          </w:p>
        </w:tc>
        <w:tc>
          <w:tcPr>
            <w:tcW w:type="dxa" w:w="3120"/>
            <w:shd w:fill="F9FAFC"/>
            <w:tcMar>
              <w:top w:w="80" w:type="dxa"/>
              <w:bottom w:w="80" w:type="dxa"/>
              <w:left w:w="100" w:type="dxa"/>
              <w:right w:w="100" w:type="dxa"/>
            </w:tcMar>
          </w:tcPr>
          <w:p>
            <w:pPr>
              <w:spacing w:after="0"/>
            </w:pPr>
            <w:r>
              <w:rPr>
                <w:sz w:val="18"/>
              </w:rPr>
              <w:t>User Interface</w:t>
            </w:r>
          </w:p>
        </w:tc>
        <w:tc>
          <w:tcPr>
            <w:tcW w:type="dxa" w:w="3120"/>
            <w:shd w:fill="F9FAFC"/>
            <w:tcMar>
              <w:top w:w="80" w:type="dxa"/>
              <w:bottom w:w="80" w:type="dxa"/>
              <w:left w:w="100" w:type="dxa"/>
              <w:right w:w="100" w:type="dxa"/>
            </w:tcMar>
          </w:tcPr>
          <w:p>
            <w:pPr>
              <w:spacing w:after="0"/>
            </w:pPr>
            <w:r>
              <w:rPr>
                <w:sz w:val="18"/>
              </w:rPr>
              <w:t>6 operational views: Network Overview, Live Alerts, Station Detail, Why Flagged, Health, History.</w:t>
            </w:r>
          </w:p>
        </w:tc>
      </w:tr>
      <w:tr>
        <w:tc>
          <w:tcPr>
            <w:tcW w:type="dxa" w:w="3120"/>
            <w:shd w:fill="FFFFFF"/>
            <w:tcMar>
              <w:top w:w="80" w:type="dxa"/>
              <w:bottom w:w="80" w:type="dxa"/>
              <w:left w:w="100" w:type="dxa"/>
              <w:right w:w="100" w:type="dxa"/>
            </w:tcMar>
          </w:tcPr>
          <w:p>
            <w:pPr>
              <w:spacing w:after="0"/>
            </w:pPr>
            <w:r>
              <w:rPr>
                <w:sz w:val="18"/>
              </w:rPr>
              <w:t>tests/</w:t>
            </w:r>
          </w:p>
        </w:tc>
        <w:tc>
          <w:tcPr>
            <w:tcW w:type="dxa" w:w="3120"/>
            <w:shd w:fill="FFFFFF"/>
            <w:tcMar>
              <w:top w:w="80" w:type="dxa"/>
              <w:bottom w:w="80" w:type="dxa"/>
              <w:left w:w="100" w:type="dxa"/>
              <w:right w:w="100" w:type="dxa"/>
            </w:tcMar>
          </w:tcPr>
          <w:p>
            <w:pPr>
              <w:spacing w:after="0"/>
            </w:pPr>
            <w:r>
              <w:rPr>
                <w:sz w:val="18"/>
              </w:rPr>
              <w:t>Verification</w:t>
            </w:r>
          </w:p>
        </w:tc>
        <w:tc>
          <w:tcPr>
            <w:tcW w:type="dxa" w:w="3120"/>
            <w:shd w:fill="FFFFFF"/>
            <w:tcMar>
              <w:top w:w="80" w:type="dxa"/>
              <w:bottom w:w="80" w:type="dxa"/>
              <w:left w:w="100" w:type="dxa"/>
              <w:right w:w="100" w:type="dxa"/>
            </w:tcMar>
          </w:tcPr>
          <w:p>
            <w:pPr>
              <w:spacing w:after="0"/>
            </w:pPr>
            <w:r>
              <w:rPr>
                <w:sz w:val="18"/>
              </w:rPr>
              <w:t>Comprehensive unit, integration, and ML benchmark evaluation test suite.</w:t>
            </w:r>
          </w:p>
        </w:tc>
      </w:tr>
      <w:tr>
        <w:tc>
          <w:tcPr>
            <w:tcW w:type="dxa" w:w="3120"/>
            <w:shd w:fill="F9FAFC"/>
            <w:tcMar>
              <w:top w:w="80" w:type="dxa"/>
              <w:bottom w:w="80" w:type="dxa"/>
              <w:left w:w="100" w:type="dxa"/>
              <w:right w:w="100" w:type="dxa"/>
            </w:tcMar>
          </w:tcPr>
          <w:p>
            <w:pPr>
              <w:spacing w:after="0"/>
            </w:pPr>
            <w:r>
              <w:rPr>
                <w:sz w:val="18"/>
              </w:rPr>
              <w:t>Dockerfile &amp; Compose</w:t>
            </w:r>
          </w:p>
        </w:tc>
        <w:tc>
          <w:tcPr>
            <w:tcW w:type="dxa" w:w="3120"/>
            <w:shd w:fill="F9FAFC"/>
            <w:tcMar>
              <w:top w:w="80" w:type="dxa"/>
              <w:bottom w:w="80" w:type="dxa"/>
              <w:left w:w="100" w:type="dxa"/>
              <w:right w:w="100" w:type="dxa"/>
            </w:tcMar>
          </w:tcPr>
          <w:p>
            <w:pPr>
              <w:spacing w:after="0"/>
            </w:pPr>
            <w:r>
              <w:rPr>
                <w:sz w:val="18"/>
              </w:rPr>
              <w:t>Deployment</w:t>
            </w:r>
          </w:p>
        </w:tc>
        <w:tc>
          <w:tcPr>
            <w:tcW w:type="dxa" w:w="3120"/>
            <w:shd w:fill="F9FAFC"/>
            <w:tcMar>
              <w:top w:w="80" w:type="dxa"/>
              <w:bottom w:w="80" w:type="dxa"/>
              <w:left w:w="100" w:type="dxa"/>
              <w:right w:w="100" w:type="dxa"/>
            </w:tcMar>
          </w:tcPr>
          <w:p>
            <w:pPr>
              <w:spacing w:after="0"/>
            </w:pPr>
            <w:r>
              <w:rPr>
                <w:sz w:val="18"/>
              </w:rPr>
              <w:t>Containerized Python 3.11 backend with automated healthchecks.</w:t>
            </w:r>
          </w:p>
        </w:tc>
      </w:tr>
    </w:tbl>
    <w:p>
      <w:pPr>
        <w:spacing w:after="200"/>
      </w:pPr>
    </w:p>
    <w:p>
      <w:pPr>
        <w:keepNext/>
        <w:spacing w:before="360" w:after="120"/>
      </w:pPr>
      <w:r>
        <w:rPr>
          <w:rFonts w:ascii="Segoe UI Semibold" w:hAnsi="Segoe UI Semibold"/>
          <w:b/>
          <w:color w:val="0F2027"/>
          <w:sz w:val="32"/>
        </w:rPr>
        <w:t>3. Core Backend Engine Deep-Dive</w:t>
      </w:r>
    </w:p>
    <w:p>
      <w:pPr>
        <w:keepNext/>
        <w:spacing w:before="280" w:after="80"/>
      </w:pPr>
      <w:r>
        <w:rPr>
          <w:rFonts w:ascii="Segoe UI Semibold" w:hAnsi="Segoe UI Semibold"/>
          <w:b/>
          <w:color w:val="0083B0"/>
          <w:sz w:val="25"/>
        </w:rPr>
        <w:t>3.1 Data Pipeline &amp; Feature Engineering (backend/data_pipeline.py)</w:t>
      </w:r>
    </w:p>
    <w:p>
      <w:r>
        <w:t>Ingests historical Antarctic observations from the IMD Maitri station (1985-2016). Validates telemetry against strict physical boundaries, resolves missing intervals, and computes differential and rolling feature matrices stored in Apache Parquet.</w:t>
      </w:r>
    </w:p>
    <w:p>
      <w:pPr>
        <w:pStyle w:val="ListBullet"/>
        <w:spacing w:after="60"/>
      </w:pPr>
      <w:r>
        <w:rPr>
          <w:b/>
          <w:color w:val="2C3E50"/>
        </w:rPr>
        <w:t xml:space="preserve">• </w:t>
      </w:r>
      <w:r>
        <w:t>Quality Flag Filtering: Evaluates IMD quality markers and bounds (Temperature: -90°C to +60°C; Pressure: 500 to 1100 hPa).</w:t>
      </w:r>
    </w:p>
    <w:p>
      <w:pPr>
        <w:pStyle w:val="ListBullet"/>
        <w:spacing w:after="60"/>
      </w:pPr>
      <w:r>
        <w:rPr>
          <w:b/>
          <w:color w:val="2C3E50"/>
        </w:rPr>
        <w:t xml:space="preserve">• </w:t>
      </w:r>
      <w:r>
        <w:t>Differential Features: Computes 1h, 3h, and 6h first-order time derivatives to capture rapid barometric drops and thermal swings.</w:t>
      </w:r>
    </w:p>
    <w:p>
      <w:pPr>
        <w:pStyle w:val="ListBullet"/>
        <w:spacing w:after="60"/>
      </w:pPr>
      <w:r>
        <w:rPr>
          <w:b/>
          <w:color w:val="2C3E50"/>
        </w:rPr>
        <w:t xml:space="preserve">• </w:t>
      </w:r>
      <w:r>
        <w:t>Rolling Statistics: Evaluates 6-hour and 24-hour moving averages, rolling standard deviations, and min/max envelopes.</w:t>
      </w:r>
    </w:p>
    <w:p>
      <w:pPr>
        <w:pStyle w:val="ListBullet"/>
        <w:spacing w:after="60"/>
      </w:pPr>
      <w:r>
        <w:rPr>
          <w:b/>
          <w:color w:val="2C3E50"/>
        </w:rPr>
        <w:t xml:space="preserve">• </w:t>
      </w:r>
      <w:r>
        <w:t>STL Decomposition: Separates diurnal 24-hour seasonal cycles from long-term climate trends and high-frequency noise.</w:t>
      </w:r>
    </w:p>
    <w:p>
      <w:pPr>
        <w:keepNext/>
        <w:spacing w:before="280" w:after="80"/>
      </w:pPr>
      <w:r>
        <w:rPr>
          <w:rFonts w:ascii="Segoe UI Semibold" w:hAnsi="Segoe UI Semibold"/>
          <w:b/>
          <w:color w:val="0083B0"/>
          <w:sz w:val="25"/>
        </w:rPr>
        <w:t>3.2 Anomaly Detector Ensemble (backend/detectors.py)</w:t>
      </w:r>
    </w:p>
    <w:p>
      <w:r>
        <w:t>SkyguardAI combines three complementary detector paradigms to guarantee high precision across diverse fault modes:</w:t>
      </w:r>
    </w:p>
    <w:p>
      <w:pPr>
        <w:pStyle w:val="ListBullet"/>
        <w:spacing w:after="60"/>
      </w:pPr>
      <w:r>
        <w:rPr>
          <w:b/>
          <w:color w:val="2C3E50"/>
        </w:rPr>
        <w:t xml:space="preserve">1. </w:t>
      </w:r>
      <w:r>
        <w:t>Statistical Detector (statistical_detect): Computes dynamic rolling Z-scores (|Z| &gt; 3.0), checks for stuck/frozen sensor values (zero variance over &gt;=6 observation cycles), and flags rate-of-change limit violations.</w:t>
      </w:r>
    </w:p>
    <w:p>
      <w:pPr>
        <w:pStyle w:val="ListBullet"/>
        <w:spacing w:after="60"/>
      </w:pPr>
      <w:r>
        <w:rPr>
          <w:b/>
          <w:color w:val="2C3E50"/>
        </w:rPr>
        <w:t xml:space="preserve">2. </w:t>
      </w:r>
      <w:r>
        <w:t>PyTorch LSTM Autoencoder (LSTMAutoencoder): A 2-layer sequence encoder-decoder trained on 24-hour sliding telemetry windows. Anomalies are detected when reconstruction Mean Squared Error (MSE) across temperature, pressure, and humidity exceeds baseline thresholds.</w:t>
      </w:r>
    </w:p>
    <w:p>
      <w:pPr>
        <w:pStyle w:val="ListBullet"/>
        <w:spacing w:after="60"/>
      </w:pPr>
      <w:r>
        <w:rPr>
          <w:b/>
          <w:color w:val="2C3E50"/>
        </w:rPr>
        <w:t xml:space="preserve">3. </w:t>
      </w:r>
      <w:r>
        <w:t>Isolation Forest (IsolationForestDetector): Multivariate tree-partitioning algorithm trained on combined raw and engineered features to isolate anomalous subspaces without requiring labeled training datasets.</w:t>
      </w:r>
    </w:p>
    <w:p>
      <w:pPr>
        <w:keepNext/>
        <w:spacing w:before="280" w:after="80"/>
      </w:pPr>
      <w:r>
        <w:rPr>
          <w:rFonts w:ascii="Segoe UI Semibold" w:hAnsi="Segoe UI Semibold"/>
          <w:b/>
          <w:color w:val="0083B0"/>
          <w:sz w:val="25"/>
        </w:rPr>
        <w:t>3.3 Spatial Consistency &amp; Consensus Engine (backend/consistency.py)</w:t>
      </w:r>
    </w:p>
    <w:p>
      <w:r>
        <w:t>Prevents false alarms by cross-referencing flagged station readings with neighboring stations using geographic and thermodynamic models:</w:t>
      </w:r>
    </w:p>
    <w:p>
      <w:pPr>
        <w:pStyle w:val="ListBullet"/>
        <w:spacing w:after="60"/>
      </w:pPr>
      <w:r>
        <w:rPr>
          <w:b/>
          <w:color w:val="2C3E50"/>
        </w:rPr>
        <w:t xml:space="preserve">• </w:t>
      </w:r>
      <w:r>
        <w:t>Haversine Spatial Weighting: Calculates great-circle geographic distance between stations to establish dynamic neighbor influence weights.</w:t>
      </w:r>
    </w:p>
    <w:p>
      <w:pPr>
        <w:pStyle w:val="ListBullet"/>
        <w:spacing w:after="60"/>
      </w:pPr>
      <w:r>
        <w:rPr>
          <w:b/>
          <w:color w:val="2C3E50"/>
        </w:rPr>
        <w:t xml:space="preserve">• </w:t>
      </w:r>
      <w:r>
        <w:t>Thermodynamic Lapse-Rate Adjustments: Normalizes station temperature (-6.5°C/km) and barometric pressure (-11 hPa/100m) based on elevation differences.</w:t>
      </w:r>
    </w:p>
    <w:p>
      <w:pPr>
        <w:pStyle w:val="ListBullet"/>
        <w:spacing w:after="60"/>
      </w:pPr>
      <w:r>
        <w:rPr>
          <w:b/>
          <w:color w:val="2C3E50"/>
        </w:rPr>
        <w:t xml:space="preserve">• </w:t>
      </w:r>
      <w:r>
        <w:t>Multivariate Mahalanobis Distance: Evaluates correlated parameter deviations against historical covariance matrices to detect impossible physical combinations.</w:t>
      </w:r>
    </w:p>
    <w:p>
      <w:pPr>
        <w:pStyle w:val="ListBullet"/>
        <w:spacing w:after="60"/>
      </w:pPr>
      <w:r>
        <w:rPr>
          <w:b/>
          <w:color w:val="2C3E50"/>
        </w:rPr>
        <w:t xml:space="preserve">• </w:t>
      </w:r>
      <w:r>
        <w:t>Fusion &amp; Root-Cause Classification (fuse_and_classify): Weighted fusion of all detector scores. If an anomaly is isolated to a single station while neighbors remain normal, it is classified as 'sensor_fault'. If neighbors exhibit consistent synchronized changes, it is classified as 'genuine_event'.</w:t>
      </w:r>
    </w:p>
    <w:p>
      <w:pPr>
        <w:keepNext/>
        <w:spacing w:before="280" w:after="80"/>
      </w:pPr>
      <w:r>
        <w:rPr>
          <w:rFonts w:ascii="Segoe UI Semibold" w:hAnsi="Segoe UI Semibold"/>
          <w:b/>
          <w:color w:val="0083B0"/>
          <w:sz w:val="25"/>
        </w:rPr>
        <w:t>3.4 Explainability &amp; Prognostics (backend/explain.py)</w:t>
      </w:r>
    </w:p>
    <w:p>
      <w:pPr>
        <w:pStyle w:val="ListBullet"/>
        <w:spacing w:after="60"/>
      </w:pPr>
      <w:r>
        <w:rPr>
          <w:b/>
          <w:color w:val="2C3E50"/>
        </w:rPr>
        <w:t xml:space="preserve">• </w:t>
      </w:r>
      <w:r>
        <w:t>SHAP Feature Attribution (explain_alert): Quantifies exact positive and negative feature contributions driving the anomaly score, enabling operators to inspect which sensor channel triggered the event.</w:t>
      </w:r>
    </w:p>
    <w:p>
      <w:pPr>
        <w:pStyle w:val="ListBullet"/>
        <w:spacing w:after="60"/>
      </w:pPr>
      <w:r>
        <w:rPr>
          <w:b/>
          <w:color w:val="2C3E50"/>
        </w:rPr>
        <w:t xml:space="preserve">• </w:t>
      </w:r>
      <w:r>
        <w:t>Domain-Grounded Meteorological Narratives: Automatically transforms mathematical model outputs into plain English diagnostic reports (e.g., 'Sudden pressure drop of -8.4 hPa/hr coupled with steady temperature indicates approaching cold front rather than sensor malfunction').</w:t>
      </w:r>
    </w:p>
    <w:p>
      <w:pPr>
        <w:pStyle w:val="ListBullet"/>
        <w:spacing w:after="60"/>
      </w:pPr>
      <w:r>
        <w:rPr>
          <w:b/>
          <w:color w:val="2C3E50"/>
        </w:rPr>
        <w:t xml:space="preserve">• </w:t>
      </w:r>
      <w:r>
        <w:t>Sensor Health &amp; RUL Prognostics (predict_health): Produces a continuous health index (0 to 100) based on cumulative reconstruction drift, spike frequencies, and signal noise. Computes Remaining Useful Life (RUL) and maintenance recommendations.</w:t>
      </w:r>
    </w:p>
    <w:p>
      <w:pPr>
        <w:keepNext/>
        <w:spacing w:before="280" w:after="80"/>
      </w:pPr>
      <w:r>
        <w:rPr>
          <w:rFonts w:ascii="Segoe UI Semibold" w:hAnsi="Segoe UI Semibold"/>
          <w:b/>
          <w:color w:val="0083B0"/>
          <w:sz w:val="25"/>
        </w:rPr>
        <w:t>3.5 Scenario Simulation &amp; Fault Injection (backend/simulate.py)</w:t>
      </w:r>
    </w:p>
    <w:p>
      <w:r>
        <w:t>Generates realistic synthetic station arrays with spatial correlations and provides field scenario triggers for testing and demonstration:</w:t>
      </w:r>
    </w:p>
    <w:p>
      <w:pPr>
        <w:pStyle w:val="ListBullet"/>
        <w:spacing w:after="60"/>
      </w:pPr>
      <w:r>
        <w:rPr>
          <w:b/>
          <w:color w:val="2C3E50"/>
        </w:rPr>
        <w:t xml:space="preserve">• </w:t>
      </w:r>
      <w:r>
        <w:t>spike: Injects transient high-amplitude single-step anomalies.</w:t>
      </w:r>
    </w:p>
    <w:p>
      <w:pPr>
        <w:pStyle w:val="ListBullet"/>
        <w:spacing w:after="60"/>
      </w:pPr>
      <w:r>
        <w:rPr>
          <w:b/>
          <w:color w:val="2C3E50"/>
        </w:rPr>
        <w:t xml:space="preserve">• </w:t>
      </w:r>
      <w:r>
        <w:t>frozen_sensor: Simulates stuck analog-to-digital converters with zero signal variance.</w:t>
      </w:r>
    </w:p>
    <w:p>
      <w:pPr>
        <w:pStyle w:val="ListBullet"/>
        <w:spacing w:after="60"/>
      </w:pPr>
      <w:r>
        <w:rPr>
          <w:b/>
          <w:color w:val="2C3E50"/>
        </w:rPr>
        <w:t xml:space="preserve">• </w:t>
      </w:r>
      <w:r>
        <w:t>calibration_drift: Injects progressive linear sensor bias drift.</w:t>
      </w:r>
    </w:p>
    <w:p>
      <w:pPr>
        <w:pStyle w:val="ListBullet"/>
        <w:spacing w:after="60"/>
      </w:pPr>
      <w:r>
        <w:rPr>
          <w:b/>
          <w:color w:val="2C3E50"/>
        </w:rPr>
        <w:t xml:space="preserve">• </w:t>
      </w:r>
      <w:r>
        <w:t>comms_dropout: Simulates intermittent network packet loss and telemetry nulls.</w:t>
      </w:r>
    </w:p>
    <w:p>
      <w:pPr>
        <w:pStyle w:val="ListBullet"/>
        <w:spacing w:after="60"/>
      </w:pPr>
      <w:r>
        <w:rPr>
          <w:b/>
          <w:color w:val="2C3E50"/>
        </w:rPr>
        <w:t xml:space="preserve">• </w:t>
      </w:r>
      <w:r>
        <w:t>genuine_event: Injects synchronized regional atmospheric weather fronts.</w:t>
      </w:r>
    </w:p>
    <w:p>
      <w:pPr>
        <w:keepNext/>
        <w:spacing w:before="360" w:after="120"/>
      </w:pPr>
      <w:r>
        <w:rPr>
          <w:rFonts w:ascii="Segoe UI Semibold" w:hAnsi="Segoe UI Semibold"/>
          <w:b/>
          <w:color w:val="0F2027"/>
          <w:sz w:val="32"/>
        </w:rPr>
        <w:t>4. REST &amp; SSE Streaming API Reference</w:t>
      </w:r>
    </w:p>
    <w:p>
      <w:r>
        <w:t>The backend exposes a clean, typed RESTful and Server-Sent Events (SSE) API on port 8000:</w:t>
      </w:r>
    </w:p>
    <w:tbl>
      <w:tblPr>
        <w:tblW w:type="auto" w:w="0"/>
        <w:jc w:val="center"/>
        <w:tblLook w:firstColumn="1" w:firstRow="1" w:lastColumn="0" w:lastRow="0" w:noHBand="0" w:noVBand="1" w:val="04A0"/>
      </w:tblPr>
      <w:tblGrid>
        <w:gridCol w:w="2340"/>
        <w:gridCol w:w="2340"/>
        <w:gridCol w:w="2340"/>
        <w:gridCol w:w="2340"/>
      </w:tblGrid>
      <w:tr>
        <w:tc>
          <w:tcPr>
            <w:tcW w:type="dxa" w:w="2340"/>
            <w:shd w:fill="0F2027"/>
          </w:tcPr>
          <w:p>
            <w:r>
              <w:rPr>
                <w:b/>
                <w:color w:val="FFFFFF"/>
                <w:sz w:val="19"/>
              </w:rPr>
              <w:t>Method</w:t>
            </w:r>
          </w:p>
        </w:tc>
        <w:tc>
          <w:tcPr>
            <w:tcW w:type="dxa" w:w="2340"/>
            <w:shd w:fill="0F2027"/>
          </w:tcPr>
          <w:p>
            <w:r>
              <w:rPr>
                <w:b/>
                <w:color w:val="FFFFFF"/>
                <w:sz w:val="19"/>
              </w:rPr>
              <w:t>Endpoint</w:t>
            </w:r>
          </w:p>
        </w:tc>
        <w:tc>
          <w:tcPr>
            <w:tcW w:type="dxa" w:w="2340"/>
            <w:shd w:fill="0F2027"/>
          </w:tcPr>
          <w:p>
            <w:r>
              <w:rPr>
                <w:b/>
                <w:color w:val="FFFFFF"/>
                <w:sz w:val="19"/>
              </w:rPr>
              <w:t>Parameters</w:t>
            </w:r>
          </w:p>
        </w:tc>
        <w:tc>
          <w:tcPr>
            <w:tcW w:type="dxa" w:w="2340"/>
            <w:shd w:fill="0F2027"/>
          </w:tcPr>
          <w:p>
            <w:r>
              <w:rPr>
                <w:b/>
                <w:color w:val="FFFFFF"/>
                <w:sz w:val="19"/>
              </w:rPr>
              <w:t>Description</w:t>
            </w:r>
          </w:p>
        </w:tc>
      </w:tr>
      <w:tr>
        <w:tc>
          <w:tcPr>
            <w:tcW w:type="dxa" w:w="2340"/>
            <w:shd w:fill="FFFFFF"/>
            <w:tcMar>
              <w:top w:w="80" w:type="dxa"/>
              <w:bottom w:w="80" w:type="dxa"/>
              <w:left w:w="100" w:type="dxa"/>
              <w:right w:w="100" w:type="dxa"/>
            </w:tcMar>
          </w:tcPr>
          <w:p>
            <w:pPr>
              <w:spacing w:after="0"/>
            </w:pPr>
            <w:r>
              <w:rPr>
                <w:sz w:val="17"/>
              </w:rPr>
              <w:t>GET</w:t>
            </w:r>
          </w:p>
        </w:tc>
        <w:tc>
          <w:tcPr>
            <w:tcW w:type="dxa" w:w="2340"/>
            <w:shd w:fill="FFFFFF"/>
            <w:tcMar>
              <w:top w:w="80" w:type="dxa"/>
              <w:bottom w:w="80" w:type="dxa"/>
              <w:left w:w="100" w:type="dxa"/>
              <w:right w:w="100" w:type="dxa"/>
            </w:tcMar>
          </w:tcPr>
          <w:p>
            <w:pPr>
              <w:spacing w:after="0"/>
            </w:pPr>
            <w:r>
              <w:rPr>
                <w:sz w:val="17"/>
              </w:rPr>
              <w:t>/health</w:t>
            </w:r>
          </w:p>
        </w:tc>
        <w:tc>
          <w:tcPr>
            <w:tcW w:type="dxa" w:w="2340"/>
            <w:shd w:fill="FFFFFF"/>
            <w:tcMar>
              <w:top w:w="80" w:type="dxa"/>
              <w:bottom w:w="80" w:type="dxa"/>
              <w:left w:w="100" w:type="dxa"/>
              <w:right w:w="100" w:type="dxa"/>
            </w:tcMar>
          </w:tcPr>
          <w:p>
            <w:pPr>
              <w:spacing w:after="0"/>
            </w:pPr>
            <w:r>
              <w:rPr>
                <w:sz w:val="17"/>
              </w:rPr>
              <w:t>None</w:t>
            </w:r>
          </w:p>
        </w:tc>
        <w:tc>
          <w:tcPr>
            <w:tcW w:type="dxa" w:w="2340"/>
            <w:shd w:fill="FFFFFF"/>
            <w:tcMar>
              <w:top w:w="80" w:type="dxa"/>
              <w:bottom w:w="80" w:type="dxa"/>
              <w:left w:w="100" w:type="dxa"/>
              <w:right w:w="100" w:type="dxa"/>
            </w:tcMar>
          </w:tcPr>
          <w:p>
            <w:pPr>
              <w:spacing w:after="0"/>
            </w:pPr>
            <w:r>
              <w:rPr>
                <w:sz w:val="17"/>
              </w:rPr>
              <w:t>Returns system health, total monitored stations, and active alert counts.</w:t>
            </w:r>
          </w:p>
        </w:tc>
      </w:tr>
      <w:tr>
        <w:tc>
          <w:tcPr>
            <w:tcW w:type="dxa" w:w="2340"/>
            <w:shd w:fill="F9FAFC"/>
            <w:tcMar>
              <w:top w:w="80" w:type="dxa"/>
              <w:bottom w:w="80" w:type="dxa"/>
              <w:left w:w="100" w:type="dxa"/>
              <w:right w:w="100" w:type="dxa"/>
            </w:tcMar>
          </w:tcPr>
          <w:p>
            <w:pPr>
              <w:spacing w:after="0"/>
            </w:pPr>
            <w:r>
              <w:rPr>
                <w:sz w:val="17"/>
              </w:rPr>
              <w:t>GET</w:t>
            </w:r>
          </w:p>
        </w:tc>
        <w:tc>
          <w:tcPr>
            <w:tcW w:type="dxa" w:w="2340"/>
            <w:shd w:fill="F9FAFC"/>
            <w:tcMar>
              <w:top w:w="80" w:type="dxa"/>
              <w:bottom w:w="80" w:type="dxa"/>
              <w:left w:w="100" w:type="dxa"/>
              <w:right w:w="100" w:type="dxa"/>
            </w:tcMar>
          </w:tcPr>
          <w:p>
            <w:pPr>
              <w:spacing w:after="0"/>
            </w:pPr>
            <w:r>
              <w:rPr>
                <w:sz w:val="17"/>
              </w:rPr>
              <w:t>/stations</w:t>
            </w:r>
          </w:p>
        </w:tc>
        <w:tc>
          <w:tcPr>
            <w:tcW w:type="dxa" w:w="2340"/>
            <w:shd w:fill="F9FAFC"/>
            <w:tcMar>
              <w:top w:w="80" w:type="dxa"/>
              <w:bottom w:w="80" w:type="dxa"/>
              <w:left w:w="100" w:type="dxa"/>
              <w:right w:w="100" w:type="dxa"/>
            </w:tcMar>
          </w:tcPr>
          <w:p>
            <w:pPr>
              <w:spacing w:after="0"/>
            </w:pPr>
            <w:r>
              <w:rPr>
                <w:sz w:val="17"/>
              </w:rPr>
              <w:t>None</w:t>
            </w:r>
          </w:p>
        </w:tc>
        <w:tc>
          <w:tcPr>
            <w:tcW w:type="dxa" w:w="2340"/>
            <w:shd w:fill="F9FAFC"/>
            <w:tcMar>
              <w:top w:w="80" w:type="dxa"/>
              <w:bottom w:w="80" w:type="dxa"/>
              <w:left w:w="100" w:type="dxa"/>
              <w:right w:w="100" w:type="dxa"/>
            </w:tcMar>
          </w:tcPr>
          <w:p>
            <w:pPr>
              <w:spacing w:after="0"/>
            </w:pPr>
            <w:r>
              <w:rPr>
                <w:sz w:val="17"/>
              </w:rPr>
              <w:t>Lists all stations, GPS coordinates, elevation, operational status, and source.</w:t>
            </w:r>
          </w:p>
        </w:tc>
      </w:tr>
      <w:tr>
        <w:tc>
          <w:tcPr>
            <w:tcW w:type="dxa" w:w="2340"/>
            <w:shd w:fill="FFFFFF"/>
            <w:tcMar>
              <w:top w:w="80" w:type="dxa"/>
              <w:bottom w:w="80" w:type="dxa"/>
              <w:left w:w="100" w:type="dxa"/>
              <w:right w:w="100" w:type="dxa"/>
            </w:tcMar>
          </w:tcPr>
          <w:p>
            <w:pPr>
              <w:spacing w:after="0"/>
            </w:pPr>
            <w:r>
              <w:rPr>
                <w:sz w:val="17"/>
              </w:rPr>
              <w:t>GET</w:t>
            </w:r>
          </w:p>
        </w:tc>
        <w:tc>
          <w:tcPr>
            <w:tcW w:type="dxa" w:w="2340"/>
            <w:shd w:fill="FFFFFF"/>
            <w:tcMar>
              <w:top w:w="80" w:type="dxa"/>
              <w:bottom w:w="80" w:type="dxa"/>
              <w:left w:w="100" w:type="dxa"/>
              <w:right w:w="100" w:type="dxa"/>
            </w:tcMar>
          </w:tcPr>
          <w:p>
            <w:pPr>
              <w:spacing w:after="0"/>
            </w:pPr>
            <w:r>
              <w:rPr>
                <w:sz w:val="17"/>
              </w:rPr>
              <w:t>/alerts</w:t>
            </w:r>
          </w:p>
        </w:tc>
        <w:tc>
          <w:tcPr>
            <w:tcW w:type="dxa" w:w="2340"/>
            <w:shd w:fill="FFFFFF"/>
            <w:tcMar>
              <w:top w:w="80" w:type="dxa"/>
              <w:bottom w:w="80" w:type="dxa"/>
              <w:left w:w="100" w:type="dxa"/>
              <w:right w:w="100" w:type="dxa"/>
            </w:tcMar>
          </w:tcPr>
          <w:p>
            <w:pPr>
              <w:spacing w:after="0"/>
            </w:pPr>
            <w:r>
              <w:rPr>
                <w:sz w:val="17"/>
              </w:rPr>
              <w:t>status, station_id, min_severity, since, limit</w:t>
            </w:r>
          </w:p>
        </w:tc>
        <w:tc>
          <w:tcPr>
            <w:tcW w:type="dxa" w:w="2340"/>
            <w:shd w:fill="FFFFFF"/>
            <w:tcMar>
              <w:top w:w="80" w:type="dxa"/>
              <w:bottom w:w="80" w:type="dxa"/>
              <w:left w:w="100" w:type="dxa"/>
              <w:right w:w="100" w:type="dxa"/>
            </w:tcMar>
          </w:tcPr>
          <w:p>
            <w:pPr>
              <w:spacing w:after="0"/>
            </w:pPr>
            <w:r>
              <w:rPr>
                <w:sz w:val="17"/>
              </w:rPr>
              <w:t>Queries active or historical alerts with multi-criteria filtering.</w:t>
            </w:r>
          </w:p>
        </w:tc>
      </w:tr>
      <w:tr>
        <w:tc>
          <w:tcPr>
            <w:tcW w:type="dxa" w:w="2340"/>
            <w:shd w:fill="F9FAFC"/>
            <w:tcMar>
              <w:top w:w="80" w:type="dxa"/>
              <w:bottom w:w="80" w:type="dxa"/>
              <w:left w:w="100" w:type="dxa"/>
              <w:right w:w="100" w:type="dxa"/>
            </w:tcMar>
          </w:tcPr>
          <w:p>
            <w:pPr>
              <w:spacing w:after="0"/>
            </w:pPr>
            <w:r>
              <w:rPr>
                <w:sz w:val="17"/>
              </w:rPr>
              <w:t>GET</w:t>
            </w:r>
          </w:p>
        </w:tc>
        <w:tc>
          <w:tcPr>
            <w:tcW w:type="dxa" w:w="2340"/>
            <w:shd w:fill="F9FAFC"/>
            <w:tcMar>
              <w:top w:w="80" w:type="dxa"/>
              <w:bottom w:w="80" w:type="dxa"/>
              <w:left w:w="100" w:type="dxa"/>
              <w:right w:w="100" w:type="dxa"/>
            </w:tcMar>
          </w:tcPr>
          <w:p>
            <w:pPr>
              <w:spacing w:after="0"/>
            </w:pPr>
            <w:r>
              <w:rPr>
                <w:sz w:val="17"/>
              </w:rPr>
              <w:t>/stations/{id}/timeseries</w:t>
            </w:r>
          </w:p>
        </w:tc>
        <w:tc>
          <w:tcPr>
            <w:tcW w:type="dxa" w:w="2340"/>
            <w:shd w:fill="F9FAFC"/>
            <w:tcMar>
              <w:top w:w="80" w:type="dxa"/>
              <w:bottom w:w="80" w:type="dxa"/>
              <w:left w:w="100" w:type="dxa"/>
              <w:right w:w="100" w:type="dxa"/>
            </w:tcMar>
          </w:tcPr>
          <w:p>
            <w:pPr>
              <w:spacing w:after="0"/>
            </w:pPr>
            <w:r>
              <w:rPr>
                <w:sz w:val="17"/>
              </w:rPr>
              <w:t>hours (default: 72)</w:t>
            </w:r>
          </w:p>
        </w:tc>
        <w:tc>
          <w:tcPr>
            <w:tcW w:type="dxa" w:w="2340"/>
            <w:shd w:fill="F9FAFC"/>
            <w:tcMar>
              <w:top w:w="80" w:type="dxa"/>
              <w:bottom w:w="80" w:type="dxa"/>
              <w:left w:w="100" w:type="dxa"/>
              <w:right w:w="100" w:type="dxa"/>
            </w:tcMar>
          </w:tcPr>
          <w:p>
            <w:pPr>
              <w:spacing w:after="0"/>
            </w:pPr>
            <w:r>
              <w:rPr>
                <w:sz w:val="17"/>
              </w:rPr>
              <w:t>Retrieves high-resolution telemetry timeseries (temp, pressure, humidity).</w:t>
            </w:r>
          </w:p>
        </w:tc>
      </w:tr>
      <w:tr>
        <w:tc>
          <w:tcPr>
            <w:tcW w:type="dxa" w:w="2340"/>
            <w:shd w:fill="FFFFFF"/>
            <w:tcMar>
              <w:top w:w="80" w:type="dxa"/>
              <w:bottom w:w="80" w:type="dxa"/>
              <w:left w:w="100" w:type="dxa"/>
              <w:right w:w="100" w:type="dxa"/>
            </w:tcMar>
          </w:tcPr>
          <w:p>
            <w:pPr>
              <w:spacing w:after="0"/>
            </w:pPr>
            <w:r>
              <w:rPr>
                <w:sz w:val="17"/>
              </w:rPr>
              <w:t>GET</w:t>
            </w:r>
          </w:p>
        </w:tc>
        <w:tc>
          <w:tcPr>
            <w:tcW w:type="dxa" w:w="2340"/>
            <w:shd w:fill="FFFFFF"/>
            <w:tcMar>
              <w:top w:w="80" w:type="dxa"/>
              <w:bottom w:w="80" w:type="dxa"/>
              <w:left w:w="100" w:type="dxa"/>
              <w:right w:w="100" w:type="dxa"/>
            </w:tcMar>
          </w:tcPr>
          <w:p>
            <w:pPr>
              <w:spacing w:after="0"/>
            </w:pPr>
            <w:r>
              <w:rPr>
                <w:sz w:val="17"/>
              </w:rPr>
              <w:t>/sensor-health/{id}</w:t>
            </w:r>
          </w:p>
        </w:tc>
        <w:tc>
          <w:tcPr>
            <w:tcW w:type="dxa" w:w="2340"/>
            <w:shd w:fill="FFFFFF"/>
            <w:tcMar>
              <w:top w:w="80" w:type="dxa"/>
              <w:bottom w:w="80" w:type="dxa"/>
              <w:left w:w="100" w:type="dxa"/>
              <w:right w:w="100" w:type="dxa"/>
            </w:tcMar>
          </w:tcPr>
          <w:p>
            <w:pPr>
              <w:spacing w:after="0"/>
            </w:pPr>
            <w:r>
              <w:rPr>
                <w:sz w:val="17"/>
              </w:rPr>
              <w:t>None</w:t>
            </w:r>
          </w:p>
        </w:tc>
        <w:tc>
          <w:tcPr>
            <w:tcW w:type="dxa" w:w="2340"/>
            <w:shd w:fill="FFFFFF"/>
            <w:tcMar>
              <w:top w:w="80" w:type="dxa"/>
              <w:bottom w:w="80" w:type="dxa"/>
              <w:left w:w="100" w:type="dxa"/>
              <w:right w:w="100" w:type="dxa"/>
            </w:tcMar>
          </w:tcPr>
          <w:p>
            <w:pPr>
              <w:spacing w:after="0"/>
            </w:pPr>
            <w:r>
              <w:rPr>
                <w:sz w:val="17"/>
              </w:rPr>
              <w:t>Returns sensor health score (0-100), degradation trend, and maintenance forecast.</w:t>
            </w:r>
          </w:p>
        </w:tc>
      </w:tr>
      <w:tr>
        <w:tc>
          <w:tcPr>
            <w:tcW w:type="dxa" w:w="2340"/>
            <w:shd w:fill="F9FAFC"/>
            <w:tcMar>
              <w:top w:w="80" w:type="dxa"/>
              <w:bottom w:w="80" w:type="dxa"/>
              <w:left w:w="100" w:type="dxa"/>
              <w:right w:w="100" w:type="dxa"/>
            </w:tcMar>
          </w:tcPr>
          <w:p>
            <w:pPr>
              <w:spacing w:after="0"/>
            </w:pPr>
            <w:r>
              <w:rPr>
                <w:sz w:val="17"/>
              </w:rPr>
              <w:t>GET</w:t>
            </w:r>
          </w:p>
        </w:tc>
        <w:tc>
          <w:tcPr>
            <w:tcW w:type="dxa" w:w="2340"/>
            <w:shd w:fill="F9FAFC"/>
            <w:tcMar>
              <w:top w:w="80" w:type="dxa"/>
              <w:bottom w:w="80" w:type="dxa"/>
              <w:left w:w="100" w:type="dxa"/>
              <w:right w:w="100" w:type="dxa"/>
            </w:tcMar>
          </w:tcPr>
          <w:p>
            <w:pPr>
              <w:spacing w:after="0"/>
            </w:pPr>
            <w:r>
              <w:rPr>
                <w:sz w:val="17"/>
              </w:rPr>
              <w:t>/explain/{alert_id}</w:t>
            </w:r>
          </w:p>
        </w:tc>
        <w:tc>
          <w:tcPr>
            <w:tcW w:type="dxa" w:w="2340"/>
            <w:shd w:fill="F9FAFC"/>
            <w:tcMar>
              <w:top w:w="80" w:type="dxa"/>
              <w:bottom w:w="80" w:type="dxa"/>
              <w:left w:w="100" w:type="dxa"/>
              <w:right w:w="100" w:type="dxa"/>
            </w:tcMar>
          </w:tcPr>
          <w:p>
            <w:pPr>
              <w:spacing w:after="0"/>
            </w:pPr>
            <w:r>
              <w:rPr>
                <w:sz w:val="17"/>
              </w:rPr>
              <w:t>None</w:t>
            </w:r>
          </w:p>
        </w:tc>
        <w:tc>
          <w:tcPr>
            <w:tcW w:type="dxa" w:w="2340"/>
            <w:shd w:fill="F9FAFC"/>
            <w:tcMar>
              <w:top w:w="80" w:type="dxa"/>
              <w:bottom w:w="80" w:type="dxa"/>
              <w:left w:w="100" w:type="dxa"/>
              <w:right w:w="100" w:type="dxa"/>
            </w:tcMar>
          </w:tcPr>
          <w:p>
            <w:pPr>
              <w:spacing w:after="0"/>
            </w:pPr>
            <w:r>
              <w:rPr>
                <w:sz w:val="17"/>
              </w:rPr>
              <w:t>Returns SHAP attributions, feature directions, and domain narrative.</w:t>
            </w:r>
          </w:p>
        </w:tc>
      </w:tr>
      <w:tr>
        <w:tc>
          <w:tcPr>
            <w:tcW w:type="dxa" w:w="2340"/>
            <w:shd w:fill="FFFFFF"/>
            <w:tcMar>
              <w:top w:w="80" w:type="dxa"/>
              <w:bottom w:w="80" w:type="dxa"/>
              <w:left w:w="100" w:type="dxa"/>
              <w:right w:w="100" w:type="dxa"/>
            </w:tcMar>
          </w:tcPr>
          <w:p>
            <w:pPr>
              <w:spacing w:after="0"/>
            </w:pPr>
            <w:r>
              <w:rPr>
                <w:sz w:val="17"/>
              </w:rPr>
              <w:t>POST</w:t>
            </w:r>
          </w:p>
        </w:tc>
        <w:tc>
          <w:tcPr>
            <w:tcW w:type="dxa" w:w="2340"/>
            <w:shd w:fill="FFFFFF"/>
            <w:tcMar>
              <w:top w:w="80" w:type="dxa"/>
              <w:bottom w:w="80" w:type="dxa"/>
              <w:left w:w="100" w:type="dxa"/>
              <w:right w:w="100" w:type="dxa"/>
            </w:tcMar>
          </w:tcPr>
          <w:p>
            <w:pPr>
              <w:spacing w:after="0"/>
            </w:pPr>
            <w:r>
              <w:rPr>
                <w:sz w:val="17"/>
              </w:rPr>
              <w:t>/alerts/{id}/acknowledge</w:t>
            </w:r>
          </w:p>
        </w:tc>
        <w:tc>
          <w:tcPr>
            <w:tcW w:type="dxa" w:w="2340"/>
            <w:shd w:fill="FFFFFF"/>
            <w:tcMar>
              <w:top w:w="80" w:type="dxa"/>
              <w:bottom w:w="80" w:type="dxa"/>
              <w:left w:w="100" w:type="dxa"/>
              <w:right w:w="100" w:type="dxa"/>
            </w:tcMar>
          </w:tcPr>
          <w:p>
            <w:pPr>
              <w:spacing w:after="0"/>
            </w:pPr>
            <w:r>
              <w:rPr>
                <w:sz w:val="17"/>
              </w:rPr>
              <w:t>None</w:t>
            </w:r>
          </w:p>
        </w:tc>
        <w:tc>
          <w:tcPr>
            <w:tcW w:type="dxa" w:w="2340"/>
            <w:shd w:fill="FFFFFF"/>
            <w:tcMar>
              <w:top w:w="80" w:type="dxa"/>
              <w:bottom w:w="80" w:type="dxa"/>
              <w:left w:w="100" w:type="dxa"/>
              <w:right w:w="100" w:type="dxa"/>
            </w:tcMar>
          </w:tcPr>
          <w:p>
            <w:pPr>
              <w:spacing w:after="0"/>
            </w:pPr>
            <w:r>
              <w:rPr>
                <w:sz w:val="17"/>
              </w:rPr>
              <w:t>Acknowledges an active alert and updates triage status in state.</w:t>
            </w:r>
          </w:p>
        </w:tc>
      </w:tr>
      <w:tr>
        <w:tc>
          <w:tcPr>
            <w:tcW w:type="dxa" w:w="2340"/>
            <w:shd w:fill="F9FAFC"/>
            <w:tcMar>
              <w:top w:w="80" w:type="dxa"/>
              <w:bottom w:w="80" w:type="dxa"/>
              <w:left w:w="100" w:type="dxa"/>
              <w:right w:w="100" w:type="dxa"/>
            </w:tcMar>
          </w:tcPr>
          <w:p>
            <w:pPr>
              <w:spacing w:after="0"/>
            </w:pPr>
            <w:r>
              <w:rPr>
                <w:sz w:val="17"/>
              </w:rPr>
              <w:t>GET</w:t>
            </w:r>
          </w:p>
        </w:tc>
        <w:tc>
          <w:tcPr>
            <w:tcW w:type="dxa" w:w="2340"/>
            <w:shd w:fill="F9FAFC"/>
            <w:tcMar>
              <w:top w:w="80" w:type="dxa"/>
              <w:bottom w:w="80" w:type="dxa"/>
              <w:left w:w="100" w:type="dxa"/>
              <w:right w:w="100" w:type="dxa"/>
            </w:tcMar>
          </w:tcPr>
          <w:p>
            <w:pPr>
              <w:spacing w:after="0"/>
            </w:pPr>
            <w:r>
              <w:rPr>
                <w:sz w:val="17"/>
              </w:rPr>
              <w:t>/alerts/stream</w:t>
            </w:r>
          </w:p>
        </w:tc>
        <w:tc>
          <w:tcPr>
            <w:tcW w:type="dxa" w:w="2340"/>
            <w:shd w:fill="F9FAFC"/>
            <w:tcMar>
              <w:top w:w="80" w:type="dxa"/>
              <w:bottom w:w="80" w:type="dxa"/>
              <w:left w:w="100" w:type="dxa"/>
              <w:right w:w="100" w:type="dxa"/>
            </w:tcMar>
          </w:tcPr>
          <w:p>
            <w:pPr>
              <w:spacing w:after="0"/>
            </w:pPr>
            <w:r>
              <w:rPr>
                <w:sz w:val="17"/>
              </w:rPr>
              <w:t>None</w:t>
            </w:r>
          </w:p>
        </w:tc>
        <w:tc>
          <w:tcPr>
            <w:tcW w:type="dxa" w:w="2340"/>
            <w:shd w:fill="F9FAFC"/>
            <w:tcMar>
              <w:top w:w="80" w:type="dxa"/>
              <w:bottom w:w="80" w:type="dxa"/>
              <w:left w:w="100" w:type="dxa"/>
              <w:right w:w="100" w:type="dxa"/>
            </w:tcMar>
          </w:tcPr>
          <w:p>
            <w:pPr>
              <w:spacing w:after="0"/>
            </w:pPr>
            <w:r>
              <w:rPr>
                <w:sz w:val="17"/>
              </w:rPr>
              <w:t>SSE live stream broadcasting real-time alert events to connected dashboards.</w:t>
            </w:r>
          </w:p>
        </w:tc>
      </w:tr>
      <w:tr>
        <w:tc>
          <w:tcPr>
            <w:tcW w:type="dxa" w:w="2340"/>
            <w:shd w:fill="FFFFFF"/>
            <w:tcMar>
              <w:top w:w="80" w:type="dxa"/>
              <w:bottom w:w="80" w:type="dxa"/>
              <w:left w:w="100" w:type="dxa"/>
              <w:right w:w="100" w:type="dxa"/>
            </w:tcMar>
          </w:tcPr>
          <w:p>
            <w:pPr>
              <w:spacing w:after="0"/>
            </w:pPr>
            <w:r>
              <w:rPr>
                <w:sz w:val="17"/>
              </w:rPr>
              <w:t>POST</w:t>
            </w:r>
          </w:p>
        </w:tc>
        <w:tc>
          <w:tcPr>
            <w:tcW w:type="dxa" w:w="2340"/>
            <w:shd w:fill="FFFFFF"/>
            <w:tcMar>
              <w:top w:w="80" w:type="dxa"/>
              <w:bottom w:w="80" w:type="dxa"/>
              <w:left w:w="100" w:type="dxa"/>
              <w:right w:w="100" w:type="dxa"/>
            </w:tcMar>
          </w:tcPr>
          <w:p>
            <w:pPr>
              <w:spacing w:after="0"/>
            </w:pPr>
            <w:r>
              <w:rPr>
                <w:sz w:val="17"/>
              </w:rPr>
              <w:t>/simulate/scenario</w:t>
            </w:r>
          </w:p>
        </w:tc>
        <w:tc>
          <w:tcPr>
            <w:tcW w:type="dxa" w:w="2340"/>
            <w:shd w:fill="FFFFFF"/>
            <w:tcMar>
              <w:top w:w="80" w:type="dxa"/>
              <w:bottom w:w="80" w:type="dxa"/>
              <w:left w:w="100" w:type="dxa"/>
              <w:right w:w="100" w:type="dxa"/>
            </w:tcMar>
          </w:tcPr>
          <w:p>
            <w:pPr>
              <w:spacing w:after="0"/>
            </w:pPr>
            <w:r>
              <w:rPr>
                <w:sz w:val="17"/>
              </w:rPr>
              <w:t>scenario, city</w:t>
            </w:r>
          </w:p>
        </w:tc>
        <w:tc>
          <w:tcPr>
            <w:tcW w:type="dxa" w:w="2340"/>
            <w:shd w:fill="FFFFFF"/>
            <w:tcMar>
              <w:top w:w="80" w:type="dxa"/>
              <w:bottom w:w="80" w:type="dxa"/>
              <w:left w:w="100" w:type="dxa"/>
              <w:right w:w="100" w:type="dxa"/>
            </w:tcMar>
          </w:tcPr>
          <w:p>
            <w:pPr>
              <w:spacing w:after="0"/>
            </w:pPr>
            <w:r>
              <w:rPr>
                <w:sz w:val="17"/>
              </w:rPr>
              <w:t>Triggers synthetic fault scenarios and re-executes end-to-end pipeline.</w:t>
            </w:r>
          </w:p>
        </w:tc>
      </w:tr>
    </w:tbl>
    <w:p>
      <w:pPr>
        <w:spacing w:after="200"/>
      </w:pPr>
    </w:p>
    <w:p>
      <w:pPr>
        <w:keepNext/>
        <w:spacing w:before="360" w:after="120"/>
      </w:pPr>
      <w:r>
        <w:rPr>
          <w:rFonts w:ascii="Segoe UI Semibold" w:hAnsi="Segoe UI Semibold"/>
          <w:b/>
          <w:color w:val="0F2027"/>
          <w:sz w:val="32"/>
        </w:rPr>
        <w:t>5. Frontend Operations Dashboard</w:t>
      </w:r>
    </w:p>
    <w:p>
      <w:r>
        <w:t>The frontend is built with React 18, TypeScript, and Vite. It provides an intuitive, high-density interface for station operators:</w:t>
      </w:r>
    </w:p>
    <w:p>
      <w:pPr>
        <w:keepNext/>
        <w:spacing w:before="280" w:after="80"/>
      </w:pPr>
      <w:r>
        <w:rPr>
          <w:rFonts w:ascii="Segoe UI Semibold" w:hAnsi="Segoe UI Semibold"/>
          <w:b/>
          <w:color w:val="0083B0"/>
          <w:sz w:val="25"/>
        </w:rPr>
        <w:t>5.1 Operational Pages</w:t>
      </w:r>
    </w:p>
    <w:p>
      <w:pPr>
        <w:pStyle w:val="ListBullet"/>
        <w:spacing w:after="60"/>
      </w:pPr>
      <w:r>
        <w:rPr>
          <w:b/>
          <w:color w:val="2C3E50"/>
        </w:rPr>
        <w:t xml:space="preserve">1. </w:t>
      </w:r>
      <w:r>
        <w:t>Network Overview (/): Network health KPIs, station cards, geographic coordinates, status indicators (Normal, Degrading, Fault), and quick search.</w:t>
      </w:r>
    </w:p>
    <w:p>
      <w:pPr>
        <w:pStyle w:val="ListBullet"/>
        <w:spacing w:after="60"/>
      </w:pPr>
      <w:r>
        <w:rPr>
          <w:b/>
          <w:color w:val="2C3E50"/>
        </w:rPr>
        <w:t xml:space="preserve">2. </w:t>
      </w:r>
      <w:r>
        <w:t>Live Alerts (/alerts): Real-time SSE alert listener, severity tags (High, Medium, Low), root-cause indicators, and one-click alert acknowledgment.</w:t>
      </w:r>
    </w:p>
    <w:p>
      <w:pPr>
        <w:pStyle w:val="ListBullet"/>
        <w:spacing w:after="60"/>
      </w:pPr>
      <w:r>
        <w:rPr>
          <w:b/>
          <w:color w:val="2C3E50"/>
        </w:rPr>
        <w:t xml:space="preserve">3. </w:t>
      </w:r>
      <w:r>
        <w:t>Station Detail (/station/:id): 72-hour interactive telemetry charts for temperature, pressure, and humidity, station metadata, and local anomaly logs.</w:t>
      </w:r>
    </w:p>
    <w:p>
      <w:pPr>
        <w:pStyle w:val="ListBullet"/>
        <w:spacing w:after="60"/>
      </w:pPr>
      <w:r>
        <w:rPr>
          <w:b/>
          <w:color w:val="2C3E50"/>
        </w:rPr>
        <w:t xml:space="preserve">4. </w:t>
      </w:r>
      <w:r>
        <w:t>Why Flagged (/why-flagged/:id): Explainable AI cockpit displaying SHAP feature contribution charts, detector confidence breakdown, and automated meteorological explanations.</w:t>
      </w:r>
    </w:p>
    <w:p>
      <w:pPr>
        <w:pStyle w:val="ListBullet"/>
        <w:spacing w:after="60"/>
      </w:pPr>
      <w:r>
        <w:rPr>
          <w:b/>
          <w:color w:val="2C3E50"/>
        </w:rPr>
        <w:t xml:space="preserve">5. </w:t>
      </w:r>
      <w:r>
        <w:t>Sensor Health (/health/:id): Prognostics view featuring circular health gauges (0-100), degradation trajectories, and maintenance planning timelines.</w:t>
      </w:r>
    </w:p>
    <w:p>
      <w:pPr>
        <w:pStyle w:val="ListBullet"/>
        <w:spacing w:after="60"/>
      </w:pPr>
      <w:r>
        <w:rPr>
          <w:b/>
          <w:color w:val="2C3E50"/>
        </w:rPr>
        <w:t xml:space="preserve">6. </w:t>
      </w:r>
      <w:r>
        <w:t>Audit History (/history): Searchable historical alert logs with temporal filtering, root-cause categorization, and operator triage history.</w:t>
      </w:r>
    </w:p>
    <w:p>
      <w:pPr>
        <w:keepNext/>
        <w:spacing w:before="360" w:after="120"/>
      </w:pPr>
      <w:r>
        <w:rPr>
          <w:rFonts w:ascii="Segoe UI Semibold" w:hAnsi="Segoe UI Semibold"/>
          <w:b/>
          <w:color w:val="0F2027"/>
          <w:sz w:val="32"/>
        </w:rPr>
        <w:t>6. Core Domain Schemas &amp; Enums</w:t>
      </w:r>
    </w:p>
    <w:p>
      <w:r>
        <w:t>All backend modules, API responses, and frontend interfaces adhere to unified type contracts:</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40" w:type="dxa"/>
              <w:right w:w="140" w:type="dxa"/>
            </w:tcMar>
          </w:tcPr>
          <w:p>
            <w:pPr>
              <w:spacing w:after="0"/>
            </w:pPr>
            <w:r>
              <w:rPr>
                <w:rFonts w:ascii="Consolas" w:hAnsi="Consolas"/>
                <w:color w:val="1E2832"/>
                <w:sz w:val="18"/>
              </w:rPr>
              <w:t>// Core Domain Enums</w:t>
              <w:br/>
              <w:t>Severity: 'low' | 'medium' | 'high'</w:t>
              <w:br/>
              <w:t>RootCause: 'sensor_fault' | 'comms_error' | 'genuine_event' | 'unknown'</w:t>
              <w:br/>
              <w:t>AlertStatus: 'active' | 'acknowledged' | 'resolved'</w:t>
              <w:br/>
              <w:t>StationStatus: 'normal' | 'degrading' | 'fault' | 'offline'</w:t>
              <w:br/>
              <w:t>Trend: 'improving' | 'stable' | 'degrading'</w:t>
              <w:br/>
              <w:br/>
              <w:t>// Alert Schema</w:t>
              <w:br/>
              <w:t>{</w:t>
              <w:br/>
              <w:t xml:space="preserve">  'id': int,</w:t>
              <w:br/>
              <w:t xml:space="preserve">  'station_id': int,</w:t>
              <w:br/>
              <w:t xml:space="preserve">  'station_name': str,</w:t>
              <w:br/>
              <w:t xml:space="preserve">  'timestamp': str (ISO 8601 UTC),</w:t>
              <w:br/>
              <w:t xml:space="preserve">  'confidence': float [0.0 - 1.0],</w:t>
              <w:br/>
              <w:t xml:space="preserve">  'severity': Severity,</w:t>
              <w:br/>
              <w:t xml:space="preserve">  'root_cause': RootCause,</w:t>
              <w:br/>
              <w:t xml:space="preserve">  'summary': str,</w:t>
              <w:br/>
              <w:t xml:space="preserve">  'parameters_flagged': list[str],</w:t>
              <w:br/>
              <w:t xml:space="preserve">  'status': AlertStatus</w:t>
              <w:br/>
              <w:t>}</w:t>
            </w:r>
          </w:p>
        </w:tc>
      </w:tr>
    </w:tbl>
    <w:p>
      <w:pPr>
        <w:spacing w:after="80"/>
      </w:pPr>
    </w:p>
    <w:p>
      <w:pPr>
        <w:keepNext/>
        <w:spacing w:before="360" w:after="120"/>
      </w:pPr>
      <w:r>
        <w:rPr>
          <w:rFonts w:ascii="Segoe UI Semibold" w:hAnsi="Segoe UI Semibold"/>
          <w:b/>
          <w:color w:val="0F2027"/>
          <w:sz w:val="32"/>
        </w:rPr>
        <w:t>7. Testing &amp; Verification Suite</w:t>
      </w:r>
    </w:p>
    <w:p>
      <w:r>
        <w:t>The test suite in tests/ ensures mathematical rigor and reliability:</w:t>
      </w:r>
    </w:p>
    <w:p>
      <w:pPr>
        <w:pStyle w:val="ListBullet"/>
        <w:spacing w:after="60"/>
      </w:pPr>
      <w:r>
        <w:rPr>
          <w:b/>
          <w:color w:val="2C3E50"/>
        </w:rPr>
        <w:t xml:space="preserve">• </w:t>
      </w:r>
      <w:r>
        <w:t>test_detectors.py: Tests Z-score sensitivity, frozen signal traps, LSTM Autoencoder reconstruction MSE, and Isolation Forest training pipelines.</w:t>
      </w:r>
    </w:p>
    <w:p>
      <w:pPr>
        <w:pStyle w:val="ListBullet"/>
        <w:spacing w:after="60"/>
      </w:pPr>
      <w:r>
        <w:rPr>
          <w:b/>
          <w:color w:val="2C3E50"/>
        </w:rPr>
        <w:t xml:space="preserve">• </w:t>
      </w:r>
      <w:r>
        <w:t>test_consistency.py: Verifies Haversine calculations, elevation lapse-rate adjustments, and Mahalanobis multi-variable covariance distance.</w:t>
      </w:r>
    </w:p>
    <w:p>
      <w:pPr>
        <w:pStyle w:val="ListBullet"/>
        <w:spacing w:after="60"/>
      </w:pPr>
      <w:r>
        <w:rPr>
          <w:b/>
          <w:color w:val="2C3E50"/>
        </w:rPr>
        <w:t xml:space="preserve">• </w:t>
      </w:r>
      <w:r>
        <w:t>test_explain.py: Tests SHAP attribution correctness, feature direction tagging, and non-empty meteorological narrative generation.</w:t>
      </w:r>
    </w:p>
    <w:p>
      <w:pPr>
        <w:pStyle w:val="ListBullet"/>
        <w:spacing w:after="60"/>
      </w:pPr>
      <w:r>
        <w:rPr>
          <w:b/>
          <w:color w:val="2C3E50"/>
        </w:rPr>
        <w:t xml:space="preserve">• </w:t>
      </w:r>
      <w:r>
        <w:t>evaluate_models.py: Evaluates precision, recall, F1-score, and ROC-AUC across statistical, deep learning, and ensemble models.</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40" w:type="dxa"/>
              <w:right w:w="140" w:type="dxa"/>
            </w:tcMar>
          </w:tcPr>
          <w:p>
            <w:pPr>
              <w:spacing w:after="0"/>
            </w:pPr>
            <w:r>
              <w:rPr>
                <w:rFonts w:ascii="Consolas" w:hAnsi="Consolas"/>
                <w:color w:val="1E2832"/>
                <w:sz w:val="18"/>
              </w:rPr>
              <w:t>pytest tests/ -v</w:t>
            </w:r>
          </w:p>
        </w:tc>
      </w:tr>
    </w:tbl>
    <w:p>
      <w:pPr>
        <w:spacing w:after="80"/>
      </w:pPr>
    </w:p>
    <w:p>
      <w:pPr>
        <w:keepNext/>
        <w:spacing w:before="360" w:after="120"/>
      </w:pPr>
      <w:r>
        <w:rPr>
          <w:rFonts w:ascii="Segoe UI Semibold" w:hAnsi="Segoe UI Semibold"/>
          <w:b/>
          <w:color w:val="0F2027"/>
          <w:sz w:val="32"/>
        </w:rPr>
        <w:t>8. Deployment &amp; Execution Guide</w:t>
      </w:r>
    </w:p>
    <w:p>
      <w:pPr>
        <w:keepNext/>
        <w:spacing w:before="280" w:after="80"/>
      </w:pPr>
      <w:r>
        <w:rPr>
          <w:rFonts w:ascii="Segoe UI Semibold" w:hAnsi="Segoe UI Semibold"/>
          <w:b/>
          <w:color w:val="0083B0"/>
          <w:sz w:val="25"/>
        </w:rPr>
        <w:t>8.1 Local Environment Setup</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40" w:type="dxa"/>
              <w:right w:w="140" w:type="dxa"/>
            </w:tcMar>
          </w:tcPr>
          <w:p>
            <w:pPr>
              <w:spacing w:after="0"/>
            </w:pPr>
            <w:r>
              <w:rPr>
                <w:rFonts w:ascii="Consolas" w:hAnsi="Consolas"/>
                <w:color w:val="1E2832"/>
                <w:sz w:val="18"/>
              </w:rPr>
              <w:t># 1. Setup Backend Python Virtual Environment</w:t>
              <w:br/>
              <w:t>python -m venv .venv</w:t>
              <w:br/>
              <w:t>.venv\Scripts\activate</w:t>
              <w:br/>
              <w:t>pip install -r requirements.txt</w:t>
              <w:br/>
              <w:br/>
              <w:t># 2. Launch FastAPI Backend Server</w:t>
              <w:br/>
              <w:t>uvicorn backend.app:app --host 0.0.0.0 --port 8000 --reload</w:t>
              <w:br/>
              <w:br/>
              <w:t># 3. Launch Frontend Development Server</w:t>
              <w:br/>
              <w:t>cd frontend</w:t>
              <w:br/>
              <w:t>npm install</w:t>
              <w:br/>
              <w:t>npm run dev</w:t>
            </w:r>
          </w:p>
        </w:tc>
      </w:tr>
    </w:tbl>
    <w:p>
      <w:pPr>
        <w:spacing w:after="80"/>
      </w:pPr>
    </w:p>
    <w:p>
      <w:pPr>
        <w:keepNext/>
        <w:spacing w:before="280" w:after="80"/>
      </w:pPr>
      <w:r>
        <w:rPr>
          <w:rFonts w:ascii="Segoe UI Semibold" w:hAnsi="Segoe UI Semibold"/>
          <w:b/>
          <w:color w:val="0083B0"/>
          <w:sz w:val="25"/>
        </w:rPr>
        <w:t>8.2 Docker Deployment</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40" w:type="dxa"/>
              <w:right w:w="140" w:type="dxa"/>
            </w:tcMar>
          </w:tcPr>
          <w:p>
            <w:pPr>
              <w:spacing w:after="0"/>
            </w:pPr>
            <w:r>
              <w:rPr>
                <w:rFonts w:ascii="Consolas" w:hAnsi="Consolas"/>
                <w:color w:val="1E2832"/>
                <w:sz w:val="18"/>
              </w:rPr>
              <w:t># Build and run backend container via Docker Compose</w:t>
              <w:br/>
              <w:t>docker-compose up --build -d</w:t>
              <w:br/>
              <w:br/>
              <w:t># Verify container health status</w:t>
              <w:br/>
              <w:t>curl http://localhost:8000/health</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