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A10: Advantages of Using AI in Government and Public Sector</w:t>
      </w:r>
    </w:p>
    <w:p>
      <w:r>
        <w:t>Student Name</w:t>
        <w:br/>
        <w:t>Course</w:t>
        <w:br/>
        <w:t>Instructor</w:t>
        <w:br/>
        <w:t>Institution</w:t>
        <w:br/>
        <w:t>Date</w:t>
      </w:r>
    </w:p>
    <w:p>
      <w:pPr>
        <w:pStyle w:val="Heading2"/>
      </w:pPr>
      <w:r>
        <w:t>Introduction</w:t>
      </w:r>
    </w:p>
    <w:p>
      <w:r>
        <w:t>Artificial intelligence (AI) is transforming government through automation, better decision-making, fraud detection, public health, disaster response, and improved citizen services. Responsible AI can improve efficiency while reducing costs.</w:t>
      </w:r>
    </w:p>
    <w:p>
      <w:pPr>
        <w:pStyle w:val="Heading2"/>
      </w:pPr>
      <w:r>
        <w:t>Case Study Analysis: AI for Tax Fraud Detection</w:t>
      </w:r>
    </w:p>
    <w:p>
      <w:r>
        <w:t>Tax agencies use AI and machine learning to analyze millions of tax records, detect anomalies, and prioritize audits. The problem addressed is tax fraud and inefficient manual auditing. Techniques include machine learning, anomaly detection, and predictive analytics. Benefits include faster investigations, improved accuracy, reduced costs, and increased revenue. Challenges include privacy, bias, transparency, cybersecurity, and the need for human oversight.</w:t>
      </w:r>
    </w:p>
    <w:p>
      <w:pPr>
        <w:pStyle w:val="Heading2"/>
      </w:pPr>
      <w:r>
        <w:t>Innovative Proposal: AI-Powered Citizen Service Platform</w:t>
      </w:r>
    </w:p>
    <w:p>
      <w:r>
        <w:t>A single AI platform could answer questions about permits, taxes, healthcare, transportation, and emergency services 24/7. It would personalize guidance, forecast service demand, and summarize public feedback. Expected benefits include shorter wait times, better accessibility, lower operating costs, and evidence-based policymaking. Challenges include privacy, digital inclusion, bias mitigation, and regulatory compliance.</w:t>
      </w:r>
    </w:p>
    <w:p>
      <w:pPr>
        <w:pStyle w:val="Heading2"/>
      </w:pPr>
      <w:r>
        <w:t>Conclusion</w:t>
      </w:r>
    </w:p>
    <w:p>
      <w:r>
        <w:t>AI can significantly improve public-sector performance when supported by ethical governance, transparency, cybersecurity, and human oversight. Governments should balance innovation with accountability.</w:t>
      </w:r>
    </w:p>
    <w:p>
      <w:pPr>
        <w:pStyle w:val="Heading2"/>
      </w:pPr>
      <w:r>
        <w:t>References</w:t>
      </w:r>
    </w:p>
    <w:p>
      <w:r>
        <w:t>OECD. Artificial Intelligence in the Public Sector.</w:t>
        <w:br/>
        <w:t>NIST AI Risk Management Framework.</w:t>
        <w:br/>
        <w:t>Russell &amp; Norvig. Artificial Intelligence: A Modern Approach (4th ed.).</w:t>
        <w:br/>
        <w:t>World Economic Forum. AI for Government reports.</w:t>
      </w:r>
    </w:p>
    <w:tbl>
      <w:tblPr>
        <w:tblW w:type="auto" w:w="0"/>
        <w:tblLook w:firstColumn="1" w:firstRow="1" w:lastColumn="0" w:lastRow="0" w:noHBand="0" w:noVBand="1" w:val="04A0"/>
      </w:tblPr>
      <w:tblGrid>
        <w:gridCol w:w="4320"/>
        <w:gridCol w:w="4320"/>
      </w:tblGrid>
      <w:tr>
        <w:tc>
          <w:tcPr>
            <w:tcW w:type="dxa" w:w="4320"/>
          </w:tcPr>
          <w:p>
            <w:r>
              <w:t>Benefit</w:t>
            </w:r>
          </w:p>
        </w:tc>
        <w:tc>
          <w:tcPr>
            <w:tcW w:type="dxa" w:w="4320"/>
          </w:tcPr>
          <w:p>
            <w:r>
              <w:t>Impact</w:t>
            </w:r>
          </w:p>
        </w:tc>
      </w:tr>
      <w:tr>
        <w:tc>
          <w:tcPr>
            <w:tcW w:type="dxa" w:w="4320"/>
          </w:tcPr>
          <w:p>
            <w:r>
              <w:t>Fraud Detection</w:t>
            </w:r>
          </w:p>
        </w:tc>
        <w:tc>
          <w:tcPr>
            <w:tcW w:type="dxa" w:w="4320"/>
          </w:tcPr>
          <w:p>
            <w:r>
              <w:t>Higher revenue</w:t>
            </w:r>
          </w:p>
        </w:tc>
      </w:tr>
      <w:tr>
        <w:tc>
          <w:tcPr>
            <w:tcW w:type="dxa" w:w="4320"/>
          </w:tcPr>
          <w:p>
            <w:r>
              <w:t>Automation</w:t>
            </w:r>
          </w:p>
        </w:tc>
        <w:tc>
          <w:tcPr>
            <w:tcW w:type="dxa" w:w="4320"/>
          </w:tcPr>
          <w:p>
            <w:r>
              <w:t>Lower costs</w:t>
            </w:r>
          </w:p>
        </w:tc>
      </w:tr>
      <w:tr>
        <w:tc>
          <w:tcPr>
            <w:tcW w:type="dxa" w:w="4320"/>
          </w:tcPr>
          <w:p>
            <w:r>
              <w:t>24/7 Service</w:t>
            </w:r>
          </w:p>
        </w:tc>
        <w:tc>
          <w:tcPr>
            <w:tcW w:type="dxa" w:w="4320"/>
          </w:tcPr>
          <w:p>
            <w:r>
              <w:t>Better access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