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A12 Case Study: Leveraging Artificial General Intelligence (AGI) in Healthcare</w:t>
      </w:r>
    </w:p>
    <w:p>
      <w:r>
        <w:t>Student Name</w:t>
        <w:br/>
        <w:t>Course</w:t>
        <w:br/>
        <w:t>Instructor</w:t>
        <w:br/>
        <w:t>Institution</w:t>
        <w:br/>
        <w:t>Date</w:t>
      </w:r>
    </w:p>
    <w:p>
      <w:pPr>
        <w:pStyle w:val="Heading2"/>
      </w:pPr>
      <w:r>
        <w:t>Introduction</w:t>
      </w:r>
    </w:p>
    <w:p>
      <w:r>
        <w:t>Artificial General Intelligence (AGI) refers to a future form of artificial intelligence capable of understanding, learning, and performing virtually any intellectual task that humans can accomplish. Unlike today's narrow AI systems that are designed for specific tasks, AGI could reason across domains, adapt to new situations, and solve unfamiliar problems. Healthcare is one of the industries that could benefit most from AGI because it faces challenges related to staffing shortages, rising costs, complex diagnoses, and increasing demand for personalized care.</w:t>
      </w:r>
    </w:p>
    <w:p>
      <w:pPr>
        <w:pStyle w:val="Heading2"/>
      </w:pPr>
      <w:r>
        <w:t>Industry Analysis</w:t>
      </w:r>
    </w:p>
    <w:p>
      <w:r>
        <w:t>Healthcare systems worldwide struggle with growing patient populations, chronic diseases, administrative inefficiencies, and unequal access to medical services. Current AI tools assist with medical imaging, scheduling, clinical documentation, and predictive analytics, but they remain specialized and require human supervision. Hospitals also face workforce shortages and increasing operational costs.</w:t>
      </w:r>
    </w:p>
    <w:p>
      <w:pPr>
        <w:pStyle w:val="Heading2"/>
      </w:pPr>
      <w:r>
        <w:t>AGI Application Proposal</w:t>
      </w:r>
    </w:p>
    <w:p>
      <w:r>
        <w:t>AGI could function as an intelligent clinical assistant capable of integrating medical histories, laboratory results, imaging, genetics, and current research to support physicians in diagnosis and treatment planning. AGI could personalize treatment recommendations, predict disease progression, optimize hospital resource allocation, accelerate drug discovery, automate administrative tasks, and improve telemedicine. Expected benefits include higher diagnostic accuracy, reduced healthcare costs, improved patient outcomes, faster research, and better access to care in underserved communities. Risks include privacy concerns, cybersecurity threats, algorithmic bias, accountability for medical decisions, overreliance on automated systems, and workforce disruption. Human oversight, strong governance, and transparent AI policies would remain essential.</w:t>
      </w:r>
    </w:p>
    <w:p>
      <w:pPr>
        <w:pStyle w:val="Heading2"/>
      </w:pPr>
      <w:r>
        <w:t>Conclusion</w:t>
      </w:r>
    </w:p>
    <w:p>
      <w:r>
        <w:t>AGI has the potential to transform healthcare by improving decision-making, expanding access to medical expertise, and accelerating innovation. Responsible implementation that prioritizes ethics, transparency, patient privacy, and human oversight will determine whether AGI becomes a trustworthy partner in healthcare.</w:t>
      </w:r>
    </w:p>
    <w:p>
      <w:pPr>
        <w:pStyle w:val="Heading2"/>
      </w:pPr>
      <w:r>
        <w:t>References</w:t>
      </w:r>
    </w:p>
    <w:p>
      <w:r>
        <w:t>Russell, S., &amp; Norvig, P. (2021). Artificial Intelligence: A Modern Approach (4th ed.).</w:t>
        <w:br/>
        <w:t>World Health Organization. Ethics and Governance of Artificial Intelligence for Health.</w:t>
        <w:br/>
        <w:t>NIST AI Risk Management Framework.</w:t>
        <w:br/>
        <w:t>McKinsey &amp; Company. The Future of AI in Healthcare.</w:t>
      </w:r>
    </w:p>
    <w:tbl>
      <w:tblPr>
        <w:tblW w:type="auto" w:w="0"/>
        <w:tblLook w:firstColumn="1" w:firstRow="1" w:lastColumn="0" w:lastRow="0" w:noHBand="0" w:noVBand="1" w:val="04A0"/>
      </w:tblPr>
      <w:tblGrid>
        <w:gridCol w:w="4320"/>
        <w:gridCol w:w="4320"/>
      </w:tblGrid>
      <w:tr>
        <w:tc>
          <w:tcPr>
            <w:tcW w:type="dxa" w:w="4320"/>
          </w:tcPr>
          <w:p>
            <w:r>
              <w:t>AGI Capability</w:t>
            </w:r>
          </w:p>
        </w:tc>
        <w:tc>
          <w:tcPr>
            <w:tcW w:type="dxa" w:w="4320"/>
          </w:tcPr>
          <w:p>
            <w:r>
              <w:t>Healthcare Benefit</w:t>
            </w:r>
          </w:p>
        </w:tc>
      </w:tr>
      <w:tr>
        <w:tc>
          <w:tcPr>
            <w:tcW w:type="dxa" w:w="4320"/>
          </w:tcPr>
          <w:p>
            <w:r>
              <w:t>Clinical reasoning</w:t>
            </w:r>
          </w:p>
        </w:tc>
        <w:tc>
          <w:tcPr>
            <w:tcW w:type="dxa" w:w="4320"/>
          </w:tcPr>
          <w:p>
            <w:r>
              <w:t>Better diagnoses</w:t>
            </w:r>
          </w:p>
        </w:tc>
      </w:tr>
      <w:tr>
        <w:tc>
          <w:tcPr>
            <w:tcW w:type="dxa" w:w="4320"/>
          </w:tcPr>
          <w:p>
            <w:r>
              <w:t>Resource optimization</w:t>
            </w:r>
          </w:p>
        </w:tc>
        <w:tc>
          <w:tcPr>
            <w:tcW w:type="dxa" w:w="4320"/>
          </w:tcPr>
          <w:p>
            <w:r>
              <w:t>Lower costs</w:t>
            </w:r>
          </w:p>
        </w:tc>
      </w:tr>
      <w:tr>
        <w:tc>
          <w:tcPr>
            <w:tcW w:type="dxa" w:w="4320"/>
          </w:tcPr>
          <w:p>
            <w:r>
              <w:t>Drug discovery</w:t>
            </w:r>
          </w:p>
        </w:tc>
        <w:tc>
          <w:tcPr>
            <w:tcW w:type="dxa" w:w="4320"/>
          </w:tcPr>
          <w:p>
            <w:r>
              <w:t>Faster treatments</w:t>
            </w:r>
          </w:p>
        </w:tc>
      </w:tr>
      <w:tr>
        <w:tc>
          <w:tcPr>
            <w:tcW w:type="dxa" w:w="4320"/>
          </w:tcPr>
          <w:p>
            <w:r>
              <w:t>Personalized medicine</w:t>
            </w:r>
          </w:p>
        </w:tc>
        <w:tc>
          <w:tcPr>
            <w:tcW w:type="dxa" w:w="4320"/>
          </w:tcPr>
          <w:p>
            <w:r>
              <w:t>Improved patient outcomes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