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RESUMEN EJECUTIVO — Proyecto Final "Etéreo"</w:t>
      </w:r>
    </w:p>
    <w:p>
      <w:pPr>
        <w:pStyle w:val="Subtitle"/>
      </w:pPr>
      <w:r>
        <w:t>Cold Brew Proteico Ready-To-Drink</w:t>
      </w:r>
    </w:p>
    <w:p>
      <w:r>
        <w:t>Proyecto Final de Ingeniería Industrial — 2025-2026</w:t>
      </w:r>
    </w:p>
    <w:p>
      <w:r>
        <w:t>BOISMENÉ Tomas (13733) · DIEZ DE OÑATE Santiago (13502) · PATIRI Lucas (13385) · RIVERO SILVA Juan Manuel (13122) · RODRIGUEZ ZULUETA Agustín (13895)</w:t>
      </w:r>
    </w:p>
    <w:p/>
    <w:p>
      <w:pPr>
        <w:pStyle w:val="Heading1"/>
      </w:pPr>
      <w:r>
        <w:rPr>
          <w:color w:val="1A1A2E"/>
        </w:rPr>
        <w:t>1. ¿Qué es Etéreo?</w:t>
      </w:r>
    </w:p>
    <w:p>
      <w:r>
        <w:t>Etéreo es un café cold brew listo para tomar (RTD funcional) con 20 g de proteína por envase de 300 ml. Combina café infusionado en frío durante 14 horas con proteína de suero lácteo (WPI 90%), sin azúcar añadida, sin gas ni nitrógeno. Está diseñado para consumo on-the-go en momentos clave: media mañana, media tarde o post-entrenamiento. El producto busca ofrecer "energía saludable" en un formato práctico y premium.</w:t>
      </w:r>
    </w:p>
    <w:p>
      <w:pPr>
        <w:pStyle w:val="Heading1"/>
      </w:pPr>
      <w:r>
        <w:rPr>
          <w:color w:val="1A1A2E"/>
        </w:rPr>
        <w:t>2. Estudio de Mercado</w:t>
      </w:r>
    </w:p>
    <w:p>
      <w:pPr>
        <w:pStyle w:val="Heading2"/>
      </w:pPr>
      <w:r>
        <w:rPr>
          <w:color w:val="1A1A2E"/>
        </w:rPr>
        <w:t>2.1 Oportunidad de Mercado</w:t>
      </w:r>
    </w:p>
    <w:p>
      <w:r>
        <w:t>Etéreo se posiciona en la intersección de tres categorías en crecimiento acelerado: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Tamaño 2024</w:t>
            </w:r>
          </w:p>
        </w:tc>
        <w:tc>
          <w:tcPr>
            <w:tcW w:type="dxa" w:w="2880"/>
          </w:tcPr>
          <w:p>
            <w:r>
              <w:t>Proyección</w:t>
            </w:r>
          </w:p>
        </w:tc>
      </w:tr>
      <w:tr>
        <w:tc>
          <w:tcPr>
            <w:tcW w:type="dxa" w:w="2880"/>
          </w:tcPr>
          <w:p>
            <w:r>
              <w:t>Bebidas funcionales Argentina</w:t>
            </w:r>
          </w:p>
        </w:tc>
        <w:tc>
          <w:tcPr>
            <w:tcW w:type="dxa" w:w="2880"/>
          </w:tcPr>
          <w:p>
            <w:r>
              <w:t>USD 1.749,8 M</w:t>
            </w:r>
          </w:p>
        </w:tc>
        <w:tc>
          <w:tcPr>
            <w:tcW w:type="dxa" w:w="2880"/>
          </w:tcPr>
          <w:p>
            <w:r>
              <w:t>USD 3.001,7 M (2030)</w:t>
            </w:r>
          </w:p>
        </w:tc>
      </w:tr>
      <w:tr>
        <w:tc>
          <w:tcPr>
            <w:tcW w:type="dxa" w:w="2880"/>
          </w:tcPr>
          <w:p>
            <w:r>
              <w:t>Cold brew global</w:t>
            </w:r>
          </w:p>
        </w:tc>
        <w:tc>
          <w:tcPr>
            <w:tcW w:type="dxa" w:w="2880"/>
          </w:tcPr>
          <w:p>
            <w:r>
              <w:t>USD 3.160 M</w:t>
            </w:r>
          </w:p>
        </w:tc>
        <w:tc>
          <w:tcPr>
            <w:tcW w:type="dxa" w:w="2880"/>
          </w:tcPr>
          <w:p>
            <w:r>
              <w:t>USD 16.200 M (2032, CAGR 22,7%)</w:t>
            </w:r>
          </w:p>
        </w:tc>
      </w:tr>
      <w:tr>
        <w:tc>
          <w:tcPr>
            <w:tcW w:type="dxa" w:w="2880"/>
          </w:tcPr>
          <w:p>
            <w:r>
              <w:t>Café Argentina</w:t>
            </w:r>
          </w:p>
        </w:tc>
        <w:tc>
          <w:tcPr>
            <w:tcW w:type="dxa" w:w="2880"/>
          </w:tcPr>
          <w:p>
            <w:r>
              <w:t>USD 129,2 M</w:t>
            </w:r>
          </w:p>
        </w:tc>
        <w:tc>
          <w:tcPr>
            <w:tcW w:type="dxa" w:w="2880"/>
          </w:tcPr>
          <w:p>
            <w:r>
              <w:t>CAGR 5% al 2034</w:t>
            </w:r>
          </w:p>
        </w:tc>
      </w:tr>
    </w:tbl>
    <w:p/>
    <w:p>
      <w:r>
        <w:t>No existe competidor directo en Argentina que ofrezca cold brew con proteína en lata. El único referente local es "Deseado" (cold brew RTD sin proteína), con ~10.500 latas/mes y ARS 230M de facturación en 2023.</w:t>
      </w:r>
    </w:p>
    <w:p>
      <w:pPr>
        <w:pStyle w:val="Heading2"/>
      </w:pPr>
      <w:r>
        <w:rPr>
          <w:color w:val="1A1A2E"/>
        </w:rPr>
        <w:t>2.2 Dimensionamiento</w:t>
      </w:r>
    </w:p>
    <w:p>
      <w:r>
        <w:t>• TAM: Consumidores fitness AMBA (18-35, NSE medio-alto): ~137.000 personas</w:t>
        <w:br/>
        <w:t>• SAM (15% adopción, 1,2 unidades/mes): ~247.000 unidades/año = ARS 765M a PVP $3.100</w:t>
        <w:br/>
        <w:t>• SOM (12-24 meses): ~4.400 unidades/año = ARS 13,6M (~360 unidades/mes)</w:t>
        <w:br/>
        <w:t>• Precio objetivo: $2.800-$3.400 ARS por lata de 300 ml</w:t>
      </w:r>
    </w:p>
    <w:p>
      <w:pPr>
        <w:pStyle w:val="Heading2"/>
      </w:pPr>
      <w:r>
        <w:rPr>
          <w:color w:val="1A1A2E"/>
        </w:rPr>
        <w:t>2.3 Validación con Consumidores</w:t>
      </w:r>
    </w:p>
    <w:p>
      <w:r>
        <w:t>Se realizó una encuesta a 164 personas:</w:t>
        <w:br/>
        <w:t>• 88% entre 18-27 años; 87% entrena regularmente</w:t>
        <w:br/>
        <w:t>• 71% disfruta del café frío; 83% probaría el producto</w:t>
        <w:br/>
        <w:t>• Disposición a pagar promedio: $3.195/lata</w:t>
        <w:br/>
        <w:t>• Frecuencia esperada: 1,8 veces/semana (~8 latas/mes)</w:t>
      </w:r>
    </w:p>
    <w:p>
      <w:pPr>
        <w:pStyle w:val="Heading2"/>
      </w:pPr>
      <w:r>
        <w:rPr>
          <w:color w:val="1A1A2E"/>
        </w:rPr>
        <w:t>2.4 Estrategia Comercial</w:t>
      </w:r>
    </w:p>
    <w:p>
      <w:r>
        <w:t>Canales de lanzamiento: gimnasios y e-commerce (modelo de suscripción de 6-packs, ticket ~$18.000). Estrategia de marketing digital con Meta Ads (ARS 30.000/día), Google Ads, 5 influencers (~200K seguidores, USD 2.500 total), y activaciones físicas en cafeterías de especialidad y gimnasios. Inversión en 2 exhibidores refrigerados ($350.000 ARS c/u) para puntos de venta.</w:t>
      </w:r>
    </w:p>
    <w:p>
      <w:pPr>
        <w:pStyle w:val="Heading1"/>
      </w:pPr>
      <w:r>
        <w:rPr>
          <w:color w:val="1A1A2E"/>
        </w:rPr>
        <w:t>3. Análisis Estratégico</w:t>
      </w:r>
    </w:p>
    <w:p>
      <w:pPr>
        <w:pStyle w:val="Heading2"/>
      </w:pPr>
      <w:r>
        <w:rPr>
          <w:color w:val="1A1A2E"/>
        </w:rPr>
        <w:t>3.1 Misión y Visión</w:t>
      </w:r>
    </w:p>
    <w:p>
      <w:r>
        <w:t>Misión: Democratizar la "energía saludable on-the-go" combinando cold brew y proteína.</w:t>
        <w:br/>
        <w:t>Visión: Redefinir la categoría de energía RTD en Latinoamérica; ser sinónimo de energía limpia en 5 años.</w:t>
      </w:r>
    </w:p>
    <w:p>
      <w:pPr>
        <w:pStyle w:val="Heading2"/>
      </w:pPr>
      <w:r>
        <w:rPr>
          <w:color w:val="1A1A2E"/>
        </w:rPr>
        <w:t>3.2 FODA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Fortalezas</w:t>
            </w:r>
          </w:p>
        </w:tc>
        <w:tc>
          <w:tcPr>
            <w:tcW w:type="dxa" w:w="4320"/>
          </w:tcPr>
          <w:p>
            <w:r>
              <w:t>Debilidades</w:t>
            </w:r>
          </w:p>
        </w:tc>
      </w:tr>
      <w:tr>
        <w:tc>
          <w:tcPr>
            <w:tcW w:type="dxa" w:w="4320"/>
          </w:tcPr>
          <w:p>
            <w:r>
              <w:t>• Primer producto de café proteico en lata en LATAM</w:t>
              <w:br/>
              <w:t>• Producción local</w:t>
              <w:br/>
              <w:t>• Cultura fitness en crecimiento</w:t>
            </w:r>
          </w:p>
        </w:tc>
        <w:tc>
          <w:tcPr>
            <w:tcW w:type="dxa" w:w="4320"/>
          </w:tcPr>
          <w:p>
            <w:r>
              <w:t>• Cero reconocimiento de marca</w:t>
              <w:br/>
              <w:t>• Capital limitado</w:t>
              <w:br/>
              <w:t>• Sin red de distribución</w:t>
              <w:br/>
              <w:t>• Complejidad regulatoria ANMAT</w:t>
            </w:r>
          </w:p>
        </w:tc>
      </w:tr>
      <w:tr>
        <w:tc>
          <w:tcPr>
            <w:tcW w:type="dxa" w:w="4320"/>
          </w:tcPr>
          <w:p>
            <w:r>
              <w:t>Oportunidades</w:t>
            </w:r>
          </w:p>
        </w:tc>
        <w:tc>
          <w:tcPr>
            <w:tcW w:type="dxa" w:w="4320"/>
          </w:tcPr>
          <w:p>
            <w:r>
              <w:t>Amenazas</w:t>
            </w:r>
          </w:p>
        </w:tc>
      </w:tr>
      <w:tr>
        <w:tc>
          <w:tcPr>
            <w:tcW w:type="dxa" w:w="4320"/>
          </w:tcPr>
          <w:p>
            <w:r>
              <w:t>• Mercado global de bebidas funcionales: USD 306.760M para 2029</w:t>
              <w:br/>
              <w:t>• 3,6M de usuarios fitness en Argentina</w:t>
              <w:br/>
              <w:t>• Acceso MERCOSUR</w:t>
            </w:r>
          </w:p>
        </w:tc>
        <w:tc>
          <w:tcPr>
            <w:tcW w:type="dxa" w:w="4320"/>
          </w:tcPr>
          <w:p>
            <w:r>
              <w:t>• Entrada de multinacionales</w:t>
              <w:br/>
              <w:t>• Inestabilidad macroeconómica</w:t>
              <w:br/>
              <w:t>• Productos sustitutos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color w:val="1A1A2E"/>
        </w:rPr>
        <w:t>3.3 PESTEL (Aspectos Clave)</w:t>
      </w:r>
    </w:p>
    <w:p>
      <w:r>
        <w:t>• Legal: Ley 27.642 de etiquetado frontal favorece productos clean-label como Etéreo</w:t>
        <w:br/>
        <w:t>• Económico: Inflación de 3 dígitos desafía pricing; e-commerce creció 248% en 2024</w:t>
        <w:br/>
        <w:t>• Social: 70% de consumidores prefiere productos saludables e innovadores</w:t>
        <w:br/>
        <w:t>• ANMAT: Aprobación estimada en 6-12 meses</w:t>
      </w:r>
    </w:p>
    <w:p>
      <w:pPr>
        <w:pStyle w:val="Heading1"/>
      </w:pPr>
      <w:r>
        <w:rPr>
          <w:color w:val="1A1A2E"/>
        </w:rPr>
        <w:t>4. Ingeniería de Proceso</w:t>
      </w:r>
    </w:p>
    <w:p>
      <w:pPr>
        <w:pStyle w:val="Heading2"/>
      </w:pPr>
      <w:r>
        <w:rPr>
          <w:color w:val="1A1A2E"/>
        </w:rPr>
        <w:t>4.1 Capacidad de Planta</w:t>
      </w:r>
    </w:p>
    <w:p>
      <w:r>
        <w:t>Capacidad inicial: 126.200 litros/año, escalable a 157.750 litros/año.</w:t>
      </w:r>
    </w:p>
    <w:p>
      <w:pPr>
        <w:pStyle w:val="Heading2"/>
      </w:pPr>
      <w:r>
        <w:rPr>
          <w:color w:val="1A1A2E"/>
        </w:rPr>
        <w:t>4.2 Proceso Productivo</w:t>
      </w:r>
    </w:p>
    <w:p>
      <w:r>
        <w:t>El proceso consta de las siguientes etapas principales:</w:t>
      </w:r>
    </w:p>
    <w:p>
      <w:r>
        <w:rPr>
          <w:b/>
        </w:rPr>
        <w:t xml:space="preserve">1. Recepción de materia prima: </w:t>
      </w:r>
      <w:r>
        <w:t>Café colombiano certificado en bolsas de 60 kg (humedad &lt;12%). WPI 90% en contenedores de 25 kg.</w:t>
      </w:r>
    </w:p>
    <w:p>
      <w:r>
        <w:rPr>
          <w:b/>
        </w:rPr>
        <w:t xml:space="preserve">2. Molienda: </w:t>
      </w:r>
      <w:r>
        <w:t>Molienda gruesa 800-1000 micrones (tipo French Press). Molino cónico de 200 kg/h con sistema de enfriamiento (&lt;35°C).</w:t>
      </w:r>
    </w:p>
    <w:p>
      <w:r>
        <w:rPr>
          <w:b/>
        </w:rPr>
        <w:t xml:space="preserve">3. Maceración en frío: </w:t>
      </w:r>
      <w:r>
        <w:t>Tanques de acero inoxidable 316L de 3.000L con chaqueta de glicol. Ratio 1:8 (375 kg café : 3.000L agua). 14 horas a 10-12°C. Manta de nitrógeno (O₂ &lt;2 ppm).</w:t>
      </w:r>
    </w:p>
    <w:p>
      <w:r>
        <w:rPr>
          <w:b/>
        </w:rPr>
        <w:t xml:space="preserve">4. Filtración multi-etapa: </w:t>
      </w:r>
      <w:r>
        <w:t>4 etapas: malla 100 µm → filtro prensa 50 µm → cartuchos PP 10 µm → microfiltración membrana 0,45 µm (&lt;5 NTU).</w:t>
      </w:r>
    </w:p>
    <w:p>
      <w:r>
        <w:rPr>
          <w:b/>
        </w:rPr>
        <w:t xml:space="preserve">5. Preparación fase proteica: </w:t>
      </w:r>
      <w:r>
        <w:t>85% del volumen final. WPI + leche descremada al 7,13%. pH ajustado a 6,0-6,2 con buffer fosfato/citrato. Estabilizantes: goma gellan o carragenina kappa.</w:t>
      </w:r>
    </w:p>
    <w:p>
      <w:r>
        <w:rPr>
          <w:b/>
        </w:rPr>
        <w:t xml:space="preserve">6. Homogeneización: </w:t>
      </w:r>
      <w:r>
        <w:t>150-200 bar a 60-65°C, dos etapas.</w:t>
      </w:r>
    </w:p>
    <w:p>
      <w:r>
        <w:rPr>
          <w:b/>
        </w:rPr>
        <w:t xml:space="preserve">7. Esterilización: </w:t>
      </w:r>
      <w:r>
        <w:t>Autoclave de presión compensada con spray de agua + presurización con nitrógeno líquido. 115-118°C por 8-10 min, Fo 3-5. Reducción &gt;12 log de esporas. Vida útil 6+ meses a temperatura ambiente.</w:t>
      </w:r>
    </w:p>
    <w:p>
      <w:r>
        <w:rPr>
          <w:b/>
        </w:rPr>
        <w:t xml:space="preserve">8. Envasado: </w:t>
      </w:r>
      <w:r>
        <w:t>Latas de aluminio con recubrimiento epoxi, precalentadas a 85°C. Dosificación de nitrógeno líquido antes del sellado hermético.</w:t>
      </w:r>
    </w:p>
    <w:p>
      <w:pPr>
        <w:pStyle w:val="Heading2"/>
      </w:pPr>
      <w:r>
        <w:rPr>
          <w:color w:val="1A1A2E"/>
        </w:rPr>
        <w:t>4.3 Tratamiento de Agua</w:t>
      </w:r>
    </w:p>
    <w:p>
      <w:r>
        <w:t>Fuente: agua municipal (AySA). Tren de tratamiento: filtro sedimentos 5 µm → columna carbón activado → ablandador.</w:t>
        <w:br/>
        <w:t>Capacidad: 1 m³/h. Consumo anual MVP (50K latas): 18.000 L/año.</w:t>
        <w:br/>
        <w:t>Inversión: USD 3.000-5.000; operación: ~USD 500-800/año.</w:t>
      </w:r>
    </w:p>
    <w:p>
      <w:pPr>
        <w:pStyle w:val="Heading2"/>
      </w:pPr>
      <w:r>
        <w:rPr>
          <w:color w:val="1A1A2E"/>
        </w:rPr>
        <w:t>4.4 Equipamiento de Enlatado</w:t>
      </w:r>
    </w:p>
    <w:p>
      <w:r>
        <w:t>Sistema semi-automático recomendado: 300-600 latas/hora, USD 10.000-40.000.</w:t>
        <w:br/>
        <w:t>Proveedor sugerido: Orengia &amp; Conforti (Birra en Lata, Argentina) — modelo BL-A, 500-600 latas/hora.</w:t>
      </w:r>
    </w:p>
    <w:p>
      <w:pPr>
        <w:pStyle w:val="Heading2"/>
      </w:pPr>
      <w:r>
        <w:rPr>
          <w:color w:val="1A1A2E"/>
        </w:rPr>
        <w:t>4.5 Abastecimiento de Café</w:t>
      </w:r>
    </w:p>
    <w:p>
      <w:r>
        <w:t>• MVP (local): John &amp; Joe, Salustiano — arábica brasileño/colombiano, 83-85 SCA, ARS 46.000-64.000/kg tostado.</w:t>
        <w:br/>
        <w:t>• Escala (importación directa): Finca El Diamante, Huila Colombia — FOB USD 12-16/kg, descuentos hasta 20%.</w:t>
        <w:br/>
        <w:t>• Necesidades: MVP 50K latas = 700 kg/año; escala 1M latas = 14 toneladas/año.</w:t>
      </w:r>
    </w:p>
    <w:p>
      <w:pPr>
        <w:pStyle w:val="Heading1"/>
      </w:pPr>
      <w:r>
        <w:rPr>
          <w:color w:val="1A1A2E"/>
        </w:rPr>
        <w:t>5. Investigación Técnica: Proteína y Esterilización</w:t>
      </w:r>
    </w:p>
    <w:p>
      <w:r>
        <w:t>Se realizó un estudio comparativo entre tres métodos de esterilización para el cold brew proteico:</w:t>
      </w:r>
    </w:p>
    <w:p>
      <w:pPr>
        <w:pStyle w:val="Heading2"/>
      </w:pPr>
      <w:r>
        <w:rPr>
          <w:color w:val="1A1A2E"/>
        </w:rPr>
        <w:t>5.1 Métodos Evaluados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</w:t>
            </w:r>
          </w:p>
        </w:tc>
        <w:tc>
          <w:tcPr>
            <w:tcW w:type="dxa" w:w="2160"/>
          </w:tcPr>
          <w:p>
            <w:r>
              <w:t>UV</w:t>
            </w:r>
          </w:p>
        </w:tc>
        <w:tc>
          <w:tcPr>
            <w:tcW w:type="dxa" w:w="2160"/>
          </w:tcPr>
          <w:p>
            <w:r>
              <w:t>Ultrafiltración</w:t>
            </w:r>
          </w:p>
        </w:tc>
        <w:tc>
          <w:tcPr>
            <w:tcW w:type="dxa" w:w="2160"/>
          </w:tcPr>
          <w:p>
            <w:r>
              <w:t>Autoclave (elegido)</w:t>
            </w:r>
          </w:p>
        </w:tc>
      </w:tr>
      <w:tr>
        <w:tc>
          <w:tcPr>
            <w:tcW w:type="dxa" w:w="2160"/>
          </w:tcPr>
          <w:p>
            <w:r>
              <w:t>Seguridad microbiológica</w:t>
            </w:r>
          </w:p>
        </w:tc>
        <w:tc>
          <w:tcPr>
            <w:tcW w:type="dxa" w:w="2160"/>
          </w:tcPr>
          <w:p>
            <w:r>
              <w:t>~90% reducción; limitada en líquidos opacos</w:t>
            </w:r>
          </w:p>
        </w:tc>
        <w:tc>
          <w:tcPr>
            <w:tcW w:type="dxa" w:w="2160"/>
          </w:tcPr>
          <w:p>
            <w:r>
              <w:t>&gt;99,9999% eliminación; retiene esporas</w:t>
            </w:r>
          </w:p>
        </w:tc>
        <w:tc>
          <w:tcPr>
            <w:tcW w:type="dxa" w:w="2160"/>
          </w:tcPr>
          <w:p>
            <w:r>
              <w:t>&gt;12 log reducción de esporas; esterilidad comercial</w:t>
            </w:r>
          </w:p>
        </w:tc>
      </w:tr>
      <w:tr>
        <w:tc>
          <w:tcPr>
            <w:tcW w:type="dxa" w:w="2160"/>
          </w:tcPr>
          <w:p>
            <w:r>
              <w:t>Impacto en sabor</w:t>
            </w:r>
          </w:p>
        </w:tc>
        <w:tc>
          <w:tcPr>
            <w:tcW w:type="dxa" w:w="2160"/>
          </w:tcPr>
          <w:p>
            <w:r>
              <w:t>Mínimo; riesgo de oxidación a dosis altas</w:t>
            </w:r>
          </w:p>
        </w:tc>
        <w:tc>
          <w:tcPr>
            <w:tcW w:type="dxa" w:w="2160"/>
          </w:tcPr>
          <w:p>
            <w:r>
              <w:t>Nulo; mejora claridad</w:t>
            </w:r>
          </w:p>
        </w:tc>
        <w:tc>
          <w:tcPr>
            <w:tcW w:type="dxa" w:w="2160"/>
          </w:tcPr>
          <w:p>
            <w:r>
              <w:t>&lt;30% pérdida aromática; aceptable</w:t>
            </w:r>
          </w:p>
        </w:tc>
      </w:tr>
      <w:tr>
        <w:tc>
          <w:tcPr>
            <w:tcW w:type="dxa" w:w="2160"/>
          </w:tcPr>
          <w:p>
            <w:r>
              <w:t>Impacto en proteína</w:t>
            </w:r>
          </w:p>
        </w:tc>
        <w:tc>
          <w:tcPr>
            <w:tcW w:type="dxa" w:w="2160"/>
          </w:tcPr>
          <w:p>
            <w:r>
              <w:t>Sin pérdida; posible oxidación leve de aminoácidos</w:t>
            </w:r>
          </w:p>
        </w:tc>
        <w:tc>
          <w:tcPr>
            <w:tcW w:type="dxa" w:w="2160"/>
          </w:tcPr>
          <w:p>
            <w:r>
              <w:t>Sin desnaturalización; posible retención ~31% en membrana</w:t>
            </w:r>
          </w:p>
        </w:tc>
        <w:tc>
          <w:tcPr>
            <w:tcW w:type="dxa" w:w="2160"/>
          </w:tcPr>
          <w:p>
            <w:r>
              <w:t>Desnaturalización controlada; proteína funcional</w:t>
            </w:r>
          </w:p>
        </w:tc>
      </w:tr>
      <w:tr>
        <w:tc>
          <w:tcPr>
            <w:tcW w:type="dxa" w:w="2160"/>
          </w:tcPr>
          <w:p>
            <w:r>
              <w:t>Costo (CAPEX/OPEX)</w:t>
            </w:r>
          </w:p>
        </w:tc>
        <w:tc>
          <w:tcPr>
            <w:tcW w:type="dxa" w:w="2160"/>
          </w:tcPr>
          <w:p>
            <w:r>
              <w:t>Bajo (~0,09 €/m³)</w:t>
            </w:r>
          </w:p>
        </w:tc>
        <w:tc>
          <w:tcPr>
            <w:tcW w:type="dxa" w:w="2160"/>
          </w:tcPr>
          <w:p>
            <w:r>
              <w:t>Alto (~0,43 €/m³); 4-5x más caro</w:t>
            </w:r>
          </w:p>
        </w:tc>
        <w:tc>
          <w:tcPr>
            <w:tcW w:type="dxa" w:w="2160"/>
          </w:tcPr>
          <w:p>
            <w:r>
              <w:t>Moderado; equipo estándar industrial</w:t>
            </w:r>
          </w:p>
        </w:tc>
      </w:tr>
    </w:tbl>
    <w:p/>
    <w:p>
      <w:r>
        <w:t>Decisión final: Se seleccionó la autoclave de presión compensada como método de esterilización. Aunque UV y UF fueron evaluados extensivamente, la autoclave ofrece el mejor balance entre seguridad microbiológica absoluta (necesaria para 6+ meses sin refrigeración), compatibilidad con el proceso de enlatado, y costos razonables para escala industrial. Se descartó HTST/UHT por los efectos negativos del calor en el café y las proteínas.</w:t>
      </w:r>
    </w:p>
    <w:p>
      <w:pPr>
        <w:pStyle w:val="Heading2"/>
      </w:pPr>
      <w:r>
        <w:rPr>
          <w:color w:val="1A1A2E"/>
        </w:rPr>
        <w:t>5.2 Elección de Proteína</w:t>
      </w:r>
    </w:p>
    <w:p>
      <w:r>
        <w:t>Se eligió proteína de suero lácteo aislada (WPI 90%) sobre opciones vegetales por:</w:t>
        <w:br/>
        <w:t>• Superior solubilidad en rangos amplios de pH</w:t>
        <w:br/>
        <w:t>• Mejor estabilidad en bebidas ácidas (pH ~5 del cold brew)</w:t>
        <w:br/>
        <w:t>• Sabor más neutro y menor impacto en el perfil del café</w:t>
        <w:br/>
        <w:t>• Mayor porcentaje de proteína por litro</w:t>
        <w:br/>
        <w:t>• Mejor compatibilidad con todos los métodos de procesamiento evaluados</w:t>
        <w:br/>
        <w:br/>
        <w:t>La proteína vegetal (arveja, soya) fue descartada por su menor solubilidad, tendencia a sedimentar, sabor terroso y mayor complejidad de formulación.</w:t>
      </w:r>
    </w:p>
    <w:p>
      <w:pPr>
        <w:pStyle w:val="Heading1"/>
      </w:pPr>
      <w:r>
        <w:rPr>
          <w:color w:val="1A1A2E"/>
        </w:rPr>
        <w:t>6. Marco Legal y Regulatorio</w:t>
      </w:r>
    </w:p>
    <w:p>
      <w:pPr>
        <w:pStyle w:val="Heading2"/>
      </w:pPr>
      <w:r>
        <w:rPr>
          <w:color w:val="1A1A2E"/>
        </w:rPr>
        <w:t>6.1 Clasificación</w:t>
      </w:r>
    </w:p>
    <w:p>
      <w:r>
        <w:t>Etéreo se clasifica como "alimento fortificado" bajo el Artículo 1363, Capítulo XVII del Código Alimentario Argentino (CAA). Denominación oficial: "Bebida de café cold brew fortificada con proteínas lácteas, vitaminas y minerales".</w:t>
        <w:br/>
        <w:br/>
        <w:t>Hito regulatorio clave: La Resolución Conjunta 38/2025 (julio 2025) creó por primera vez un marco específico para bebidas fortificadas con proteínas, abriendo una ventana estratégica para Etéreo.</w:t>
      </w:r>
    </w:p>
    <w:p>
      <w:pPr>
        <w:pStyle w:val="Heading2"/>
      </w:pPr>
      <w:r>
        <w:rPr>
          <w:color w:val="1A1A2E"/>
        </w:rPr>
        <w:t>6.2 Registro ANMAT</w:t>
      </w:r>
    </w:p>
    <w:p>
      <w:r>
        <w:t>• Proceso: RNE (establecimiento) → RNPA (producto)</w:t>
        <w:br/>
        <w:t>• Requisitos: Manual BPM, Plan HACCP con 4 Puntos Críticos de Control, Director Técnico matriculado</w:t>
        <w:br/>
        <w:t>• Plazo estimado: 10-16 meses</w:t>
        <w:br/>
        <w:t>• Inversión regulatoria: ARS 3-8 millones (análisis de laboratorio, asesoría legal, validación de proceso, estudios de vida útil)</w:t>
      </w:r>
    </w:p>
    <w:p>
      <w:pPr>
        <w:pStyle w:val="Heading2"/>
      </w:pPr>
      <w:r>
        <w:rPr>
          <w:color w:val="1A1A2E"/>
        </w:rPr>
        <w:t>6.3 Etiquetado (Ley 27.642)</w:t>
      </w:r>
    </w:p>
    <w:p>
      <w:r>
        <w:t>• Sin sellos octagonales: el producto no tiene azúcares añadidos, grasas mínimas, 96 kcal/porción</w:t>
        <w:br/>
        <w:t>• Leyenda obligatoria: "CONTIENE CAFEÍNA. EVITAR EN NIÑOS/AS" (cafeína 45-60 mg/100ml &gt; límite 20 mg)</w:t>
        <w:br/>
        <w:t>• Alérgenos: "CONTIENE LECHE"</w:t>
        <w:br/>
        <w:t>• Claims permitidos: "fuente de proteína" (&gt;6g/100ml) y "alto en proteína" (20g/porción)</w:t>
        <w:br/>
        <w:t>• Prohibido: cualquier claim terapéutico o de prevención de enfermedades</w:t>
      </w:r>
    </w:p>
    <w:p>
      <w:pPr>
        <w:pStyle w:val="Heading1"/>
      </w:pPr>
      <w:r>
        <w:rPr>
          <w:color w:val="1A1A2E"/>
        </w:rPr>
        <w:t>7. Conclusiones Generales</w:t>
      </w:r>
    </w:p>
    <w:p>
      <w:r>
        <w:rPr>
          <w:b/>
        </w:rPr>
        <w:t xml:space="preserve">Oportunidad validada: </w:t>
      </w:r>
      <w:r>
        <w:t>Etéreo se ubica en la intersección de tres categorías en crecimiento (cold brew, proteína RTD, energía funcional) sin competidor directo en Argentina. La encuesta confirma 83% de intención de prueba y disposición a pagar $3.195/lata.</w:t>
      </w:r>
    </w:p>
    <w:p>
      <w:r>
        <w:rPr>
          <w:b/>
        </w:rPr>
        <w:t xml:space="preserve">Viabilidad técnica demostrada: </w:t>
      </w:r>
      <w:r>
        <w:t>El desafío de combinar estabilidad proteica con preservación del cold brew se resolvió mediante autoclave de presión compensada (115-118°C, 8-10 min), logrando vida útil de 6+ meses a temperatura ambiente con preservación sensorial aceptable.</w:t>
      </w:r>
    </w:p>
    <w:p>
      <w:r>
        <w:rPr>
          <w:b/>
        </w:rPr>
        <w:t xml:space="preserve">Ventana regulatoria favorable: </w:t>
      </w:r>
      <w:r>
        <w:t>La RC 38/2025 establece un marco claro para bebidas proteicas fortificadas. El momento es óptimo: claridad regulatoria + baja competencia = ventaja de primer movedor.</w:t>
      </w:r>
    </w:p>
    <w:p>
      <w:r>
        <w:rPr>
          <w:b/>
        </w:rPr>
        <w:t xml:space="preserve">Estrategia de lanzamiento definida: </w:t>
      </w:r>
      <w:r>
        <w:t>Dual-channel (gimnasios + e-commerce con suscripción 6-pack). Sistema semi-automático de enlatado (500-600 latas/hora). Abastecimiento híbrido de café (local para MVP, importación colombiana directa a escala).</w:t>
      </w:r>
    </w:p>
    <w:p>
      <w:r>
        <w:rPr>
          <w:b/>
        </w:rPr>
        <w:t xml:space="preserve">Escalabilidad planificada: </w:t>
      </w:r>
      <w:r>
        <w:t>Capacidad inicial de 126.200 L/año escalable a 157.750 L/año. Roadmap industrial en 5 fases desde diseño de proceso hasta scale-up con HACCP.</w:t>
      </w:r>
    </w:p>
    <w:p/>
    <w:p>
      <w:pPr>
        <w:pStyle w:val="Heading1"/>
      </w:pPr>
      <w:r>
        <w:rPr>
          <w:color w:val="1A1A2E"/>
        </w:rPr>
        <w:t>8. Estado Actual — Tareas Pendientes (Jira)</w:t>
      </w:r>
    </w:p>
    <w:p>
      <w:r>
        <w:t>El proyecto tiene 50 tareas pendientes organizadas en los siguientes bloques:</w:t>
      </w:r>
    </w:p>
    <w:p>
      <w:r>
        <w:rPr>
          <w:b/>
        </w:rPr>
        <w:t xml:space="preserve">Dimensionamiento y Equipamiento (ETB-34 a ETB-42): </w:t>
      </w:r>
      <w:r>
        <w:t>Cálculo de turnos, horas máquina, tamaño de tanques, selección de equipamiento, cotizaciones de sistemas UF/UV, llenadora, homogeneizador, sistema CIP.</w:t>
      </w:r>
    </w:p>
    <w:p>
      <w:r>
        <w:rPr>
          <w:b/>
        </w:rPr>
        <w:t xml:space="preserve">Localización e Inversión (ETB-43 a ETB-47): </w:t>
      </w:r>
      <w:r>
        <w:t>Análisis de localización (asignado a Tomas Boismene), cálculo CAPEX (Juan Rivero), costos de alquiler y logística de insumos.</w:t>
      </w:r>
    </w:p>
    <w:p>
      <w:r>
        <w:rPr>
          <w:b/>
        </w:rPr>
        <w:t xml:space="preserve">Costos Industriales (ETB-48 a ETB-66): </w:t>
      </w:r>
      <w:r>
        <w:t>Inversión en maquinaria, instalaciones, capital de trabajo, gastos preoperativos. Costos fijos (sueldos, alquiler, servicios, mantenimiento) y variables (café, proteína, envase, energía). Punto de equilibrio y break-even.</w:t>
      </w:r>
    </w:p>
    <w:p>
      <w:r>
        <w:rPr>
          <w:b/>
        </w:rPr>
        <w:t xml:space="preserve">Integración Demanda-Capacidad (ETB-67 a ETB-75): </w:t>
      </w:r>
      <w:r>
        <w:t>Validar coherencia demanda vs capacidad instalada, detectar cuellos de botella, definir plan de crecimiento y escalonamiento de producción.</w:t>
      </w:r>
    </w:p>
    <w:p>
      <w:r>
        <w:rPr>
          <w:b/>
        </w:rPr>
        <w:t xml:space="preserve">Evaluación Financiera (ETB-76 a ETB-80): </w:t>
      </w:r>
      <w:r>
        <w:t>Flujo de fondos, indicadores financieros, evaluación de escenarios para Argentina y consolidación académica.</w:t>
      </w:r>
    </w:p>
    <w:p>
      <w:r>
        <w:rPr>
          <w:b/>
        </w:rPr>
        <w:t xml:space="preserve">Cierre del Proyecto (ETB-81 a ETB-83): </w:t>
      </w:r>
      <w:r>
        <w:t>Redacción final integral, ajustes reglamento PFE (Santiago Diez de Oñate) y presentación oral (Santiago Diez de Oñate).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