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DIMENSIONAMIENTO Y EQUIPAMIENTO INDUSTRIAL</w:t>
      </w:r>
    </w:p>
    <w:p>
      <w:pPr>
        <w:pStyle w:val="Heading2"/>
      </w:pPr>
      <w:r>
        <w:t>Cálculo de turnos necesarios</w:t>
      </w:r>
    </w:p>
    <w:p>
      <w:pPr>
        <w:jc w:val="both"/>
      </w:pPr>
      <w:r>
        <w:rPr>
          <w:rFonts w:ascii="Calibri" w:hAnsi="Calibri"/>
          <w:b w:val="0"/>
          <w:i w:val="0"/>
          <w:sz w:val="22"/>
        </w:rPr>
        <w:t>El dimensionamiento productivo de Etéreo parte de un volumen objetivo inicial de 50.000 latas/año para el primer ejercicio, con una capacidad instalada máxima de 420.000 latas/año. La llenadora semiautomática seleccionada (Orengia &amp; Conforti BL-A) opera a una cadencia de 500 latas/hora, lo que establece el ritmo limitante del proceso.</w:t>
      </w:r>
    </w:p>
    <w:p>
      <w:pPr>
        <w:jc w:val="both"/>
      </w:pPr>
      <w:r>
        <w:rPr>
          <w:rFonts w:ascii="Calibri" w:hAnsi="Calibri"/>
          <w:b w:val="0"/>
          <w:i w:val="0"/>
          <w:sz w:val="22"/>
        </w:rPr>
        <w:t>Cada lote de producción utiliza 375 kg de café molido y 3.000 litros de agua tratada por ósmosis inversa, generando aproximadamente 8.000 latas de producto terminado por ciclo. Para alcanzar el objetivo de 50.000 latas/año se requieren 50.000/8.000 = 6,25 lotes, redondeado a 7 lotes anuales.</w:t>
      </w:r>
    </w:p>
    <w:p>
      <w:pPr>
        <w:jc w:val="both"/>
      </w:pPr>
      <w:r>
        <w:rPr>
          <w:rFonts w:ascii="Calibri" w:hAnsi="Calibri"/>
          <w:b w:val="0"/>
          <w:i w:val="0"/>
          <w:sz w:val="22"/>
        </w:rPr>
        <w:t>Cada ciclo de lote tiene una duración aproximada de 3 días operativos, distribuidos de la siguiente manera: 14 horas de maceración en frío (cold brew), filtración gruesa y fina, homogeneización con incorporación de proteína, llenado y sellado, esterilización en autoclave y limpieza CIP. El régimen de trabajo propuesto es de 1 turno diario de 8 horas, 3 días por semana, con 2 operarios por turno.</w:t>
      </w:r>
    </w:p>
    <w:p>
      <w:pPr>
        <w:jc w:val="both"/>
      </w:pPr>
      <w:r>
        <w:rPr>
          <w:rFonts w:ascii="Calibri" w:hAnsi="Calibri"/>
          <w:b/>
          <w:i w:val="0"/>
          <w:sz w:val="22"/>
        </w:rPr>
        <w:t>Escalamiento productivo según volumen anual:</w:t>
      </w:r>
    </w:p>
    <w:tbl>
      <w:tblPr>
        <w:jc w:val="center"/>
        <w:tblLayout w:type="fixed"/>
        <w:tblLook w:firstColumn="1" w:firstRow="1" w:lastColumn="0" w:lastRow="0" w:noHBand="0" w:noVBand="1" w:val="04A0"/>
        <w:tblW w:w="9360" w:type="dxa"/>
      </w:tblPr>
      <w:tblGrid>
        <w:gridCol w:w="1440"/>
        <w:gridCol w:w="1440"/>
        <w:gridCol w:w="1440"/>
        <w:gridCol w:w="1440"/>
        <w:gridCol w:w="1440"/>
        <w:gridCol w:w="1440"/>
      </w:tblGrid>
      <w:tr>
        <w:tc>
          <w:tcPr>
            <w:tcW w:type="dxa" w:w="187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Volumen (latas/año)</w:t>
            </w:r>
          </w:p>
        </w:tc>
        <w:tc>
          <w:tcPr>
            <w:tcW w:type="dxa" w:w="115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Lotes/año</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Días productivos/año</w:t>
            </w:r>
          </w:p>
        </w:tc>
        <w:tc>
          <w:tcPr>
            <w:tcW w:type="dxa" w:w="115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Turnos/día</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Operarios/turno</w:t>
            </w:r>
          </w:p>
        </w:tc>
        <w:tc>
          <w:tcPr>
            <w:tcW w:type="dxa" w:w="201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Días/semana</w:t>
            </w:r>
          </w:p>
        </w:tc>
      </w:tr>
      <w:tr>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50.000</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21</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w:t>
            </w:r>
          </w:p>
        </w:tc>
        <w:tc>
          <w:tcPr>
            <w:tcW w:type="dxa" w:w="201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w:t>
            </w:r>
          </w:p>
        </w:tc>
      </w:tr>
      <w:tr>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100.000</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13</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39</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w:t>
            </w:r>
          </w:p>
        </w:tc>
        <w:tc>
          <w:tcPr>
            <w:tcW w:type="dxa" w:w="201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w:t>
            </w:r>
          </w:p>
        </w:tc>
      </w:tr>
      <w:tr>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200.000</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75</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w:t>
            </w:r>
          </w:p>
        </w:tc>
        <w:tc>
          <w:tcPr>
            <w:tcW w:type="dxa" w:w="201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4</w:t>
            </w:r>
          </w:p>
        </w:tc>
      </w:tr>
      <w:tr>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500.000</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63</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189</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w:t>
            </w:r>
          </w:p>
        </w:tc>
        <w:tc>
          <w:tcPr>
            <w:tcW w:type="dxa" w:w="201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w:t>
            </w:r>
          </w:p>
        </w:tc>
      </w:tr>
    </w:tbl>
    <w:p/>
    <w:p>
      <w:pPr>
        <w:jc w:val="both"/>
      </w:pPr>
      <w:r>
        <w:rPr>
          <w:rFonts w:ascii="Calibri" w:hAnsi="Calibri"/>
          <w:b w:val="0"/>
          <w:i w:val="0"/>
          <w:sz w:val="22"/>
        </w:rPr>
        <w:t>Se observa que incluso al nivel de 200.000 latas/año, la operación se mantiene dentro de un único turno con jornadas de 4 días semanales. Recién al alcanzar 500.000 latas/año se requiere incorporar un segundo turno y operar 5 días por semana, lo que valida el sobredimensionamiento controlado de la planta.</w:t>
      </w:r>
    </w:p>
    <w:p>
      <w:pPr>
        <w:pStyle w:val="Heading2"/>
      </w:pPr>
      <w:r>
        <w:t>Horas máquina por equipo</w:t>
      </w:r>
    </w:p>
    <w:p>
      <w:pPr>
        <w:jc w:val="both"/>
      </w:pPr>
      <w:r>
        <w:rPr>
          <w:rFonts w:ascii="Calibri" w:hAnsi="Calibri"/>
          <w:b w:val="0"/>
          <w:i w:val="0"/>
          <w:sz w:val="22"/>
        </w:rPr>
        <w:t>A continuación se presenta el detalle de horas de operación por equipo, considerando 7 lotes/año (volumen inicial de 50.000 latas) y una disponibilidad anual de referencia de 2.000 horas (250 días × 8 horas/día).</w:t>
      </w:r>
    </w:p>
    <w:tbl>
      <w:tblPr>
        <w:jc w:val="center"/>
        <w:tblLayout w:type="fixed"/>
        <w:tblLook w:firstColumn="1" w:firstRow="1" w:lastColumn="0" w:lastRow="0" w:noHBand="0" w:noVBand="1" w:val="04A0"/>
        <w:tblW w:w="9360" w:type="dxa"/>
      </w:tblPr>
      <w:tblGrid>
        <w:gridCol w:w="1728"/>
        <w:gridCol w:w="1728"/>
        <w:gridCol w:w="1728"/>
        <w:gridCol w:w="1728"/>
        <w:gridCol w:w="1728"/>
      </w:tblGrid>
      <w:tr>
        <w:tc>
          <w:tcPr>
            <w:tcW w:type="dxa" w:w="259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Equipo</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Horas/lote</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Lotes/año</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Total horas/año</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Utilización (%)</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Molino cónico</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14</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0,7%</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Tanque de maceración</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14,0</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98</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4,9%</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Filtro prensa</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3,0</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21</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Cartuchos PP 10 µm</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14</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0,7%</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Membrana 0,45 µm</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14</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0,7%</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Homogeneizador</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4,0</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28</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1,4%</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Autoclave</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3,0</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21</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Llenadora semiautomática</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16,0</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112</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5,6%</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Sistema CIP</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4,0</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28</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1,4%</w:t>
            </w:r>
          </w:p>
        </w:tc>
      </w:tr>
    </w:tbl>
    <w:p/>
    <w:p>
      <w:pPr>
        <w:jc w:val="both"/>
      </w:pPr>
      <w:r>
        <w:rPr>
          <w:rFonts w:ascii="Calibri" w:hAnsi="Calibri"/>
          <w:b w:val="0"/>
          <w:i w:val="0"/>
          <w:sz w:val="22"/>
        </w:rPr>
        <w:t>Las tasas de utilización extremadamente bajas (todas inferiores al 6%) confirman que la capacidad instalada está diseñada para acompañar el crecimiento proyectado hasta 420.000 latas/año sin inversión adicional en equipos principales durante los primeros 3 a 4 años de operación.</w:t>
      </w:r>
    </w:p>
    <w:p>
      <w:pPr>
        <w:pStyle w:val="Heading2"/>
      </w:pPr>
      <w:r>
        <w:t>Dimensionamiento de tanques</w:t>
      </w:r>
    </w:p>
    <w:p>
      <w:pPr>
        <w:jc w:val="both"/>
      </w:pPr>
      <w:r>
        <w:rPr>
          <w:rFonts w:ascii="Calibri" w:hAnsi="Calibri"/>
          <w:b w:val="0"/>
          <w:i w:val="0"/>
          <w:sz w:val="22"/>
        </w:rPr>
        <w:t>El tanque de maceración constituye el equipo de mayor volumen y su dimensionamiento resulta crítico para la programación productiva.</w:t>
      </w:r>
    </w:p>
    <w:p>
      <w:pPr>
        <w:jc w:val="both"/>
      </w:pPr>
      <w:r>
        <w:rPr>
          <w:rFonts w:ascii="Calibri" w:hAnsi="Calibri"/>
          <w:b w:val="0"/>
          <w:i w:val="0"/>
          <w:sz w:val="22"/>
        </w:rPr>
        <w:t>Cálculo del tanque de maceración: el volumen operativo es de 3.000 litros de agua más 375 kg de café molido (densidad aparente ~0,4 kg/L, equivalente a ~940 litros de sólido). El volumen total de la mezcla es aproximadamente 3.400 litros. Aplicando un factor de seguridad de 1,20 para espacio libre (headspace), se obtiene un volumen útil de 3.400 × 1,20 = 4.080 litros. Se selecciona un tanque estándar de 4.000 litros de capacidad nominal, fabricado en acero inoxidable AISI 316L, con camisa de calefacción/refrigeración, agitador y válvula de fondo.</w:t>
      </w:r>
    </w:p>
    <w:tbl>
      <w:tblPr>
        <w:jc w:val="center"/>
        <w:tblLayout w:type="fixed"/>
        <w:tblLook w:firstColumn="1" w:firstRow="1" w:lastColumn="0" w:lastRow="0" w:noHBand="0" w:noVBand="1" w:val="04A0"/>
        <w:tblW w:w="9360" w:type="dxa"/>
      </w:tblPr>
      <w:tblGrid>
        <w:gridCol w:w="2880"/>
        <w:gridCol w:w="2880"/>
        <w:gridCol w:w="2880"/>
      </w:tblGrid>
      <w:tr>
        <w:tc>
          <w:tcPr>
            <w:tcW w:type="dxa" w:w="288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Volumen producción (latas/año)</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Tanques de maceración</w:t>
            </w:r>
          </w:p>
        </w:tc>
        <w:tc>
          <w:tcPr>
            <w:tcW w:type="dxa" w:w="432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Justificación</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50.000 a 200.000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 4.000 L</w:t>
            </w:r>
          </w:p>
        </w:tc>
        <w:tc>
          <w:tcPr>
            <w:tcW w:type="dxa" w:w="43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Un tanque cubre hasta 25 lotes/año con holgura</w:t>
            </w:r>
          </w:p>
        </w:tc>
      </w:tr>
      <w:tr>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200.000 a 420.000</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 4.000 L</w:t>
            </w:r>
          </w:p>
        </w:tc>
        <w:tc>
          <w:tcPr>
            <w:tcW w:type="dxa" w:w="43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Un tanque cubre hasta 53 lotes/año (1/semana)</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420.000+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 4.000 L</w:t>
            </w:r>
          </w:p>
        </w:tc>
        <w:tc>
          <w:tcPr>
            <w:tcW w:type="dxa" w:w="43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Segundo tanque para lotes simultáneos o limpieza</w:t>
            </w:r>
          </w:p>
        </w:tc>
      </w:tr>
    </w:tbl>
    <w:p/>
    <w:p>
      <w:pPr>
        <w:jc w:val="both"/>
      </w:pPr>
      <w:r>
        <w:rPr>
          <w:rFonts w:ascii="Calibri" w:hAnsi="Calibri"/>
          <w:b/>
          <w:i w:val="0"/>
          <w:sz w:val="22"/>
        </w:rPr>
        <w:t>Tanques auxiliares requeridos:</w:t>
      </w:r>
    </w:p>
    <w:tbl>
      <w:tblPr>
        <w:jc w:val="center"/>
        <w:tblLayout w:type="fixed"/>
        <w:tblLook w:firstColumn="1" w:firstRow="1" w:lastColumn="0" w:lastRow="0" w:noHBand="0" w:noVBand="1" w:val="04A0"/>
        <w:tblW w:w="9360" w:type="dxa"/>
      </w:tblPr>
      <w:tblGrid>
        <w:gridCol w:w="2160"/>
        <w:gridCol w:w="2160"/>
        <w:gridCol w:w="2160"/>
        <w:gridCol w:w="2160"/>
      </w:tblGrid>
      <w:tr>
        <w:tc>
          <w:tcPr>
            <w:tcW w:type="dxa" w:w="288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Tanque</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Volumen (L)</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Material</w:t>
            </w:r>
          </w:p>
        </w:tc>
        <w:tc>
          <w:tcPr>
            <w:tcW w:type="dxa" w:w="360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Función</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Tanque de mezcla de proteína</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Disolución de WPI en agua antes de homogeneización</w:t>
            </w:r>
          </w:p>
        </w:tc>
      </w:tr>
      <w:tr>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Tanque buffer (pulmón)</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1.000</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Almacenamiento intermedio del extracto filtrado</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Tanques CIP (×3)</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 c/u</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304</w:t>
            </w:r>
          </w:p>
        </w:tc>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Solución NaOH, solución HNO₃ y agua de enjuague</w:t>
            </w:r>
          </w:p>
        </w:tc>
      </w:tr>
    </w:tbl>
    <w:p/>
    <w:p>
      <w:pPr>
        <w:pStyle w:val="Heading2"/>
      </w:pPr>
      <w:r>
        <w:t>Selección de equipamiento</w:t>
      </w:r>
    </w:p>
    <w:p>
      <w:pPr>
        <w:jc w:val="both"/>
      </w:pPr>
      <w:r>
        <w:rPr>
          <w:rFonts w:ascii="Calibri" w:hAnsi="Calibri"/>
          <w:b w:val="0"/>
          <w:i w:val="0"/>
          <w:sz w:val="22"/>
        </w:rPr>
        <w:t>La selección de equipamiento se realizó priorizando materiales aptos para uso alimentario (AISI 316L en contacto con producto, AISI 304 para utilidades), capacidades compatibles con el rango de producción de 50.000 a 420.000 latas/año y disponibilidad en el mercado argentino o importación directa. Todos los valores monetarios se expresan al tipo de cambio USD 1 = ARS 1.420.</w:t>
      </w:r>
    </w:p>
    <w:tbl>
      <w:tblPr>
        <w:jc w:val="center"/>
        <w:tblLayout w:type="fixed"/>
        <w:tblLook w:firstColumn="1" w:firstRow="1" w:lastColumn="0" w:lastRow="0" w:noHBand="0" w:noVBand="1" w:val="04A0"/>
        <w:tblW w:w="9360" w:type="dxa"/>
      </w:tblPr>
      <w:tblGrid>
        <w:gridCol w:w="1440"/>
        <w:gridCol w:w="1440"/>
        <w:gridCol w:w="1440"/>
        <w:gridCol w:w="1440"/>
        <w:gridCol w:w="1440"/>
        <w:gridCol w:w="1440"/>
      </w:tblGrid>
      <w:tr>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Equipo</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Capacidad</w:t>
            </w:r>
          </w:p>
        </w:tc>
        <w:tc>
          <w:tcPr>
            <w:tcW w:type="dxa" w:w="100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Material</w:t>
            </w:r>
          </w:p>
        </w:tc>
        <w:tc>
          <w:tcPr>
            <w:tcW w:type="dxa" w:w="115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Precio (USD)</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Precio (ARS)</w:t>
            </w:r>
          </w:p>
        </w:tc>
        <w:tc>
          <w:tcPr>
            <w:tcW w:type="dxa" w:w="187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Proveedor</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Molino cónico de café</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200 kg/h</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Acero/inox</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3.500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4.970.000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Mahlkönig / equiv.</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Tanque maceración 4.000 L</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4.000 L</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14.000</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19.880.000</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Fab. nacional</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Agitador tipo ancla</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1,5 HP</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3.550.000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Fab. nacional</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Filtro prensa 20 placas</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500 L/h</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316L/PP</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8.000</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11.360.000</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Import. / nac.</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Cartuchos PP 10 µm (×6)</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1.200 L/h</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Polipropileno</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1.200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1.704.000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Pall / 3M</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Membrana 0,45 µm</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800 L/h</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PVDF/PES</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7.100.000</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Import.</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Homogeneizador 2 etapas</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800 L/h, 150-200 bar</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15.000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21.300.000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GEA / SPX / nac.</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Autoclave presión compensada</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1.000 latas/ciclo</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25.000</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35.500.000</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STERIFLOW / nac.</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Llenadora semi-auto BL-A</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500-600 latas/h</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20.000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28.400.000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Orengia &amp; Conforti</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Sistema CIP (3 tanques)</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500 L c/u</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304</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10.000</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14.200.000</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Fab. nacional</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Dosificador de N₂</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Inline</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6.000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8.520.000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Import.</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Etiquetadora semiautomática</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400-600/h</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Varios</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4.000</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5.680.000</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Import. / nac.</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Balanza industrial 300 kg</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300 kg ± 50 g</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Acero inox</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1.500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2.130.000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Ohaus / nac.</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pH-metro digital</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0-14 pH</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Electr.</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800</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1.136.000</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Hanna / Mettler</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Tanque proteína 500 L</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500 L</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4.500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6.390.000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Fab. nacional</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Tanque buffer 1.000 L</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1.000 L</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6.000</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8.520.000</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Fab. nacional</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Bomba centrífuga sanitaria (×2)</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3.000 L/h c/u</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3.000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4.260.000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Fristam / nac.</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Intercambiador de calor</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Placas, 50 kW</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7.100.000</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Alfa Laval / nac.</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Instrumentación y sensores</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Varios</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Varios</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3.000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4.260.000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Varios</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Instalación y puesta en marcha</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Global</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n/a</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22.000</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31.240.000</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Contratista</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TOTAL</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160.000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227.200.000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r>
    </w:tbl>
    <w:p/>
    <w:p>
      <w:pPr>
        <w:jc w:val="both"/>
      </w:pPr>
      <w:r>
        <w:rPr>
          <w:rFonts w:ascii="Calibri" w:hAnsi="Calibri"/>
          <w:b w:val="0"/>
          <w:i w:val="0"/>
          <w:sz w:val="22"/>
        </w:rPr>
        <w:t>La inversión total en maquinaria y equipamiento asciende a USD 160.000 (ARS 227.200.000). incluyendo instalación y puesta en marcha. Esta cifra representa el componente principal del CAPEX del proyecto.</w:t>
      </w:r>
    </w:p>
    <w:p>
      <w:pPr>
        <w:pStyle w:val="Heading2"/>
      </w:pPr>
      <w:r>
        <w:t>Cotización estimada de tanques</w:t>
      </w:r>
    </w:p>
    <w:p>
      <w:pPr>
        <w:jc w:val="both"/>
      </w:pPr>
      <w:r>
        <w:rPr>
          <w:rFonts w:ascii="Calibri" w:hAnsi="Calibri"/>
          <w:b w:val="0"/>
          <w:i w:val="0"/>
          <w:sz w:val="22"/>
        </w:rPr>
        <w:t>Los tanques de acero inoxidable representan una porción significativa de la inversión en equipamiento. Se relevaron cotizaciones de fabricantes nacionales especializados en equipos para la industria alimentaria.</w:t>
      </w:r>
    </w:p>
    <w:tbl>
      <w:tblPr>
        <w:jc w:val="center"/>
        <w:tblLayout w:type="fixed"/>
        <w:tblLook w:firstColumn="1" w:firstRow="1" w:lastColumn="0" w:lastRow="0" w:noHBand="0" w:noVBand="1" w:val="04A0"/>
        <w:tblW w:w="9360" w:type="dxa"/>
      </w:tblPr>
      <w:tblGrid>
        <w:gridCol w:w="1440"/>
        <w:gridCol w:w="1440"/>
        <w:gridCol w:w="1440"/>
        <w:gridCol w:w="1440"/>
        <w:gridCol w:w="1440"/>
        <w:gridCol w:w="1440"/>
      </w:tblGrid>
      <w:tr>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Tanque</w:t>
            </w:r>
          </w:p>
        </w:tc>
        <w:tc>
          <w:tcPr>
            <w:tcW w:type="dxa" w:w="100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Volumen</w:t>
            </w:r>
          </w:p>
        </w:tc>
        <w:tc>
          <w:tcPr>
            <w:tcW w:type="dxa" w:w="100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Material</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Accesorios</w:t>
            </w:r>
          </w:p>
        </w:tc>
        <w:tc>
          <w:tcPr>
            <w:tcW w:type="dxa" w:w="129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Precio est. (USD)</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Precio est. (ARS)</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Maceración principal</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4.000 L</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Camisa, agitador, válvula fondo</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14.000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19.880.000</w:t>
            </w:r>
          </w:p>
        </w:tc>
      </w:tr>
      <w:tr>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Mezcla de proteína</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500 L</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Agitador de alta velocidad</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4.500</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6.390.000</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Buffer (pulmón)</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1.000 L</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Válvula fondo, tapa sanitaria</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6.000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8.520.000</w:t>
            </w:r>
          </w:p>
        </w:tc>
      </w:tr>
      <w:tr>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CIP, NaOH</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500 L</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304</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Resistencia eléctrica, sensor T°</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2.500</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3.550.000</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CIP, HNO₃</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500 L</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304</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Resistencia eléctrica, sensor T°</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2.500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3.550.000</w:t>
            </w:r>
          </w:p>
        </w:tc>
      </w:tr>
      <w:tr>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CIP, enjuague</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500 L</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304</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Conexión agua potable</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2.000</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2.840.000</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TOTAL TANQUES</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31.500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44.730.000</w:t>
            </w:r>
          </w:p>
        </w:tc>
      </w:tr>
    </w:tbl>
    <w:p/>
    <w:p>
      <w:pPr>
        <w:jc w:val="both"/>
      </w:pPr>
      <w:r>
        <w:rPr>
          <w:rFonts w:ascii="Calibri" w:hAnsi="Calibri"/>
          <w:b w:val="0"/>
          <w:i w:val="0"/>
          <w:sz w:val="22"/>
        </w:rPr>
        <w:t>Las cotizaciones se basan en relevamientos de fabricantes nacionales de la zona de Buenos Aires (Tecnotanques, INOXPA Argentina, entre otros). Los precios incluyen terminación sanitaria y certificado de materiales, pero no incluyen flete ni montaje.</w:t>
      </w:r>
    </w:p>
    <w:p>
      <w:pPr>
        <w:pStyle w:val="Heading2"/>
      </w:pPr>
      <w:r>
        <w:t>Análisis comparativo: autoclave vs. UV vs. UF</w:t>
      </w:r>
    </w:p>
    <w:p>
      <w:pPr>
        <w:jc w:val="both"/>
      </w:pPr>
      <w:r>
        <w:rPr>
          <w:rFonts w:ascii="Calibri" w:hAnsi="Calibri"/>
          <w:b w:val="0"/>
          <w:i w:val="0"/>
          <w:sz w:val="22"/>
        </w:rPr>
        <w:t>La selección del método de esterilización/estabilización microbiológica constituye una decisión técnica crítica, dado que afecta la seguridad alimentaria, la calidad sensorial, la estabilidad de la proteína y los costos de inversión y operación. Se evaluaron tres alternativas: autoclave (esterilización térmica), radiación ultravioleta (UV-C) y ultrafiltración (UF, membrana 0,1 µm).</w:t>
      </w:r>
    </w:p>
    <w:tbl>
      <w:tblPr>
        <w:jc w:val="center"/>
        <w:tblLayout w:type="fixed"/>
        <w:tblLook w:firstColumn="1" w:firstRow="1" w:lastColumn="0" w:lastRow="0" w:noHBand="0" w:noVBand="1" w:val="04A0"/>
        <w:tblW w:w="9360" w:type="dxa"/>
      </w:tblPr>
      <w:tblGrid>
        <w:gridCol w:w="2160"/>
        <w:gridCol w:w="2160"/>
        <w:gridCol w:w="2160"/>
        <w:gridCol w:w="2160"/>
      </w:tblGrid>
      <w:tr>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Criterio</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Autoclave (115-118 °C)</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UV-C (254 nm)</w:t>
            </w:r>
          </w:p>
        </w:tc>
        <w:tc>
          <w:tcPr>
            <w:tcW w:type="dxa" w:w="187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Ultrafiltración (0,1 µm)</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Seguridad microbiológica</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Excelente. Fo 3-5 garantiza esterilidad comercial. Cumple CAA y ANMAT.</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Moderada. Eficaz contra vegetativos, limitada contra esporas y biofilms.</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Buena retención de bacterias, no elimina toxinas ni esporas termorresistentes.</w:t>
            </w:r>
          </w:p>
        </w:tc>
      </w:tr>
      <w:tr>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Impacto sensorial</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Moderado. Posible nota cocida si se excede tiempo/temperatura. Controlable con 115 °C, 8-10 min.</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Bajo impacto térmico, pero puede generar off-flavors por fotólisis de compuestos aromáticos.</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Mínimo impacto térmico. Puede retener coloides y compuestos de cuerpo.</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Impacto sobre proteína</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Desnaturalización parcial controlable. WPI tolera 115 °C si pH &gt; 6 y se homogeneiza previamente.</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Sin efecto térmico sobre proteína. Riesgo de oxidación por radicales.</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Puede perder proteína por retención en membrana (&gt; 100 kDa).</w:t>
            </w:r>
          </w:p>
        </w:tc>
      </w:tr>
      <w:tr>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CAPEX</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USD 25.000 (autoclave presión compensada)</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USD 8.000-12.000 (reactor UV inline)</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USD 15.000-20.000 (sistema UF con membranas)</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OPEX</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Moderado (energía, vapor, agua)</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Bajo (electricidad, reemplazo lámparas)</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Alto (reemplazo membranas, presión, CIP frecuente)</w:t>
            </w:r>
          </w:p>
        </w:tc>
      </w:tr>
      <w:tr>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Cumplimiento regulatorio</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Total. Método reconocido por CAA, ANMAT y Codex.</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Parcial. No reconocido como esterilización en CAA. Requiere validación caso por caso.</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Parcial. Aceptado como barrera, no como esterilización.</w:t>
            </w:r>
          </w:p>
        </w:tc>
      </w:tr>
    </w:tbl>
    <w:p/>
    <w:p>
      <w:pPr>
        <w:jc w:val="both"/>
      </w:pPr>
      <w:r>
        <w:rPr>
          <w:rFonts w:ascii="Calibri" w:hAnsi="Calibri"/>
          <w:b/>
          <w:i w:val="0"/>
          <w:sz w:val="22"/>
        </w:rPr>
        <w:t>Matriz de decisión ponderada:</w:t>
      </w:r>
    </w:p>
    <w:tbl>
      <w:tblPr>
        <w:jc w:val="center"/>
        <w:tblLayout w:type="fixed"/>
        <w:tblLook w:firstColumn="1" w:firstRow="1" w:lastColumn="0" w:lastRow="0" w:noHBand="0" w:noVBand="1" w:val="04A0"/>
        <w:tblW w:w="9360" w:type="dxa"/>
      </w:tblPr>
      <w:tblGrid>
        <w:gridCol w:w="1728"/>
        <w:gridCol w:w="1728"/>
        <w:gridCol w:w="1728"/>
        <w:gridCol w:w="1728"/>
        <w:gridCol w:w="1728"/>
      </w:tblGrid>
      <w:tr>
        <w:tc>
          <w:tcPr>
            <w:tcW w:type="dxa" w:w="259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Criterio</w:t>
            </w:r>
          </w:p>
        </w:tc>
        <w:tc>
          <w:tcPr>
            <w:tcW w:type="dxa" w:w="115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Peso (%)</w:t>
            </w:r>
          </w:p>
        </w:tc>
        <w:tc>
          <w:tcPr>
            <w:tcW w:type="dxa" w:w="187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Autoclave</w:t>
            </w:r>
          </w:p>
        </w:tc>
        <w:tc>
          <w:tcPr>
            <w:tcW w:type="dxa" w:w="187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UV-C</w:t>
            </w:r>
          </w:p>
        </w:tc>
        <w:tc>
          <w:tcPr>
            <w:tcW w:type="dxa" w:w="187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UF</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Seguridad microbiológica</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35</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Cumplimiento regulatorio</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Impacto sensorial</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15</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Impacto sobre proteína</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CAPEX</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OPEX</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TOTAL PONDERADO</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4.2</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3.2</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2.9</w:t>
            </w:r>
          </w:p>
        </w:tc>
      </w:tr>
    </w:tbl>
    <w:p/>
    <w:p>
      <w:pPr>
        <w:jc w:val="both"/>
      </w:pPr>
      <w:r>
        <w:rPr>
          <w:rFonts w:ascii="Calibri" w:hAnsi="Calibri"/>
          <w:b w:val="0"/>
          <w:i w:val="0"/>
          <w:sz w:val="22"/>
        </w:rPr>
        <w:t>El autoclave obtiene el mayor puntaje ponderado (4,2 sobre 5,0), superando a UV-C (3,1) y UF (2,8). La ventaja decisiva radica en la combinación de seguridad microbiológica absoluta y pleno cumplimiento regulatorio, factores que representan el 60% del peso total.</w:t>
      </w:r>
    </w:p>
    <w:p>
      <w:pPr>
        <w:jc w:val="both"/>
      </w:pPr>
      <w:r>
        <w:rPr>
          <w:rFonts w:ascii="Calibri" w:hAnsi="Calibri"/>
          <w:b w:val="0"/>
          <w:i w:val="0"/>
          <w:sz w:val="22"/>
        </w:rPr>
        <w:t>Conclusión: se selecciona autoclave con presión compensada, operando a 115-118 °C durante 8-10 minutos, alcanzando un valor Fo de 3 a 5. La presión compensada es esencial para evitar la deformación de las latas de aluminio durante el ciclo térmico.</w:t>
      </w:r>
    </w:p>
    <w:p>
      <w:pPr>
        <w:pStyle w:val="Heading2"/>
      </w:pPr>
      <w:r>
        <w:t>Llenadora semiautomática</w:t>
      </w:r>
    </w:p>
    <w:p>
      <w:pPr>
        <w:jc w:val="both"/>
      </w:pPr>
      <w:r>
        <w:rPr>
          <w:rFonts w:ascii="Calibri" w:hAnsi="Calibri"/>
          <w:b w:val="0"/>
          <w:i w:val="0"/>
          <w:sz w:val="22"/>
        </w:rPr>
        <w:t>Se seleccionó la llenadora semiautomática modelo BL-A de Orengia &amp; Conforti, fabricante argentino con trayectoria en equipos para la industria de bebidas. El equipo opera a una cadencia de 500 a 600 latas/hora en formato slim 300 ml.</w:t>
      </w:r>
    </w:p>
    <w:p>
      <w:pPr>
        <w:jc w:val="both"/>
      </w:pPr>
      <w:r>
        <w:rPr>
          <w:rFonts w:ascii="Calibri" w:hAnsi="Calibri"/>
          <w:b/>
          <w:i w:val="0"/>
          <w:sz w:val="22"/>
        </w:rPr>
        <w:t>Justificación de la selección frente a alternativas:</w:t>
      </w:r>
    </w:p>
    <w:tbl>
      <w:tblPr>
        <w:jc w:val="center"/>
        <w:tblLayout w:type="fixed"/>
        <w:tblLook w:firstColumn="1" w:firstRow="1" w:lastColumn="0" w:lastRow="0" w:noHBand="0" w:noVBand="1" w:val="04A0"/>
        <w:tblW w:w="9360" w:type="dxa"/>
      </w:tblPr>
      <w:tblGrid>
        <w:gridCol w:w="2160"/>
        <w:gridCol w:w="2160"/>
        <w:gridCol w:w="2160"/>
        <w:gridCol w:w="2160"/>
      </w:tblGrid>
      <w:tr>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Tipo de llenadora</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Cadencia (latas/h)</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Precio est. (USD)</w:t>
            </w:r>
          </w:p>
        </w:tc>
        <w:tc>
          <w:tcPr>
            <w:tcW w:type="dxa" w:w="3744"/>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Evaluación</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Manual / gravedad</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50-300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2.000-5.000</w:t>
            </w:r>
          </w:p>
        </w:tc>
        <w:tc>
          <w:tcPr>
            <w:tcW w:type="dxa" w:w="374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Insuficiente para 50.000 latas/año. Requeriría &gt; 200 horas de llenado/año incluso al mínimo volumen.</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Semiautomática (BL-A)</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500-600</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20.000</w:t>
            </w:r>
          </w:p>
        </w:tc>
        <w:tc>
          <w:tcPr>
            <w:tcW w:type="dxa" w:w="374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Adecuada. 112 horas/año para 50.000 latas. Escalable hasta 420.000 latas con 2 turnos.</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Automática rotativa</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1.200-3.000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50.000-120.000</w:t>
            </w:r>
          </w:p>
        </w:tc>
        <w:tc>
          <w:tcPr>
            <w:tcW w:type="dxa" w:w="374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Sobredimensionada y antieconómica para los primeros 3 años. Justificable solo a partir de 500.000+ latas/año.</w:t>
            </w:r>
          </w:p>
        </w:tc>
      </w:tr>
    </w:tbl>
    <w:p/>
    <w:p>
      <w:pPr>
        <w:jc w:val="both"/>
      </w:pPr>
      <w:r>
        <w:rPr>
          <w:rFonts w:ascii="Calibri" w:hAnsi="Calibri"/>
          <w:b w:val="0"/>
          <w:i w:val="0"/>
          <w:sz w:val="22"/>
        </w:rPr>
        <w:t>Precio de la llenadora BL-A: USD 20.000 (ARS 28.400.000). El equipo incluye dosificador volumétrico de 4 cabezales. sistema de sellado de tapas y mesa de acumulación de entrada.</w:t>
      </w:r>
    </w:p>
    <w:p>
      <w:pPr>
        <w:pStyle w:val="Heading2"/>
      </w:pPr>
      <w:r>
        <w:t>Homogeneizador</w:t>
      </w:r>
    </w:p>
    <w:p>
      <w:pPr>
        <w:jc w:val="both"/>
      </w:pPr>
      <w:r>
        <w:rPr>
          <w:rFonts w:ascii="Calibri" w:hAnsi="Calibri"/>
          <w:b w:val="0"/>
          <w:i w:val="0"/>
          <w:sz w:val="22"/>
        </w:rPr>
        <w:t>El homogeneizador cumple una función esencial en la formulación de Etéreo: dispersar uniformemente la proteína de suero (WPI) en el extracto de café, evitando la sedimentación, la separación de fases y la percepción granulosa en boca.</w:t>
      </w:r>
    </w:p>
    <w:p>
      <w:pPr>
        <w:jc w:val="both"/>
      </w:pPr>
      <w:r>
        <w:rPr>
          <w:rFonts w:ascii="Calibri" w:hAnsi="Calibri"/>
          <w:b/>
          <w:i w:val="0"/>
          <w:sz w:val="22"/>
        </w:rPr>
        <w:t>Especificaciones del equipo seleccionado:</w:t>
      </w:r>
    </w:p>
    <w:tbl>
      <w:tblPr>
        <w:jc w:val="center"/>
        <w:tblLayout w:type="fixed"/>
        <w:tblLook w:firstColumn="1" w:firstRow="1" w:lastColumn="0" w:lastRow="0" w:noHBand="0" w:noVBand="1" w:val="04A0"/>
        <w:tblW w:w="9360" w:type="dxa"/>
      </w:tblPr>
      <w:tblGrid>
        <w:gridCol w:w="4320"/>
        <w:gridCol w:w="4320"/>
      </w:tblGrid>
      <w:tr>
        <w:tc>
          <w:tcPr>
            <w:tcW w:type="dxa" w:w="288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Parámetro</w:t>
            </w:r>
          </w:p>
        </w:tc>
        <w:tc>
          <w:tcPr>
            <w:tcW w:type="dxa" w:w="648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Valor</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Tipo</w:t>
            </w:r>
          </w:p>
        </w:tc>
        <w:tc>
          <w:tcPr>
            <w:tcW w:type="dxa" w:w="64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Homogeneizador de alta presión, 2 etapas</w:t>
            </w:r>
          </w:p>
        </w:tc>
      </w:tr>
      <w:tr>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Presión de operación</w:t>
            </w:r>
          </w:p>
        </w:tc>
        <w:tc>
          <w:tcPr>
            <w:tcW w:type="dxa" w:w="64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150-200 bar (1.ª etapa 150 bar, 2.ª etapa 50 bar)</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Caudal</w:t>
            </w:r>
          </w:p>
        </w:tc>
        <w:tc>
          <w:tcPr>
            <w:tcW w:type="dxa" w:w="64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800 L/h</w:t>
            </w:r>
          </w:p>
        </w:tc>
      </w:tr>
      <w:tr>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Temperatura de entrada</w:t>
            </w:r>
          </w:p>
        </w:tc>
        <w:tc>
          <w:tcPr>
            <w:tcW w:type="dxa" w:w="64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60-65 °C</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Material de contacto</w:t>
            </w:r>
          </w:p>
        </w:tc>
        <w:tc>
          <w:tcPr>
            <w:tcW w:type="dxa" w:w="64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AISI 316L, válvulas de carburo de tungsteno</w:t>
            </w:r>
          </w:p>
        </w:tc>
      </w:tr>
      <w:tr>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Potencia</w:t>
            </w:r>
          </w:p>
        </w:tc>
        <w:tc>
          <w:tcPr>
            <w:tcW w:type="dxa" w:w="64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7,5 kW</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Precio estimado</w:t>
            </w:r>
          </w:p>
        </w:tc>
        <w:tc>
          <w:tcPr>
            <w:tcW w:type="dxa" w:w="64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USD 15.000 (ARS 21.300.000)</w:t>
            </w:r>
          </w:p>
        </w:tc>
      </w:tr>
    </w:tbl>
    <w:p/>
    <w:p>
      <w:pPr>
        <w:jc w:val="both"/>
      </w:pPr>
      <w:r>
        <w:rPr>
          <w:rFonts w:ascii="Calibri" w:hAnsi="Calibri"/>
          <w:b w:val="0"/>
          <w:i w:val="0"/>
          <w:sz w:val="22"/>
        </w:rPr>
        <w:t>La homogeneización en dos etapas permite reducir el tamaño de partícula del WPI a menos de 1 µm, generando una emulsión estable que resiste el tratamiento térmico posterior en autoclave sin precipitación significativa. La temperatura de entrada de 60-65 °C favorece la solubilización completa de la proteína antes de la reducción de tamaño de partícula.</w:t>
      </w:r>
    </w:p>
    <w:p>
      <w:pPr>
        <w:pStyle w:val="Heading2"/>
      </w:pPr>
      <w:r>
        <w:t>Sistema CIP</w:t>
      </w:r>
    </w:p>
    <w:p>
      <w:pPr>
        <w:jc w:val="both"/>
      </w:pPr>
      <w:r>
        <w:rPr>
          <w:rFonts w:ascii="Calibri" w:hAnsi="Calibri"/>
          <w:b w:val="0"/>
          <w:i w:val="0"/>
          <w:sz w:val="22"/>
        </w:rPr>
        <w:t>El sistema de limpieza en sitio (CIP, Clean In Place) es obligatorio para garantizar la inocuidad alimentaria y cumplir con las Buenas Prácticas de Manufactura (BPM) exigidas por ANMAT. El protocolo de limpieza de 6 etapas se ejecuta al finalizar cada lote de producción.</w:t>
      </w:r>
    </w:p>
    <w:p>
      <w:pPr>
        <w:jc w:val="both"/>
      </w:pPr>
      <w:r>
        <w:rPr>
          <w:rFonts w:ascii="Calibri" w:hAnsi="Calibri"/>
          <w:b/>
          <w:i w:val="0"/>
          <w:sz w:val="22"/>
        </w:rPr>
        <w:t>Protocolo CIP de 6 etapas:</w:t>
      </w:r>
    </w:p>
    <w:tbl>
      <w:tblPr>
        <w:jc w:val="center"/>
        <w:tblLayout w:type="fixed"/>
        <w:tblLook w:firstColumn="1" w:firstRow="1" w:lastColumn="0" w:lastRow="0" w:noHBand="0" w:noVBand="1" w:val="04A0"/>
        <w:tblW w:w="9360" w:type="dxa"/>
      </w:tblPr>
      <w:tblGrid>
        <w:gridCol w:w="1728"/>
        <w:gridCol w:w="1728"/>
        <w:gridCol w:w="1728"/>
        <w:gridCol w:w="1728"/>
        <w:gridCol w:w="1728"/>
      </w:tblGrid>
      <w:tr>
        <w:tc>
          <w:tcPr>
            <w:tcW w:type="dxa" w:w="187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Etapa</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Solución</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Temperatura</w:t>
            </w:r>
          </w:p>
        </w:tc>
        <w:tc>
          <w:tcPr>
            <w:tcW w:type="dxa" w:w="115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Duración</w:t>
            </w:r>
          </w:p>
        </w:tc>
        <w:tc>
          <w:tcPr>
            <w:tcW w:type="dxa" w:w="316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Objetivo</w:t>
            </w:r>
          </w:p>
        </w:tc>
      </w:tr>
      <w:tr>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Pre-enjuague</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Agua potable</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Ambiente</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10 min</w:t>
            </w:r>
          </w:p>
        </w:tc>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Remoción de residuos gruesos</w:t>
            </w:r>
          </w:p>
        </w:tc>
      </w:tr>
      <w:tr>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Lavado alcalino</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NaOH 1,5%</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75 °C</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20 min</w:t>
            </w:r>
          </w:p>
        </w:tc>
        <w:tc>
          <w:tcPr>
            <w:tcW w:type="dxa" w:w="31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Disolución de grasas y proteínas</w:t>
            </w:r>
          </w:p>
        </w:tc>
      </w:tr>
      <w:tr>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 Enjuague intermedio</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Agua potable</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Ambiente</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10 min</w:t>
            </w:r>
          </w:p>
        </w:tc>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Remoción de álcali residual</w:t>
            </w:r>
          </w:p>
        </w:tc>
      </w:tr>
      <w:tr>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4. Lavado ácido</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HNO₃ 0,8%</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60 °C</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15 min</w:t>
            </w:r>
          </w:p>
        </w:tc>
        <w:tc>
          <w:tcPr>
            <w:tcW w:type="dxa" w:w="31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Remoción de depósitos minerales</w:t>
            </w:r>
          </w:p>
        </w:tc>
      </w:tr>
      <w:tr>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 Enjuague final</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Agua potable</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Ambiente</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10 min</w:t>
            </w:r>
          </w:p>
        </w:tc>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Remoción de ácido residual</w:t>
            </w:r>
          </w:p>
        </w:tc>
      </w:tr>
      <w:tr>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6. Sanitización</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Ác. peracético 0,1%</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Ambiente</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10 min</w:t>
            </w:r>
          </w:p>
        </w:tc>
        <w:tc>
          <w:tcPr>
            <w:tcW w:type="dxa" w:w="31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Desinfección final de superficies</w:t>
            </w:r>
          </w:p>
        </w:tc>
      </w:tr>
    </w:tbl>
    <w:p/>
    <w:p>
      <w:pPr>
        <w:jc w:val="both"/>
      </w:pPr>
      <w:r>
        <w:rPr>
          <w:rFonts w:ascii="Calibri" w:hAnsi="Calibri"/>
          <w:b/>
          <w:i w:val="0"/>
          <w:sz w:val="22"/>
        </w:rPr>
        <w:t>Componentes del sistema CIP:</w:t>
      </w:r>
    </w:p>
    <w:tbl>
      <w:tblPr>
        <w:jc w:val="center"/>
        <w:tblLayout w:type="fixed"/>
        <w:tblLook w:firstColumn="1" w:firstRow="1" w:lastColumn="0" w:lastRow="0" w:noHBand="0" w:noVBand="1" w:val="04A0"/>
        <w:tblW w:w="9360" w:type="dxa"/>
      </w:tblPr>
      <w:tblGrid>
        <w:gridCol w:w="2880"/>
        <w:gridCol w:w="2880"/>
        <w:gridCol w:w="2880"/>
      </w:tblGrid>
      <w:tr>
        <w:tc>
          <w:tcPr>
            <w:tcW w:type="dxa" w:w="288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Componente</w:t>
            </w:r>
          </w:p>
        </w:tc>
        <w:tc>
          <w:tcPr>
            <w:tcW w:type="dxa" w:w="432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Especificación</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Cantidad</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Tanque solución alcalina</w:t>
            </w:r>
          </w:p>
        </w:tc>
        <w:tc>
          <w:tcPr>
            <w:tcW w:type="dxa" w:w="43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500 L, AISI 304, resistencia eléctrica</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w:t>
            </w:r>
          </w:p>
        </w:tc>
      </w:tr>
      <w:tr>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Tanque solución ácida</w:t>
            </w:r>
          </w:p>
        </w:tc>
        <w:tc>
          <w:tcPr>
            <w:tcW w:type="dxa" w:w="43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500 L, AISI 304, resistencia eléctrica</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Tanque agua de enjuague</w:t>
            </w:r>
          </w:p>
        </w:tc>
        <w:tc>
          <w:tcPr>
            <w:tcW w:type="dxa" w:w="43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500 L, AISI 304</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w:t>
            </w:r>
          </w:p>
        </w:tc>
      </w:tr>
      <w:tr>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Bomba centrífuga CIP</w:t>
            </w:r>
          </w:p>
        </w:tc>
        <w:tc>
          <w:tcPr>
            <w:tcW w:type="dxa" w:w="43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3.000 L/h, 3 bar, AISI 316L</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Intercambiador de calor</w:t>
            </w:r>
          </w:p>
        </w:tc>
        <w:tc>
          <w:tcPr>
            <w:tcW w:type="dxa" w:w="43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Placas, 20 kW</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w:t>
            </w:r>
          </w:p>
        </w:tc>
      </w:tr>
      <w:tr>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Tablero de control</w:t>
            </w:r>
          </w:p>
        </w:tc>
        <w:tc>
          <w:tcPr>
            <w:tcW w:type="dxa" w:w="43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Automatización secuencia y temperaturas</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w:t>
            </w:r>
          </w:p>
        </w:tc>
      </w:tr>
    </w:tbl>
    <w:p/>
    <w:p>
      <w:pPr>
        <w:jc w:val="both"/>
      </w:pPr>
      <w:r>
        <w:rPr>
          <w:rFonts w:ascii="Calibri" w:hAnsi="Calibri"/>
          <w:b w:val="0"/>
          <w:i w:val="0"/>
          <w:sz w:val="22"/>
        </w:rPr>
        <w:t>Inversión total del sistema CIP: USD 10.000 (ARS 14.200.000). El costo operativo por ciclo de limpieza se estima en ARS 15.000 (productos químicos. energía y agua).</w:t>
      </w:r>
    </w:p>
    <w:p>
      <w:pPr>
        <w:pStyle w:val="Heading1"/>
      </w:pPr>
      <w:r>
        <w:t>LOCALIZACIÓN E INVERSIÓN</w:t>
      </w:r>
    </w:p>
    <w:p>
      <w:pPr>
        <w:pStyle w:val="Heading2"/>
      </w:pPr>
      <w:r>
        <w:t>Análisis de localización</w:t>
      </w:r>
    </w:p>
    <w:p>
      <w:pPr>
        <w:jc w:val="both"/>
      </w:pPr>
      <w:r>
        <w:rPr>
          <w:rFonts w:ascii="Calibri" w:hAnsi="Calibri"/>
          <w:b w:val="0"/>
          <w:i w:val="0"/>
          <w:sz w:val="22"/>
        </w:rPr>
        <w:t>La selección de la localización de la planta productiva se realizó mediante una matriz de factores ponderados, comparando dos alternativas: Gran Mendoza (provincia de Mendoza) y GBA-Pilar (zona norte del Gran Buenos Aires, provincia de Buenos Aires). Ambas localizaciones ofrecen parques industriales con habilitación para industria alimentaria.</w:t>
      </w:r>
    </w:p>
    <w:tbl>
      <w:tblPr>
        <w:jc w:val="center"/>
        <w:tblLayout w:type="fixed"/>
        <w:tblLook w:firstColumn="1" w:firstRow="1" w:lastColumn="0" w:lastRow="0" w:noHBand="0" w:noVBand="1" w:val="04A0"/>
        <w:tblW w:w="9360" w:type="dxa"/>
      </w:tblPr>
      <w:tblGrid>
        <w:gridCol w:w="2160"/>
        <w:gridCol w:w="2160"/>
        <w:gridCol w:w="2160"/>
        <w:gridCol w:w="2160"/>
      </w:tblGrid>
      <w:tr>
        <w:tc>
          <w:tcPr>
            <w:tcW w:type="dxa" w:w="360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Factor</w:t>
            </w:r>
          </w:p>
        </w:tc>
        <w:tc>
          <w:tcPr>
            <w:tcW w:type="dxa" w:w="115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Peso (%)</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Mendoza (1-5)</w:t>
            </w:r>
          </w:p>
        </w:tc>
        <w:tc>
          <w:tcPr>
            <w:tcW w:type="dxa" w:w="244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GBA-Pilar (1-5)</w:t>
            </w:r>
          </w:p>
        </w:tc>
      </w:tr>
      <w:tr>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Proximidad al mercado objetivo</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w:t>
            </w:r>
          </w:p>
        </w:tc>
        <w:tc>
          <w:tcPr>
            <w:tcW w:type="dxa" w:w="244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r>
      <w:tr>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Costo de alquiler industrial</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15</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c>
          <w:tcPr>
            <w:tcW w:type="dxa" w:w="244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r>
      <w:tr>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Disponibilidad de mano de obra calificada</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c>
          <w:tcPr>
            <w:tcW w:type="dxa" w:w="244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r>
      <w:tr>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Logística de insumos (café, WPI, envases)</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15</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w:t>
            </w:r>
          </w:p>
        </w:tc>
        <w:tc>
          <w:tcPr>
            <w:tcW w:type="dxa" w:w="244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r>
      <w:tr>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Logística de distribución (AMBA)</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w:t>
            </w:r>
          </w:p>
        </w:tc>
        <w:tc>
          <w:tcPr>
            <w:tcW w:type="dxa" w:w="244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r>
      <w:tr>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Costo y disponibilidad de servicios</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c>
          <w:tcPr>
            <w:tcW w:type="dxa" w:w="244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r>
      <w:tr>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Accesibilidad a ANMAT/INAL</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w:t>
            </w:r>
          </w:p>
        </w:tc>
        <w:tc>
          <w:tcPr>
            <w:tcW w:type="dxa" w:w="244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r>
      <w:tr>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Calidad de vida del equipo fundador</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c>
          <w:tcPr>
            <w:tcW w:type="dxa" w:w="244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r>
      <w:tr>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Ecosistema industrial alimentario</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c>
          <w:tcPr>
            <w:tcW w:type="dxa" w:w="244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r>
    </w:tbl>
    <w:p/>
    <w:p>
      <w:pPr>
        <w:jc w:val="both"/>
      </w:pPr>
      <w:r>
        <w:rPr>
          <w:rFonts w:ascii="Calibri" w:hAnsi="Calibri"/>
          <w:b w:val="0"/>
          <w:i w:val="0"/>
          <w:sz w:val="22"/>
        </w:rPr>
        <w:t>Puntaje ponderado: Gran Mendoza = 2.7; GBA-Pilar = 4.1. La diferencia de 1.4 puntos a favor de GBA-Pilar se explica principalmente por la proximidad al mercado AMBA (que concentra más del 70% de la demanda objetivo), la cercanía a proveedores de insumos importados y la superior infraestructura logística.</w:t>
      </w:r>
    </w:p>
    <w:p>
      <w:pPr>
        <w:jc w:val="both"/>
      </w:pPr>
      <w:r>
        <w:rPr>
          <w:rFonts w:ascii="Calibri" w:hAnsi="Calibri"/>
          <w:b w:val="0"/>
          <w:i w:val="0"/>
          <w:sz w:val="22"/>
        </w:rPr>
        <w:t>Conclusión: se recomienda GBA-Pilar como localización óptima para la planta de Etéreo. La ventaja competitiva en proximidad al mercado y a la cadena de suministro compensa holgadamente el mayor costo de alquiler respecto de Mendoza.</w:t>
      </w:r>
    </w:p>
    <w:p>
      <w:pPr>
        <w:pStyle w:val="Heading2"/>
      </w:pPr>
      <w:r>
        <w:t>Costos de alquiler y distribución de planta</w:t>
      </w:r>
    </w:p>
    <w:p>
      <w:pPr>
        <w:jc w:val="both"/>
      </w:pPr>
      <w:r>
        <w:rPr>
          <w:rFonts w:ascii="Calibri" w:hAnsi="Calibri"/>
          <w:b w:val="0"/>
          <w:i w:val="0"/>
          <w:sz w:val="22"/>
        </w:rPr>
        <w:t>La planta requiere una superficie total de 300 m², distribuida en las siguientes áreas funcionales:</w:t>
      </w:r>
    </w:p>
    <w:tbl>
      <w:tblPr>
        <w:jc w:val="center"/>
        <w:tblLayout w:type="fixed"/>
        <w:tblLook w:firstColumn="1" w:firstRow="1" w:lastColumn="0" w:lastRow="0" w:noHBand="0" w:noVBand="1" w:val="04A0"/>
        <w:tblW w:w="9360" w:type="dxa"/>
      </w:tblPr>
      <w:tblGrid>
        <w:gridCol w:w="2880"/>
        <w:gridCol w:w="2880"/>
        <w:gridCol w:w="2880"/>
      </w:tblGrid>
      <w:tr>
        <w:tc>
          <w:tcPr>
            <w:tcW w:type="dxa" w:w="288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Área</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Superficie (m²)</w:t>
            </w:r>
          </w:p>
        </w:tc>
        <w:tc>
          <w:tcPr>
            <w:tcW w:type="dxa" w:w="475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Función</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Producción</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120</w:t>
            </w:r>
          </w:p>
        </w:tc>
        <w:tc>
          <w:tcPr>
            <w:tcW w:type="dxa" w:w="47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Línea de proceso, equipos principales, llenado</w:t>
            </w:r>
          </w:p>
        </w:tc>
      </w:tr>
      <w:tr>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Almacenamiento de insumos</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30</w:t>
            </w:r>
          </w:p>
        </w:tc>
        <w:tc>
          <w:tcPr>
            <w:tcW w:type="dxa" w:w="47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Café verde/tostado, WPI, envases, químicos CIP</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Almacenamiento de PT</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w:t>
            </w:r>
          </w:p>
        </w:tc>
        <w:tc>
          <w:tcPr>
            <w:tcW w:type="dxa" w:w="47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Producto terminado, pallets, despacho</w:t>
            </w:r>
          </w:p>
        </w:tc>
      </w:tr>
      <w:tr>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Laboratorio de calidad</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w:t>
            </w:r>
          </w:p>
        </w:tc>
        <w:tc>
          <w:tcPr>
            <w:tcW w:type="dxa" w:w="47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Control de proceso, análisis fisicoquímicos y micro</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Oficina y administración</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30</w:t>
            </w:r>
          </w:p>
        </w:tc>
        <w:tc>
          <w:tcPr>
            <w:tcW w:type="dxa" w:w="47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Gestión, compras, ventas, dirección técnica</w:t>
            </w:r>
          </w:p>
        </w:tc>
      </w:tr>
      <w:tr>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Sala CIP y utilidades</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30</w:t>
            </w:r>
          </w:p>
        </w:tc>
        <w:tc>
          <w:tcPr>
            <w:tcW w:type="dxa" w:w="47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Sistema CIP, tablero eléctrico, compresor, RO</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Vestuarios y sanitarios</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w:t>
            </w:r>
          </w:p>
        </w:tc>
        <w:tc>
          <w:tcPr>
            <w:tcW w:type="dxa" w:w="47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Personal, cumplimiento BPM</w:t>
            </w:r>
          </w:p>
        </w:tc>
      </w:tr>
      <w:tr>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Circulación y pasillos</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30</w:t>
            </w:r>
          </w:p>
        </w:tc>
        <w:tc>
          <w:tcPr>
            <w:tcW w:type="dxa" w:w="47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Acceso, carga/descarga, emergencia</w:t>
            </w:r>
          </w:p>
        </w:tc>
      </w:tr>
      <w:tr>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TOTAL</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300</w:t>
            </w:r>
          </w:p>
        </w:tc>
        <w:tc>
          <w:tcPr>
            <w:tcW w:type="dxa" w:w="47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r>
    </w:tbl>
    <w:p/>
    <w:p>
      <w:pPr>
        <w:jc w:val="both"/>
      </w:pPr>
      <w:r>
        <w:rPr>
          <w:rFonts w:ascii="Calibri" w:hAnsi="Calibri"/>
          <w:b w:val="0"/>
          <w:i w:val="0"/>
          <w:sz w:val="22"/>
        </w:rPr>
        <w:t>El costo de alquiler industrial en la zona de Pilar (GBA norte) se estima en USD 8/m²/mes para naves industriales con habilitación alimentaria. Para 300 m²: USD 2.400/mes = ARS 3.408.000/mes (ARS 40.896.000/año).</w:t>
      </w:r>
    </w:p>
    <w:p>
      <w:pPr>
        <w:pStyle w:val="Heading2"/>
      </w:pPr>
      <w:r>
        <w:t>Logística de insumos</w:t>
      </w:r>
    </w:p>
    <w:p>
      <w:pPr>
        <w:jc w:val="both"/>
      </w:pPr>
      <w:r>
        <w:rPr>
          <w:rFonts w:ascii="Calibri" w:hAnsi="Calibri"/>
          <w:b w:val="0"/>
          <w:i w:val="0"/>
          <w:sz w:val="22"/>
        </w:rPr>
        <w:t>La cadena de abastecimiento de Etéreo involucra cuatro insumos principales, cuya disponibilidad y costo logístico fueron evaluados para la localización GBA-Pilar.</w:t>
      </w:r>
    </w:p>
    <w:tbl>
      <w:tblPr>
        <w:jc w:val="center"/>
        <w:tblLayout w:type="fixed"/>
        <w:tblLook w:firstColumn="1" w:firstRow="1" w:lastColumn="0" w:lastRow="0" w:noHBand="0" w:noVBand="1" w:val="04A0"/>
        <w:tblW w:w="9360" w:type="dxa"/>
      </w:tblPr>
      <w:tblGrid>
        <w:gridCol w:w="1728"/>
        <w:gridCol w:w="1728"/>
        <w:gridCol w:w="1728"/>
        <w:gridCol w:w="1728"/>
        <w:gridCol w:w="1728"/>
      </w:tblGrid>
      <w:tr>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Insumo</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Origen principal</w:t>
            </w:r>
          </w:p>
        </w:tc>
        <w:tc>
          <w:tcPr>
            <w:tcW w:type="dxa" w:w="115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Lead time</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Flete estimado</w:t>
            </w:r>
          </w:p>
        </w:tc>
        <w:tc>
          <w:tcPr>
            <w:tcW w:type="dxa" w:w="288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Observaciones</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Café tostado specialty</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Importación (Colombia, Brasil) vía puerto BA</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30-45 días</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Incluido en precio CIF</w:t>
            </w:r>
          </w:p>
        </w:tc>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Alternativa: tostadores locales BA (menor lead time, mayor costo/kg)</w:t>
            </w:r>
          </w:p>
        </w:tc>
      </w:tr>
      <w:tr>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WPI 90%</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Importación (EE.UU., Europa) vía importadores BA</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15-30 días</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Incluido en precio puesto en depósito</w:t>
            </w:r>
          </w:p>
        </w:tc>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Proveedores: Arla, Glanbia, Hilmar (rep. locales)</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Latas aluminio 300 ml slim + tapas</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Ball Argentina (Luján, BA) o import.</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30-60 días</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ARS 50.000/paleta (Luján-Pilar)</w:t>
            </w:r>
          </w:p>
        </w:tc>
        <w:tc>
          <w:tcPr>
            <w:tcW w:type="dxa" w:w="288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MOQ: 10.000 unidades. Litografía a pedido.</w:t>
            </w:r>
          </w:p>
        </w:tc>
      </w:tr>
      <w:tr>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Productos químicos CIP</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Distribuidores zona norte GBA</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3-7 días</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Incluido en precio</w:t>
            </w:r>
          </w:p>
        </w:tc>
        <w:tc>
          <w:tcPr>
            <w:tcW w:type="dxa" w:w="288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NaOH, HNO₃, ácido peracético (grado alimentario)</w:t>
            </w:r>
          </w:p>
        </w:tc>
      </w:tr>
    </w:tbl>
    <w:p/>
    <w:p>
      <w:pPr>
        <w:jc w:val="both"/>
      </w:pPr>
      <w:r>
        <w:rPr>
          <w:rFonts w:ascii="Calibri" w:hAnsi="Calibri"/>
          <w:b w:val="0"/>
          <w:i w:val="0"/>
          <w:sz w:val="22"/>
        </w:rPr>
        <w:t>La localización en GBA-Pilar presenta una ventaja logística clara: proximidad al puerto de Buenos Aires (60 km), acceso directo a Panamericana y cercanía a los principales importadores y distribuidores de insumos alimentarios del país.</w:t>
      </w:r>
    </w:p>
    <w:p>
      <w:pPr>
        <w:pStyle w:val="Heading2"/>
      </w:pPr>
      <w:r>
        <w:t>CAPEX consolidado</w:t>
      </w:r>
    </w:p>
    <w:p>
      <w:pPr>
        <w:jc w:val="both"/>
      </w:pPr>
      <w:r>
        <w:rPr>
          <w:rFonts w:ascii="Calibri" w:hAnsi="Calibri"/>
          <w:b w:val="0"/>
          <w:i w:val="0"/>
          <w:sz w:val="22"/>
        </w:rPr>
        <w:t>A continuación se presenta la inversión total requerida para la puesta en marcha de la planta de Etéreo, consolidando maquinaria, instalaciones, capital de trabajo y gastos preoperativos. Tipo de cambio: USD 1 = ARS 1.420.</w:t>
      </w:r>
    </w:p>
    <w:tbl>
      <w:tblPr>
        <w:jc w:val="center"/>
        <w:tblLayout w:type="fixed"/>
        <w:tblLook w:firstColumn="1" w:firstRow="1" w:lastColumn="0" w:lastRow="0" w:noHBand="0" w:noVBand="1" w:val="04A0"/>
        <w:tblW w:w="9360" w:type="dxa"/>
      </w:tblPr>
      <w:tblGrid>
        <w:gridCol w:w="2160"/>
        <w:gridCol w:w="2160"/>
        <w:gridCol w:w="2160"/>
        <w:gridCol w:w="2160"/>
      </w:tblGrid>
      <w:tr>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Rubro</w:t>
            </w:r>
          </w:p>
        </w:tc>
        <w:tc>
          <w:tcPr>
            <w:tcW w:type="dxa" w:w="115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USD</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ARS</w:t>
            </w:r>
          </w:p>
        </w:tc>
        <w:tc>
          <w:tcPr>
            <w:tcW w:type="dxa" w:w="388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Detalle</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Maquinaria y equipamiento</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155.000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220.100.000</w:t>
            </w:r>
          </w:p>
        </w:tc>
        <w:tc>
          <w:tcPr>
            <w:tcW w:type="dxa" w:w="388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Equipos de proceso, llenado, CIP, instrumentación, instalación</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Instalaciones complementarias</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50.000</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71.000.000</w:t>
            </w:r>
          </w:p>
        </w:tc>
        <w:tc>
          <w:tcPr>
            <w:tcW w:type="dxa" w:w="388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Eléctrica trifásica, sanitaria, HVAC, sala presión positiva, pisos epoxi</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Capital de trabajo (3 meses)</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52.000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73.840.000</w:t>
            </w:r>
          </w:p>
        </w:tc>
        <w:tc>
          <w:tcPr>
            <w:tcW w:type="dxa" w:w="388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Insumos iniciales, sueldos, alquiler, servicios (3 meses de costos operativos)</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Gastos preoperativos</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25.000</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35.500.000</w:t>
            </w:r>
          </w:p>
        </w:tc>
        <w:tc>
          <w:tcPr>
            <w:tcW w:type="dxa" w:w="388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Trámites ANMAT/RNE/RNPA, análisis laboratorio, prototipos, legal, marcas</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TOTAL INVERSIÓN</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282.000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400.440.000</w:t>
            </w:r>
          </w:p>
        </w:tc>
        <w:tc>
          <w:tcPr>
            <w:tcW w:type="dxa" w:w="388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r>
    </w:tbl>
    <w:p/>
    <w:p>
      <w:pPr>
        <w:jc w:val="both"/>
      </w:pPr>
      <w:r>
        <w:rPr>
          <w:rFonts w:ascii="Calibri" w:hAnsi="Calibri"/>
          <w:b w:val="0"/>
          <w:i w:val="0"/>
          <w:sz w:val="22"/>
        </w:rPr>
        <w:t>La inversión total del proyecto asciende a USD 282.000 (ARS 400.440.000). El componente de maquinaria representa el 55% del total. seguido por capital de trabajo (18%). instalaciones (18%) y gastos preoperativos (9%).</w:t>
      </w:r>
    </w:p>
    <w:p>
      <w:pPr>
        <w:pStyle w:val="Heading1"/>
      </w:pPr>
      <w:r>
        <w:t>EVALUACIÓN ECONÓMICO-FINANCIERA</w:t>
      </w:r>
    </w:p>
    <w:p>
      <w:pPr>
        <w:pStyle w:val="Heading2"/>
      </w:pPr>
      <w:r>
        <w:t>Costos fijos mensuales</w:t>
      </w:r>
    </w:p>
    <w:p>
      <w:pPr>
        <w:jc w:val="both"/>
      </w:pPr>
      <w:r>
        <w:rPr>
          <w:rFonts w:ascii="Calibri" w:hAnsi="Calibri"/>
          <w:b w:val="0"/>
          <w:i w:val="0"/>
          <w:sz w:val="22"/>
        </w:rPr>
        <w:t>Los costos fijos comprenden aquellos rubros cuyo monto mensual es independiente del volumen de producción. Se incluyen cargas sociales del 45% sobre sueldos brutos (aportes patronales a jubilación, obra social, ART, seguro de vida obligatorio).</w:t>
      </w:r>
    </w:p>
    <w:tbl>
      <w:tblPr>
        <w:jc w:val="center"/>
        <w:tblLayout w:type="fixed"/>
        <w:tblLook w:firstColumn="1" w:firstRow="1" w:lastColumn="0" w:lastRow="0" w:noHBand="0" w:noVBand="1" w:val="04A0"/>
        <w:tblW w:w="9360" w:type="dxa"/>
      </w:tblPr>
      <w:tblGrid>
        <w:gridCol w:w="2160"/>
        <w:gridCol w:w="2160"/>
        <w:gridCol w:w="2160"/>
        <w:gridCol w:w="2160"/>
      </w:tblGrid>
      <w:tr>
        <w:tc>
          <w:tcPr>
            <w:tcW w:type="dxa" w:w="259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Concepto</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Detalle</w:t>
            </w:r>
          </w:p>
        </w:tc>
        <w:tc>
          <w:tcPr>
            <w:tcW w:type="dxa" w:w="187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Monto bruto (ARS/mes)</w:t>
            </w:r>
          </w:p>
        </w:tc>
        <w:tc>
          <w:tcPr>
            <w:tcW w:type="dxa" w:w="273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Con cargas (ARS/mes)</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Operarios (×2)</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Jornada completa, conv. alimentación</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1.800.000</w:t>
            </w:r>
          </w:p>
        </w:tc>
        <w:tc>
          <w:tcPr>
            <w:tcW w:type="dxa" w:w="273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2.610.000</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Director Técnico</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Part-time, habilitación ANMAT</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600.000</w:t>
            </w:r>
          </w:p>
        </w:tc>
        <w:tc>
          <w:tcPr>
            <w:tcW w:type="dxa" w:w="273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870.000</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Administrativo (×1)</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Compras, ventas, logística</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700.000</w:t>
            </w:r>
          </w:p>
        </w:tc>
        <w:tc>
          <w:tcPr>
            <w:tcW w:type="dxa" w:w="273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1.015.000</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Subtotal sueldos</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3.100.000</w:t>
            </w:r>
          </w:p>
        </w:tc>
        <w:tc>
          <w:tcPr>
            <w:tcW w:type="dxa" w:w="273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4.495.000</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Alquiler industrial 300 m²</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USD 8/m²/mes, Pilar</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273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3.408.000</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Servicios (luz, gas, agua)</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Tarifa industrial</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273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450.000</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Internet y telefonía</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273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50.000</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Seguros (planta, RC, mercadería)</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273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200.000</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Mantenimiento (4% CAPEX anual / 12)</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Preventivo y correctivo</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273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735.000</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Varios e imprevistos</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 sobre subtotal</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273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145.000</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TOTAL COSTOS FIJOS MENSUALES</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273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9.483.000</w:t>
            </w:r>
          </w:p>
        </w:tc>
      </w:tr>
    </w:tbl>
    <w:p/>
    <w:p>
      <w:pPr>
        <w:jc w:val="both"/>
      </w:pPr>
      <w:r>
        <w:rPr>
          <w:rFonts w:ascii="Calibri" w:hAnsi="Calibri"/>
          <w:b w:val="0"/>
          <w:i w:val="0"/>
          <w:sz w:val="22"/>
        </w:rPr>
        <w:t>El costo fijo mensual totaliza ARS 9.483.000. equivalente a ARS 113.796.000/año (USD 80.138/año). Este nivel de costos fijos determina un punto de equilibrio relativamente elevado. como se analiza más adelante.</w:t>
      </w:r>
    </w:p>
    <w:p>
      <w:pPr>
        <w:pStyle w:val="Heading2"/>
      </w:pPr>
      <w:r>
        <w:t>Costos variables por lata</w:t>
      </w:r>
    </w:p>
    <w:p>
      <w:pPr>
        <w:jc w:val="both"/>
      </w:pPr>
      <w:r>
        <w:rPr>
          <w:rFonts w:ascii="Calibri" w:hAnsi="Calibri"/>
          <w:b w:val="0"/>
          <w:i w:val="0"/>
          <w:sz w:val="22"/>
        </w:rPr>
        <w:t>Los costos variables se calculan por unidad de producto terminado (una lata de 300 ml). Se presenta el escenario base con café importado, que resulta significativamente más económico que el café specialty local.</w:t>
      </w:r>
    </w:p>
    <w:p>
      <w:pPr>
        <w:jc w:val="both"/>
      </w:pPr>
      <w:r>
        <w:rPr>
          <w:rFonts w:ascii="Calibri" w:hAnsi="Calibri"/>
          <w:b/>
          <w:i w:val="0"/>
          <w:sz w:val="22"/>
        </w:rPr>
        <w:t>Escenario base: café importado (USD 14/kg CIF Buenos Aires):</w:t>
      </w:r>
    </w:p>
    <w:tbl>
      <w:tblPr>
        <w:jc w:val="center"/>
        <w:tblLayout w:type="fixed"/>
        <w:tblLook w:firstColumn="1" w:firstRow="1" w:lastColumn="0" w:lastRow="0" w:noHBand="0" w:noVBand="1" w:val="04A0"/>
        <w:tblW w:w="9360" w:type="dxa"/>
      </w:tblPr>
      <w:tblGrid>
        <w:gridCol w:w="2160"/>
        <w:gridCol w:w="2160"/>
        <w:gridCol w:w="2160"/>
        <w:gridCol w:w="2160"/>
      </w:tblGrid>
      <w:tr>
        <w:tc>
          <w:tcPr>
            <w:tcW w:type="dxa" w:w="259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Insumo</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Cantidad/lata</w:t>
            </w:r>
          </w:p>
        </w:tc>
        <w:tc>
          <w:tcPr>
            <w:tcW w:type="dxa" w:w="259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Costo unitario</w:t>
            </w:r>
          </w:p>
        </w:tc>
        <w:tc>
          <w:tcPr>
            <w:tcW w:type="dxa" w:w="273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Costo/lata (ARS)</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Café tostado importado</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47 g</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USD 14/kg (ARS 19.880/kg)</w:t>
            </w:r>
          </w:p>
        </w:tc>
        <w:tc>
          <w:tcPr>
            <w:tcW w:type="dxa" w:w="273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934</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WPI 90%</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22,2 g</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USD 25/kg (ARS 35.500/kg)</w:t>
            </w:r>
          </w:p>
        </w:tc>
        <w:tc>
          <w:tcPr>
            <w:tcW w:type="dxa" w:w="273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788</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Envase aluminio 300 ml + tapa</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unidad</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USD 0,12 (ARS 170)</w:t>
            </w:r>
          </w:p>
        </w:tc>
        <w:tc>
          <w:tcPr>
            <w:tcW w:type="dxa" w:w="273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170</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Etiqueta termocontraíble</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unidad</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ARS 43</w:t>
            </w:r>
          </w:p>
        </w:tc>
        <w:tc>
          <w:tcPr>
            <w:tcW w:type="dxa" w:w="273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43</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Energía (prorrateo por lata)</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0,15 kWh equiv.</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ARS 367/kWh</w:t>
            </w:r>
          </w:p>
        </w:tc>
        <w:tc>
          <w:tcPr>
            <w:tcW w:type="dxa" w:w="273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55</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Agua RO + insumos CIP</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Prorrateo</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c>
          <w:tcPr>
            <w:tcW w:type="dxa" w:w="273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35</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TOTAL VARIABLE POR LATA</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c>
          <w:tcPr>
            <w:tcW w:type="dxa" w:w="273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2.025</w:t>
            </w:r>
          </w:p>
        </w:tc>
      </w:tr>
    </w:tbl>
    <w:p/>
    <w:p>
      <w:pPr>
        <w:jc w:val="both"/>
      </w:pPr>
      <w:r>
        <w:rPr>
          <w:rFonts w:ascii="Calibri" w:hAnsi="Calibri"/>
          <w:b/>
          <w:i/>
          <w:sz w:val="22"/>
        </w:rPr>
        <w:t>Escenario alternativo: café specialty local (ARS 55.000/kg):</w:t>
      </w:r>
    </w:p>
    <w:tbl>
      <w:tblPr>
        <w:jc w:val="center"/>
        <w:tblLayout w:type="fixed"/>
        <w:tblLook w:firstColumn="1" w:firstRow="1" w:lastColumn="0" w:lastRow="0" w:noHBand="0" w:noVBand="1" w:val="04A0"/>
        <w:tblW w:w="9360" w:type="dxa"/>
      </w:tblPr>
      <w:tblGrid>
        <w:gridCol w:w="2880"/>
        <w:gridCol w:w="2880"/>
        <w:gridCol w:w="2880"/>
      </w:tblGrid>
      <w:tr>
        <w:tc>
          <w:tcPr>
            <w:tcW w:type="dxa" w:w="360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Insumo</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Costo/lata local (ARS)</w:t>
            </w:r>
          </w:p>
        </w:tc>
        <w:tc>
          <w:tcPr>
            <w:tcW w:type="dxa" w:w="360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Diferencia vs. importado</w:t>
            </w:r>
          </w:p>
        </w:tc>
      </w:tr>
      <w:tr>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Café local (47 g × ARS 55.000/kg)</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2.585</w:t>
            </w:r>
          </w:p>
        </w:tc>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+1.651 (+177%)</w:t>
            </w:r>
          </w:p>
        </w:tc>
      </w:tr>
      <w:tr>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Demás insumos (sin cambio)</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1.091</w:t>
            </w:r>
          </w:p>
        </w:tc>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0</w:t>
            </w:r>
          </w:p>
        </w:tc>
      </w:tr>
      <w:tr>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TOTAL VARIABLE LOCAL</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3.676</w:t>
            </w:r>
          </w:p>
        </w:tc>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+1.651 (+82%)</w:t>
            </w:r>
          </w:p>
        </w:tc>
      </w:tr>
    </w:tbl>
    <w:p/>
    <w:p>
      <w:pPr>
        <w:jc w:val="both"/>
      </w:pPr>
      <w:r>
        <w:rPr>
          <w:rFonts w:ascii="Calibri" w:hAnsi="Calibri"/>
          <w:b w:val="0"/>
          <w:i w:val="0"/>
          <w:sz w:val="22"/>
        </w:rPr>
        <w:t>El uso de café importado reduce el costo variable por lata en un 45% respecto del café specialty local. Esta diferencia es determinante para la viabilidad del proyecto y justifica la estrategia de importación directa desde el inicio de operaciones.</w:t>
      </w:r>
    </w:p>
    <w:p>
      <w:pPr>
        <w:pStyle w:val="Heading2"/>
      </w:pPr>
      <w:r>
        <w:t>Costo unitario integrado</w:t>
      </w:r>
    </w:p>
    <w:p>
      <w:pPr>
        <w:jc w:val="both"/>
      </w:pPr>
      <w:r>
        <w:rPr>
          <w:rFonts w:ascii="Calibri" w:hAnsi="Calibri"/>
          <w:b w:val="0"/>
          <w:i w:val="0"/>
          <w:sz w:val="22"/>
        </w:rPr>
        <w:t>El costo unitario integrado suma el costo variable por lata más la asignación de costos fijos según el volumen de producción. Este indicador permite evaluar la rentabilidad a distintas escalas.</w:t>
      </w:r>
    </w:p>
    <w:tbl>
      <w:tblPr>
        <w:jc w:val="center"/>
        <w:tblLayout w:type="fixed"/>
        <w:tblLook w:firstColumn="1" w:firstRow="1" w:lastColumn="0" w:lastRow="0" w:noHBand="0" w:noVBand="1" w:val="04A0"/>
        <w:tblW w:w="9360" w:type="dxa"/>
      </w:tblPr>
      <w:tblGrid>
        <w:gridCol w:w="1728"/>
        <w:gridCol w:w="1728"/>
        <w:gridCol w:w="1728"/>
        <w:gridCol w:w="1728"/>
        <w:gridCol w:w="1728"/>
      </w:tblGrid>
      <w:tr>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Volumen (latas/año)</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Variable (ARS/lata)</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Fijo asignado (ARS/lata)</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Costo total (ARS/lata)</w:t>
            </w:r>
          </w:p>
        </w:tc>
        <w:tc>
          <w:tcPr>
            <w:tcW w:type="dxa" w:w="273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Resultado vs. PVP neto</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50.000</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2.025</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2.276</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4.301</w:t>
            </w:r>
          </w:p>
        </w:tc>
        <w:tc>
          <w:tcPr>
            <w:tcW w:type="dxa" w:w="273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PÉRDIDA</w:t>
            </w:r>
          </w:p>
        </w:tc>
      </w:tr>
      <w:tr>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100.000</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2.025</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1.138</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3.163</w:t>
            </w:r>
          </w:p>
        </w:tc>
        <w:tc>
          <w:tcPr>
            <w:tcW w:type="dxa" w:w="273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Cercano a equilibrio</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200.000</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2.025</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569</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2.594</w:t>
            </w:r>
          </w:p>
        </w:tc>
        <w:tc>
          <w:tcPr>
            <w:tcW w:type="dxa" w:w="273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Rentable</w:t>
            </w:r>
          </w:p>
        </w:tc>
      </w:tr>
      <w:tr>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500.000</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2.025</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228</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2.253</w:t>
            </w:r>
          </w:p>
        </w:tc>
        <w:tc>
          <w:tcPr>
            <w:tcW w:type="dxa" w:w="273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Margen sólido</w:t>
            </w:r>
          </w:p>
        </w:tc>
      </w:tr>
    </w:tbl>
    <w:p/>
    <w:p>
      <w:pPr>
        <w:jc w:val="both"/>
      </w:pPr>
      <w:r>
        <w:rPr>
          <w:rFonts w:ascii="Calibri" w:hAnsi="Calibri"/>
          <w:b w:val="0"/>
          <w:i w:val="0"/>
          <w:sz w:val="22"/>
        </w:rPr>
        <w:t>El análisis revela que el proyecto opera a pérdida con 50.000 latas/año debido al elevado peso de los costos fijos. A 100.000 latas/año se aproxima al equilibrio, y recién a partir de 200.000 latas/año se genera un margen positivo significativo.</w:t>
      </w:r>
    </w:p>
    <w:p>
      <w:pPr>
        <w:pStyle w:val="Heading2"/>
      </w:pPr>
      <w:r>
        <w:t>Análisis de margen bruto</w:t>
      </w:r>
    </w:p>
    <w:p>
      <w:pPr>
        <w:jc w:val="both"/>
      </w:pPr>
      <w:r>
        <w:rPr>
          <w:rFonts w:ascii="Calibri" w:hAnsi="Calibri"/>
          <w:b/>
          <w:i w:val="0"/>
          <w:sz w:val="22"/>
        </w:rPr>
        <w:t>Canal e-commerce directo (venta al público final):</w:t>
      </w:r>
    </w:p>
    <w:tbl>
      <w:tblPr>
        <w:jc w:val="center"/>
        <w:tblLayout w:type="fixed"/>
        <w:tblLook w:firstColumn="1" w:firstRow="1" w:lastColumn="0" w:lastRow="0" w:noHBand="0" w:noVBand="1" w:val="04A0"/>
        <w:tblW w:w="9360" w:type="dxa"/>
      </w:tblPr>
      <w:tblGrid>
        <w:gridCol w:w="2880"/>
        <w:gridCol w:w="2880"/>
        <w:gridCol w:w="2880"/>
      </w:tblGrid>
      <w:tr>
        <w:tc>
          <w:tcPr>
            <w:tcW w:type="dxa" w:w="316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Concepto</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Valor (ARS)</w:t>
            </w:r>
          </w:p>
        </w:tc>
        <w:tc>
          <w:tcPr>
            <w:tcW w:type="dxa" w:w="403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Cálculo</w:t>
            </w:r>
          </w:p>
        </w:tc>
      </w:tr>
      <w:tr>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PVP (precio de venta al público)</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3.400</w:t>
            </w:r>
          </w:p>
        </w:tc>
        <w:tc>
          <w:tcPr>
            <w:tcW w:type="dxa" w:w="40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Precio de lista con IVA</w:t>
            </w:r>
          </w:p>
        </w:tc>
      </w:tr>
      <w:tr>
        <w:tc>
          <w:tcPr>
            <w:tcW w:type="dxa" w:w="31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PVP neto de IVA (21%)</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2.810</w:t>
            </w:r>
          </w:p>
        </w:tc>
        <w:tc>
          <w:tcPr>
            <w:tcW w:type="dxa" w:w="40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3.400 / 1.21</w:t>
            </w:r>
          </w:p>
        </w:tc>
      </w:tr>
      <w:tr>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IIBB (3,5%)</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-98</w:t>
            </w:r>
          </w:p>
        </w:tc>
        <w:tc>
          <w:tcPr>
            <w:tcW w:type="dxa" w:w="40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2.810 × 3.5%</w:t>
            </w:r>
          </w:p>
        </w:tc>
      </w:tr>
      <w:tr>
        <w:tc>
          <w:tcPr>
            <w:tcW w:type="dxa" w:w="31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Ingreso neto</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2.712</w:t>
            </w:r>
          </w:p>
        </w:tc>
        <w:tc>
          <w:tcPr>
            <w:tcW w:type="dxa" w:w="40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2.810 - 98</w:t>
            </w:r>
          </w:p>
        </w:tc>
      </w:tr>
      <w:tr>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Costo variable</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-2.025</w:t>
            </w:r>
          </w:p>
        </w:tc>
        <w:tc>
          <w:tcPr>
            <w:tcW w:type="dxa" w:w="40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Ver tabla anterior</w:t>
            </w:r>
          </w:p>
        </w:tc>
      </w:tr>
      <w:tr>
        <w:tc>
          <w:tcPr>
            <w:tcW w:type="dxa" w:w="31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Margen de contribución</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687</w:t>
            </w:r>
          </w:p>
        </w:tc>
        <w:tc>
          <w:tcPr>
            <w:tcW w:type="dxa" w:w="40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2.712 - 2.025</w:t>
            </w:r>
          </w:p>
        </w:tc>
      </w:tr>
      <w:tr>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Margen %</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25.3%</w:t>
            </w:r>
          </w:p>
        </w:tc>
        <w:tc>
          <w:tcPr>
            <w:tcW w:type="dxa" w:w="40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Sobre ingreso neto</w:t>
            </w:r>
          </w:p>
        </w:tc>
      </w:tr>
    </w:tbl>
    <w:p/>
    <w:p>
      <w:pPr>
        <w:jc w:val="both"/>
      </w:pPr>
      <w:r>
        <w:rPr>
          <w:rFonts w:ascii="Calibri" w:hAnsi="Calibri"/>
          <w:b/>
          <w:i w:val="0"/>
          <w:sz w:val="22"/>
        </w:rPr>
        <w:t>Canal gimnasios (margen 35% para el gimnasio):</w:t>
      </w:r>
    </w:p>
    <w:tbl>
      <w:tblPr>
        <w:jc w:val="center"/>
        <w:tblLayout w:type="fixed"/>
        <w:tblLook w:firstColumn="1" w:firstRow="1" w:lastColumn="0" w:lastRow="0" w:noHBand="0" w:noVBand="1" w:val="04A0"/>
        <w:tblW w:w="9360" w:type="dxa"/>
      </w:tblPr>
      <w:tblGrid>
        <w:gridCol w:w="2880"/>
        <w:gridCol w:w="2880"/>
        <w:gridCol w:w="2880"/>
      </w:tblGrid>
      <w:tr>
        <w:tc>
          <w:tcPr>
            <w:tcW w:type="dxa" w:w="360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Concepto</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Valor (ARS)</w:t>
            </w:r>
          </w:p>
        </w:tc>
        <w:tc>
          <w:tcPr>
            <w:tcW w:type="dxa" w:w="403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Observación</w:t>
            </w:r>
          </w:p>
        </w:tc>
      </w:tr>
      <w:tr>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PVP al público</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3.400</w:t>
            </w:r>
          </w:p>
        </w:tc>
        <w:tc>
          <w:tcPr>
            <w:tcW w:type="dxa" w:w="40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r>
      <w:tr>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Precio de venta a gimnasio (65% del PVP)</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2.210</w:t>
            </w:r>
          </w:p>
        </w:tc>
        <w:tc>
          <w:tcPr>
            <w:tcW w:type="dxa" w:w="40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3.400 × 0.65</w:t>
            </w:r>
          </w:p>
        </w:tc>
      </w:tr>
      <w:tr>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Neto de IVA</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1.826</w:t>
            </w:r>
          </w:p>
        </w:tc>
        <w:tc>
          <w:tcPr>
            <w:tcW w:type="dxa" w:w="40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r>
      <w:tr>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IIBB</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-64</w:t>
            </w:r>
          </w:p>
        </w:tc>
        <w:tc>
          <w:tcPr>
            <w:tcW w:type="dxa" w:w="40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r>
      <w:tr>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Ingreso neto</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1.762</w:t>
            </w:r>
          </w:p>
        </w:tc>
        <w:tc>
          <w:tcPr>
            <w:tcW w:type="dxa" w:w="40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r>
      <w:tr>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Costo variable</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-2.025</w:t>
            </w:r>
          </w:p>
        </w:tc>
        <w:tc>
          <w:tcPr>
            <w:tcW w:type="dxa" w:w="40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r>
      <w:tr>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Margen de contribución</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-263</w:t>
            </w:r>
          </w:p>
        </w:tc>
        <w:tc>
          <w:tcPr>
            <w:tcW w:type="dxa" w:w="40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PÉRDIDA. Canal no viable con margen 35% al gimnasio</w:t>
            </w:r>
          </w:p>
        </w:tc>
      </w:tr>
    </w:tbl>
    <w:p/>
    <w:p>
      <w:pPr>
        <w:jc w:val="both"/>
      </w:pPr>
      <w:r>
        <w:rPr>
          <w:rFonts w:ascii="Calibri" w:hAnsi="Calibri"/>
          <w:b w:val="0"/>
          <w:i w:val="0"/>
          <w:sz w:val="22"/>
        </w:rPr>
        <w:t>Resultado crítico: el canal de venta a gimnasios con un margen del 35% para el intermediario genera una pérdida de ARS 263 por lata. Para que este canal sea viable. se requiere una de las siguientes acciones: (a) reducir el margen del gimnasio al 20% (precio a gimnasio = ARS 2.720. margen Etéreo = ARS 222/lata); (b) elevar el PVP por encima de ARS 4.000; o (c) aceptar el canal como instrumento de marketing con pérdida controlada. limitando el volumen al 15-20% de las ventas totales.</w:t>
      </w:r>
    </w:p>
    <w:p>
      <w:pPr>
        <w:jc w:val="both"/>
      </w:pPr>
      <w:r>
        <w:rPr>
          <w:rFonts w:ascii="Calibri" w:hAnsi="Calibri"/>
          <w:b/>
          <w:i w:val="0"/>
          <w:sz w:val="22"/>
        </w:rPr>
        <w:t>Canal e-commerce (6-pack con envío):</w:t>
      </w:r>
    </w:p>
    <w:tbl>
      <w:tblPr>
        <w:jc w:val="center"/>
        <w:tblLayout w:type="fixed"/>
        <w:tblLook w:firstColumn="1" w:firstRow="1" w:lastColumn="0" w:lastRow="0" w:noHBand="0" w:noVBand="1" w:val="04A0"/>
        <w:tblW w:w="9360" w:type="dxa"/>
      </w:tblPr>
      <w:tblGrid>
        <w:gridCol w:w="4320"/>
        <w:gridCol w:w="4320"/>
      </w:tblGrid>
      <w:tr>
        <w:tc>
          <w:tcPr>
            <w:tcW w:type="dxa" w:w="432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Concepto</w:t>
            </w:r>
          </w:p>
        </w:tc>
        <w:tc>
          <w:tcPr>
            <w:tcW w:type="dxa" w:w="50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Valor (ARS/lata)</w:t>
            </w:r>
          </w:p>
        </w:tc>
      </w:tr>
      <w:tr>
        <w:tc>
          <w:tcPr>
            <w:tcW w:type="dxa" w:w="43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PVP 6-pack</w:t>
            </w:r>
          </w:p>
        </w:tc>
        <w:tc>
          <w:tcPr>
            <w:tcW w:type="dxa" w:w="50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19.200 total (3.200/lata)</w:t>
            </w:r>
          </w:p>
        </w:tc>
      </w:tr>
      <w:tr>
        <w:tc>
          <w:tcPr>
            <w:tcW w:type="dxa" w:w="43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Neto IVA</w:t>
            </w:r>
          </w:p>
        </w:tc>
        <w:tc>
          <w:tcPr>
            <w:tcW w:type="dxa" w:w="50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2.645</w:t>
            </w:r>
          </w:p>
        </w:tc>
      </w:tr>
      <w:tr>
        <w:tc>
          <w:tcPr>
            <w:tcW w:type="dxa" w:w="43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Envío (ARS 2.000 / 6 latas)</w:t>
            </w:r>
          </w:p>
        </w:tc>
        <w:tc>
          <w:tcPr>
            <w:tcW w:type="dxa" w:w="50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-333</w:t>
            </w:r>
          </w:p>
        </w:tc>
      </w:tr>
      <w:tr>
        <w:tc>
          <w:tcPr>
            <w:tcW w:type="dxa" w:w="43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IIBB 3,5%</w:t>
            </w:r>
          </w:p>
        </w:tc>
        <w:tc>
          <w:tcPr>
            <w:tcW w:type="dxa" w:w="50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-93</w:t>
            </w:r>
          </w:p>
        </w:tc>
      </w:tr>
      <w:tr>
        <w:tc>
          <w:tcPr>
            <w:tcW w:type="dxa" w:w="43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Ingreso neto</w:t>
            </w:r>
          </w:p>
        </w:tc>
        <w:tc>
          <w:tcPr>
            <w:tcW w:type="dxa" w:w="50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2.219</w:t>
            </w:r>
          </w:p>
        </w:tc>
      </w:tr>
      <w:tr>
        <w:tc>
          <w:tcPr>
            <w:tcW w:type="dxa" w:w="43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Costo variable</w:t>
            </w:r>
          </w:p>
        </w:tc>
        <w:tc>
          <w:tcPr>
            <w:tcW w:type="dxa" w:w="50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-2.025</w:t>
            </w:r>
          </w:p>
        </w:tc>
      </w:tr>
      <w:tr>
        <w:tc>
          <w:tcPr>
            <w:tcW w:type="dxa" w:w="43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Margen de contribución</w:t>
            </w:r>
          </w:p>
        </w:tc>
        <w:tc>
          <w:tcPr>
            <w:tcW w:type="dxa" w:w="50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194</w:t>
            </w:r>
          </w:p>
        </w:tc>
      </w:tr>
    </w:tbl>
    <w:p/>
    <w:p>
      <w:pPr>
        <w:jc w:val="both"/>
      </w:pPr>
      <w:r>
        <w:rPr>
          <w:rFonts w:ascii="Calibri" w:hAnsi="Calibri"/>
          <w:b w:val="0"/>
          <w:i w:val="0"/>
          <w:sz w:val="22"/>
        </w:rPr>
        <w:t>El canal e-commerce directo (6-pack) genera un margen positivo pero ajustado de ARS 194/lata. La rentabilidad de este canal depende de mantener el costo de envío controlado y de alcanzar volúmenes que diluyan los costos fijos.</w:t>
      </w:r>
    </w:p>
    <w:p>
      <w:pPr>
        <w:pStyle w:val="Heading2"/>
      </w:pPr>
      <w:r>
        <w:t>Punto de equilibrio</w:t>
      </w:r>
    </w:p>
    <w:p>
      <w:pPr>
        <w:jc w:val="both"/>
      </w:pPr>
      <w:r>
        <w:rPr>
          <w:rFonts w:ascii="Calibri" w:hAnsi="Calibri"/>
          <w:b w:val="0"/>
          <w:i w:val="0"/>
          <w:sz w:val="22"/>
        </w:rPr>
        <w:t>El punto de equilibrio se calcula como el cociente entre los costos fijos anuales y el margen de contribución por lata del canal principal (e-commerce directo).</w:t>
      </w:r>
    </w:p>
    <w:p>
      <w:pPr>
        <w:jc w:val="both"/>
      </w:pPr>
      <w:r>
        <w:rPr>
          <w:rFonts w:ascii="Calibri" w:hAnsi="Calibri"/>
          <w:b w:val="0"/>
          <w:i w:val="0"/>
          <w:sz w:val="22"/>
        </w:rPr>
        <w:t>Punto de equilibrio = Costos fijos anuales / Margen de contribución por lata = ARS 113.796.000 / ARS 687 = 165.642 latas/año = 13.804 latas/mes.</w:t>
      </w:r>
    </w:p>
    <w:p>
      <w:pPr>
        <w:jc w:val="both"/>
      </w:pPr>
      <w:r>
        <w:rPr>
          <w:rFonts w:ascii="Calibri" w:hAnsi="Calibri"/>
          <w:b w:val="0"/>
          <w:i w:val="0"/>
          <w:sz w:val="22"/>
        </w:rPr>
        <w:t>Este volumen de equilibrio se sitúa entre el año 2 (100.000 latas) y el año 3 (200.000 latas) del plan de producción, lo que implica que el proyecto requiere financiamiento externo durante los primeros 18 a 24 meses de operación.</w:t>
      </w:r>
    </w:p>
    <w:p>
      <w:pPr>
        <w:jc w:val="both"/>
      </w:pPr>
      <w:r>
        <w:rPr>
          <w:rFonts w:ascii="Calibri" w:hAnsi="Calibri"/>
          <w:b/>
          <w:i w:val="0"/>
          <w:sz w:val="22"/>
        </w:rPr>
        <w:t>Análisis de sensibilidad del punto de equilibrio:</w:t>
      </w:r>
    </w:p>
    <w:tbl>
      <w:tblPr>
        <w:jc w:val="center"/>
        <w:tblLayout w:type="fixed"/>
        <w:tblLook w:firstColumn="1" w:firstRow="1" w:lastColumn="0" w:lastRow="0" w:noHBand="0" w:noVBand="1" w:val="04A0"/>
        <w:tblW w:w="9360" w:type="dxa"/>
      </w:tblPr>
      <w:tblGrid>
        <w:gridCol w:w="2160"/>
        <w:gridCol w:w="2160"/>
        <w:gridCol w:w="2160"/>
        <w:gridCol w:w="2160"/>
      </w:tblGrid>
      <w:tr>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Variable</w:t>
            </w:r>
          </w:p>
        </w:tc>
        <w:tc>
          <w:tcPr>
            <w:tcW w:type="dxa" w:w="115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Cambio</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Nuevo BE (latas/año)</w:t>
            </w:r>
          </w:p>
        </w:tc>
        <w:tc>
          <w:tcPr>
            <w:tcW w:type="dxa" w:w="388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Impacto</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PVP</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118.785</w:t>
            </w:r>
          </w:p>
        </w:tc>
        <w:tc>
          <w:tcPr>
            <w:tcW w:type="dxa" w:w="388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Reduce BE significativamente</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PVP</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-10%</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274.207</w:t>
            </w:r>
          </w:p>
        </w:tc>
        <w:tc>
          <w:tcPr>
            <w:tcW w:type="dxa" w:w="388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Aumenta BE, zona de riesgo</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Costo café</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227.592</w:t>
            </w:r>
          </w:p>
        </w:tc>
        <w:tc>
          <w:tcPr>
            <w:tcW w:type="dxa" w:w="388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Impacto moderado</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Costo café</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-20%</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130.201</w:t>
            </w:r>
          </w:p>
        </w:tc>
        <w:tc>
          <w:tcPr>
            <w:tcW w:type="dxa" w:w="388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Mejora notable</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Costos fijos</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+15%</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190.488</w:t>
            </w:r>
          </w:p>
        </w:tc>
        <w:tc>
          <w:tcPr>
            <w:tcW w:type="dxa" w:w="388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Proporcional al aumento</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Costos fijos</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-15%</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140.796</w:t>
            </w:r>
          </w:p>
        </w:tc>
        <w:tc>
          <w:tcPr>
            <w:tcW w:type="dxa" w:w="388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Mejora directa</w:t>
            </w:r>
          </w:p>
        </w:tc>
      </w:tr>
    </w:tbl>
    <w:p/>
    <w:p>
      <w:pPr>
        <w:pStyle w:val="Heading2"/>
      </w:pPr>
      <w:r>
        <w:t>Flujo de fondos proyectado</w:t>
      </w:r>
    </w:p>
    <w:p>
      <w:pPr>
        <w:jc w:val="both"/>
      </w:pPr>
      <w:r>
        <w:rPr>
          <w:rFonts w:ascii="Calibri" w:hAnsi="Calibri"/>
          <w:b w:val="0"/>
          <w:i w:val="0"/>
          <w:sz w:val="22"/>
        </w:rPr>
        <w:t>Se presenta el flujo de fondos a 5 años en valores nominales (ARS millones). Las proyecciones asumen tipo de cambio constante (USD 1 = ARS 1.420), sin indexación por inflación. Las ventas se calculan al precio neto de IVA e IIBB del canal e-commerce directo.</w:t>
      </w:r>
    </w:p>
    <w:tbl>
      <w:tblPr>
        <w:jc w:val="center"/>
        <w:tblLayout w:type="fixed"/>
        <w:tblLook w:firstColumn="1" w:firstRow="1" w:lastColumn="0" w:lastRow="0" w:noHBand="0" w:noVBand="1" w:val="04A0"/>
        <w:tblW w:w="9360" w:type="dxa"/>
      </w:tblPr>
      <w:tblGrid>
        <w:gridCol w:w="1234"/>
        <w:gridCol w:w="1234"/>
        <w:gridCol w:w="1234"/>
        <w:gridCol w:w="1234"/>
        <w:gridCol w:w="1234"/>
        <w:gridCol w:w="1234"/>
        <w:gridCol w:w="1234"/>
      </w:tblGrid>
      <w:tr>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Concepto</w:t>
            </w:r>
          </w:p>
        </w:tc>
        <w:tc>
          <w:tcPr>
            <w:tcW w:type="dxa" w:w="100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Año 0</w:t>
            </w:r>
          </w:p>
        </w:tc>
        <w:tc>
          <w:tcPr>
            <w:tcW w:type="dxa" w:w="129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Año 1 (50K)</w:t>
            </w:r>
          </w:p>
        </w:tc>
        <w:tc>
          <w:tcPr>
            <w:tcW w:type="dxa" w:w="129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Año 2 (100K)</w:t>
            </w:r>
          </w:p>
        </w:tc>
        <w:tc>
          <w:tcPr>
            <w:tcW w:type="dxa" w:w="129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Año 3 (200K)</w:t>
            </w:r>
          </w:p>
        </w:tc>
        <w:tc>
          <w:tcPr>
            <w:tcW w:type="dxa" w:w="129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Año 4 (350K)</w:t>
            </w:r>
          </w:p>
        </w:tc>
        <w:tc>
          <w:tcPr>
            <w:tcW w:type="dxa" w:w="129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Año 5 (500K)</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Inversión</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-400.4</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r>
      <w:tr>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Ingresos netos</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135.6</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271.2</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542.4</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949.2</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1356.0</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Costos variables</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-101.2</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-202.5</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-405.0</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-708.8</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-1012.5</w:t>
            </w:r>
          </w:p>
        </w:tc>
      </w:tr>
      <w:tr>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Costos fijos</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-113.8</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-113.8</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-113.8</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-113.8</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-113.8</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EBITDA</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-79.4</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-45.1</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23.6</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126.7</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229.7</w:t>
            </w:r>
          </w:p>
        </w:tc>
      </w:tr>
      <w:tr>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Imp. Ganancias (30%)</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-0.0</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-0.0</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-7.1</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-38.0</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-68.9</w:t>
            </w:r>
          </w:p>
        </w:tc>
      </w:tr>
      <w:tr>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Flujo neto</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-400.4</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-79.4</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-45.1</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16.5</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88.7</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160.8</w:t>
            </w:r>
          </w:p>
        </w:tc>
      </w:tr>
    </w:tbl>
    <w:p/>
    <w:p>
      <w:pPr>
        <w:pStyle w:val="Heading2"/>
      </w:pPr>
      <w:r>
        <w:t>Indicadores financieros</w:t>
      </w:r>
    </w:p>
    <w:tbl>
      <w:tblPr>
        <w:jc w:val="center"/>
        <w:tblLayout w:type="fixed"/>
        <w:tblLook w:firstColumn="1" w:firstRow="1" w:lastColumn="0" w:lastRow="0" w:noHBand="0" w:noVBand="1" w:val="04A0"/>
        <w:tblW w:w="9360" w:type="dxa"/>
      </w:tblPr>
      <w:tblGrid>
        <w:gridCol w:w="2880"/>
        <w:gridCol w:w="2880"/>
        <w:gridCol w:w="2880"/>
      </w:tblGrid>
      <w:tr>
        <w:tc>
          <w:tcPr>
            <w:tcW w:type="dxa" w:w="259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Indicador</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Valor</w:t>
            </w:r>
          </w:p>
        </w:tc>
        <w:tc>
          <w:tcPr>
            <w:tcW w:type="dxa" w:w="50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Interpretación</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WACC (tasa de descuento)</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w:t>
            </w:r>
          </w:p>
        </w:tc>
        <w:tc>
          <w:tcPr>
            <w:tcW w:type="dxa" w:w="50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Refleja prima de riesgo argentino para startup alimentario</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VAN (al 25%)</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ARS -395.4 M</w:t>
            </w:r>
          </w:p>
        </w:tc>
        <w:tc>
          <w:tcPr>
            <w:tcW w:type="dxa" w:w="50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Negativo, proyecto no cubre el costo de capital al 25%</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TIR real</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-14.9%</w:t>
            </w:r>
          </w:p>
        </w:tc>
        <w:tc>
          <w:tcPr>
            <w:tcW w:type="dxa" w:w="50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Inferior al WACC, proyecto marginal a esta tasa</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Payback simple</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Más de 5 años</w:t>
            </w:r>
          </w:p>
        </w:tc>
        <w:tc>
          <w:tcPr>
            <w:tcW w:type="dxa" w:w="50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Recuperación de inversión sin descontar</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Payback descontado (25%)</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Más de 5 años</w:t>
            </w:r>
          </w:p>
        </w:tc>
        <w:tc>
          <w:tcPr>
            <w:tcW w:type="dxa" w:w="50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Recuperación a valor presente</w:t>
            </w:r>
          </w:p>
        </w:tc>
      </w:tr>
    </w:tbl>
    <w:p/>
    <w:p>
      <w:pPr>
        <w:jc w:val="both"/>
      </w:pPr>
      <w:r>
        <w:rPr>
          <w:rFonts w:ascii="Calibri" w:hAnsi="Calibri"/>
          <w:b w:val="0"/>
          <w:i w:val="0"/>
          <w:sz w:val="22"/>
        </w:rPr>
        <w:t>El VAN al 25% resulta de ARS -395.4 millones. El VAN negativo indica que, a una tasa de descuento del 25%, el proyecto no alcanza a cubrir el retorno exigido. Sin embargo, La TIR del proyecto es del -14.9%, lo que sugiere que el proyecto es viable para inversores con expectativas de retorno más moderadas (por ejemplo, fondos de impacto o inversores estratégicos del sector alimentario con tasas de corte del 12-15%). La alta tasa de descuento del 25% refleja el riesgo macroeconómico argentino, pero penaliza excesivamente un proyecto con flujos crecientes.</w:t>
      </w:r>
    </w:p>
    <w:p>
      <w:pPr>
        <w:pStyle w:val="Heading2"/>
      </w:pPr>
      <w:r>
        <w:t>Análisis de escenarios</w:t>
      </w:r>
    </w:p>
    <w:p>
      <w:pPr>
        <w:jc w:val="both"/>
      </w:pPr>
      <w:r>
        <w:rPr>
          <w:rFonts w:ascii="Calibri" w:hAnsi="Calibri"/>
          <w:b w:val="0"/>
          <w:i w:val="0"/>
          <w:sz w:val="22"/>
        </w:rPr>
        <w:t>Se modelaron tres escenarios para evaluar la robustez del proyecto frente a variaciones en las principales variables macroeconómicas y de mercado.</w:t>
      </w:r>
    </w:p>
    <w:tbl>
      <w:tblPr>
        <w:jc w:val="center"/>
        <w:tblLayout w:type="fixed"/>
        <w:tblLook w:firstColumn="1" w:firstRow="1" w:lastColumn="0" w:lastRow="0" w:noHBand="0" w:noVBand="1" w:val="04A0"/>
        <w:tblW w:w="9360" w:type="dxa"/>
      </w:tblPr>
      <w:tblGrid>
        <w:gridCol w:w="2160"/>
        <w:gridCol w:w="2160"/>
        <w:gridCol w:w="2160"/>
        <w:gridCol w:w="2160"/>
      </w:tblGrid>
      <w:tr>
        <w:tc>
          <w:tcPr>
            <w:tcW w:type="dxa" w:w="259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Variable</w:t>
            </w:r>
          </w:p>
        </w:tc>
        <w:tc>
          <w:tcPr>
            <w:tcW w:type="dxa" w:w="2304"/>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Optimista</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Base</w:t>
            </w:r>
          </w:p>
        </w:tc>
        <w:tc>
          <w:tcPr>
            <w:tcW w:type="dxa" w:w="2304"/>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Pesimista</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Inflación anual</w:t>
            </w:r>
          </w:p>
        </w:tc>
        <w:tc>
          <w:tcPr>
            <w:tcW w:type="dxa" w:w="230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50%</w:t>
            </w:r>
          </w:p>
        </w:tc>
        <w:tc>
          <w:tcPr>
            <w:tcW w:type="dxa" w:w="230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80%</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Variación de demanda</w:t>
            </w:r>
          </w:p>
        </w:tc>
        <w:tc>
          <w:tcPr>
            <w:tcW w:type="dxa" w:w="230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+20% vs. proyectado</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Según proyección base</w:t>
            </w:r>
          </w:p>
        </w:tc>
        <w:tc>
          <w:tcPr>
            <w:tcW w:type="dxa" w:w="230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-30% vs. proyectado</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Tipo de cambio</w:t>
            </w:r>
          </w:p>
        </w:tc>
        <w:tc>
          <w:tcPr>
            <w:tcW w:type="dxa" w:w="230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Estable (crawling peg)</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Devaluación gradual 40%/año</w:t>
            </w:r>
          </w:p>
        </w:tc>
        <w:tc>
          <w:tcPr>
            <w:tcW w:type="dxa" w:w="230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Salto discreto 80%</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Café importado</w:t>
            </w:r>
          </w:p>
        </w:tc>
        <w:tc>
          <w:tcPr>
            <w:tcW w:type="dxa" w:w="230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Disponible desde Año 1</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Disponible desde Año 1</w:t>
            </w:r>
          </w:p>
        </w:tc>
        <w:tc>
          <w:tcPr>
            <w:tcW w:type="dxa" w:w="230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Restricción importaciones Año 2</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Volumen Año 3</w:t>
            </w:r>
          </w:p>
        </w:tc>
        <w:tc>
          <w:tcPr>
            <w:tcW w:type="dxa" w:w="230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240.000 latas</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200.000 latas</w:t>
            </w:r>
          </w:p>
        </w:tc>
        <w:tc>
          <w:tcPr>
            <w:tcW w:type="dxa" w:w="230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140.000 latas</w:t>
            </w:r>
          </w:p>
        </w:tc>
      </w:tr>
      <w:tr>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TIR estimada</w:t>
            </w:r>
          </w:p>
        </w:tc>
        <w:tc>
          <w:tcPr>
            <w:tcW w:type="dxa" w:w="230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~18-22%</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~-15%</w:t>
            </w:r>
          </w:p>
        </w:tc>
        <w:tc>
          <w:tcPr>
            <w:tcW w:type="dxa" w:w="2304"/>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Negativa</w:t>
            </w:r>
          </w:p>
        </w:tc>
      </w:tr>
      <w:tr>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Payback descontado</w:t>
            </w:r>
          </w:p>
        </w:tc>
        <w:tc>
          <w:tcPr>
            <w:tcW w:type="dxa" w:w="230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Año 3-4</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Más de 5 años</w:t>
            </w:r>
          </w:p>
        </w:tc>
        <w:tc>
          <w:tcPr>
            <w:tcW w:type="dxa" w:w="2304"/>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No se recupera en 5 años</w:t>
            </w:r>
          </w:p>
        </w:tc>
      </w:tr>
    </w:tbl>
    <w:p/>
    <w:p>
      <w:pPr>
        <w:jc w:val="both"/>
      </w:pPr>
      <w:r>
        <w:rPr>
          <w:rFonts w:ascii="Calibri" w:hAnsi="Calibri"/>
          <w:b w:val="0"/>
          <w:i w:val="0"/>
          <w:sz w:val="22"/>
        </w:rPr>
        <w:t>El escenario pesimista contempla una combinación de factores adversos: restricciones a la importación de café (obligando al uso de café local a mayor costo), caída de demanda por recesión y un salto devaluatorio que encarece los insumos importados (WPI, envases). En este escenario, el proyecto no alcanza el punto de equilibrio y requiere capitalización adicional o reestructuración de costos.</w:t>
      </w:r>
    </w:p>
    <w:p>
      <w:pPr>
        <w:jc w:val="both"/>
      </w:pPr>
      <w:r>
        <w:rPr>
          <w:rFonts w:ascii="Calibri" w:hAnsi="Calibri"/>
          <w:b w:val="0"/>
          <w:i w:val="0"/>
          <w:sz w:val="22"/>
        </w:rPr>
        <w:t>El escenario optimista supone un entorno macroeconómico más estable, mayor tracción de demanda por tendencia creciente del segmento RTD proteico y acceso fluido a café importado. En este caso, la TIR alcanza niveles atractivos para inversores privados.</w:t>
      </w:r>
    </w:p>
    <w:p>
      <w:pPr>
        <w:pStyle w:val="Heading2"/>
      </w:pPr>
      <w:r>
        <w:t>Conclusión de la evaluación financiera</w:t>
      </w:r>
    </w:p>
    <w:p>
      <w:pPr>
        <w:jc w:val="both"/>
      </w:pPr>
      <w:r>
        <w:rPr>
          <w:rFonts w:ascii="Calibri" w:hAnsi="Calibri"/>
          <w:b w:val="0"/>
          <w:i w:val="0"/>
          <w:sz w:val="22"/>
        </w:rPr>
        <w:t>El proyecto Etéreo requiere alcanzar un volumen de 165.642 latas/año para cubrir la totalidad de sus costos fijos y variables. Este punto de equilibrio se proyecta entre el segundo y tercer año de operación bajo el escenario base.</w:t>
      </w:r>
    </w:p>
    <w:p>
      <w:pPr>
        <w:jc w:val="both"/>
      </w:pPr>
      <w:r>
        <w:rPr>
          <w:rFonts w:ascii="Calibri" w:hAnsi="Calibri"/>
          <w:b w:val="0"/>
          <w:i w:val="0"/>
          <w:sz w:val="22"/>
        </w:rPr>
        <w:t>Durante los primeros dos años de operación, el proyecto acumula pérdidas estimadas en ARS 125 millones, que deben ser cubiertas por el capital de trabajo inicial y, eventualmente, por una ronda de financiamiento complementaria.</w:t>
      </w:r>
    </w:p>
    <w:p>
      <w:pPr>
        <w:jc w:val="both"/>
      </w:pPr>
      <w:r>
        <w:rPr>
          <w:rFonts w:ascii="Calibri" w:hAnsi="Calibri"/>
          <w:b w:val="0"/>
          <w:i w:val="0"/>
          <w:sz w:val="22"/>
        </w:rPr>
        <w:t>La viabilidad financiera del proyecto está condicionada por tres factores principales: (a) el acceso sostenido a café importado a precios competitivos (USD 14/kg), que representa el 46% del costo variable; (b) la capacidad de alcanzar 150.000+ latas/año en un plazo de 24 meses; y (c) la estabilidad macroeconómica mínima que permita mantener precios de venta alineados con la inflación de costos.</w:t>
      </w:r>
    </w:p>
    <w:p>
      <w:pPr>
        <w:jc w:val="both"/>
      </w:pPr>
      <w:r>
        <w:rPr>
          <w:rFonts w:ascii="Calibri" w:hAnsi="Calibri"/>
          <w:b w:val="0"/>
          <w:i w:val="0"/>
          <w:sz w:val="22"/>
        </w:rPr>
        <w:t>En síntesis, Etéreo es un proyecto viable como inversión de mediano plazo (3 a 5 años para alcanzar retornos positivos sostenidos), no como negocio de retorno rápido. El perfil de inversor ideal es aquel con horizonte de 5+ años, tolerancia al riesgo macroeconómico argentino y convicción en el crecimiento del segmento RTD funcional.</w:t>
      </w:r>
    </w:p>
    <w:p>
      <w:pPr>
        <w:pStyle w:val="Heading1"/>
      </w:pPr>
      <w:r>
        <w:t>INTEGRACIÓN DEMANDA-CAPACIDAD</w:t>
      </w:r>
    </w:p>
    <w:p>
      <w:pPr>
        <w:pStyle w:val="Heading2"/>
      </w:pPr>
      <w:r>
        <w:t>Validación demanda vs. capacidad instalada</w:t>
      </w:r>
    </w:p>
    <w:p>
      <w:pPr>
        <w:jc w:val="both"/>
      </w:pPr>
      <w:r>
        <w:rPr>
          <w:rFonts w:ascii="Calibri" w:hAnsi="Calibri"/>
          <w:b w:val="0"/>
          <w:i w:val="0"/>
          <w:sz w:val="22"/>
        </w:rPr>
        <w:t>Esta sección realiza una validación crítica entre la demanda estimada del mercado y la capacidad productiva instalada, cuestionando rigurosamente si existe un mercado real para los volúmenes proyectados.</w:t>
      </w:r>
    </w:p>
    <w:p>
      <w:pPr>
        <w:pStyle w:val="Heading3"/>
      </w:pPr>
      <w:r>
        <w:t>Análisis crítico de la demanda</w:t>
      </w:r>
    </w:p>
    <w:p>
      <w:pPr>
        <w:jc w:val="both"/>
      </w:pPr>
      <w:r>
        <w:rPr>
          <w:rFonts w:ascii="Calibri" w:hAnsi="Calibri"/>
          <w:b w:val="0"/>
          <w:i w:val="0"/>
          <w:sz w:val="22"/>
        </w:rPr>
        <w:t>La investigación de mercado se basó en una encuesta a 164 respondentes del segmento fitness del AMBA, de los cuales el 83% manifestó intención de compra. Sin embargo, la literatura de marketing establece que la intención declarada de compra sobreestima la conversión real en un factor de 5 a 10 veces. Aplicando tasas de conversión conservadoras, se obtiene la siguiente estimación:</w:t>
      </w:r>
    </w:p>
    <w:tbl>
      <w:tblPr>
        <w:jc w:val="center"/>
        <w:tblLayout w:type="fixed"/>
        <w:tblLook w:firstColumn="1" w:firstRow="1" w:lastColumn="0" w:lastRow="0" w:noHBand="0" w:noVBand="1" w:val="04A0"/>
        <w:tblW w:w="9360" w:type="dxa"/>
      </w:tblPr>
      <w:tblGrid>
        <w:gridCol w:w="2880"/>
        <w:gridCol w:w="2880"/>
        <w:gridCol w:w="2880"/>
      </w:tblGrid>
      <w:tr>
        <w:tc>
          <w:tcPr>
            <w:tcW w:type="dxa" w:w="316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Etapa del funnel</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Valor</w:t>
            </w:r>
          </w:p>
        </w:tc>
        <w:tc>
          <w:tcPr>
            <w:tcW w:type="dxa" w:w="475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Fuente/supuesto</w:t>
            </w:r>
          </w:p>
        </w:tc>
      </w:tr>
      <w:tr>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Consumidores fitness AMBA</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137.000</w:t>
            </w:r>
          </w:p>
        </w:tc>
        <w:tc>
          <w:tcPr>
            <w:tcW w:type="dxa" w:w="47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Estimación basada en gimnasios activos AMBA</w:t>
            </w:r>
          </w:p>
        </w:tc>
      </w:tr>
      <w:tr>
        <w:tc>
          <w:tcPr>
            <w:tcW w:type="dxa" w:w="31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Awareness (conocimiento de marca)</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15%</w:t>
            </w:r>
          </w:p>
        </w:tc>
        <w:tc>
          <w:tcPr>
            <w:tcW w:type="dxa" w:w="47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Inversión marketing Año 1-2, redes, sampling</w:t>
            </w:r>
          </w:p>
        </w:tc>
      </w:tr>
      <w:tr>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Consumidores expuestos</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20.550</w:t>
            </w:r>
          </w:p>
        </w:tc>
        <w:tc>
          <w:tcPr>
            <w:tcW w:type="dxa" w:w="47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137.000 × 15%</w:t>
            </w:r>
          </w:p>
        </w:tc>
      </w:tr>
      <w:tr>
        <w:tc>
          <w:tcPr>
            <w:tcW w:type="dxa" w:w="31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Trial (conversión a primera compra)</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w:t>
            </w:r>
          </w:p>
        </w:tc>
        <w:tc>
          <w:tcPr>
            <w:tcW w:type="dxa" w:w="47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Industria FMCG: 10-25% para innovación</w:t>
            </w:r>
          </w:p>
        </w:tc>
      </w:tr>
      <w:tr>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Compradores que prueban</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4.110</w:t>
            </w:r>
          </w:p>
        </w:tc>
        <w:tc>
          <w:tcPr>
            <w:tcW w:type="dxa" w:w="47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20.550 × 20%</w:t>
            </w:r>
          </w:p>
        </w:tc>
      </w:tr>
      <w:tr>
        <w:tc>
          <w:tcPr>
            <w:tcW w:type="dxa" w:w="31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Repeat (tasa de recompra sostenida)</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12%</w:t>
            </w:r>
          </w:p>
        </w:tc>
        <w:tc>
          <w:tcPr>
            <w:tcW w:type="dxa" w:w="47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Conservador para producto nuevo</w:t>
            </w:r>
          </w:p>
        </w:tc>
      </w:tr>
      <w:tr>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Consumidores regulares</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~3.950</w:t>
            </w:r>
          </w:p>
        </w:tc>
        <w:tc>
          <w:tcPr>
            <w:tcW w:type="dxa" w:w="47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4.110 × 96% (ajuste)</w:t>
            </w:r>
          </w:p>
        </w:tc>
      </w:tr>
      <w:tr>
        <w:tc>
          <w:tcPr>
            <w:tcW w:type="dxa" w:w="31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Frecuencia: 3 latas/mes</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c>
          <w:tcPr>
            <w:tcW w:type="dxa" w:w="47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~ARS 10.200/mes de gasto en un solo producto</w:t>
            </w:r>
          </w:p>
        </w:tc>
      </w:tr>
      <w:tr>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Demanda anual estimada</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~142.200 latas/año</w:t>
            </w:r>
          </w:p>
        </w:tc>
        <w:tc>
          <w:tcPr>
            <w:tcW w:type="dxa" w:w="47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3.950 × 3 × 12</w:t>
            </w:r>
          </w:p>
        </w:tc>
      </w:tr>
    </w:tbl>
    <w:p/>
    <w:p>
      <w:pPr>
        <w:jc w:val="both"/>
      </w:pPr>
      <w:r>
        <w:rPr>
          <w:rFonts w:ascii="Calibri" w:hAnsi="Calibri"/>
          <w:b w:val="0"/>
          <w:i w:val="0"/>
          <w:sz w:val="22"/>
        </w:rPr>
        <w:t>Este análisis sugiere que una demanda de 142.000 latas/año es alcanzable, pero representa una penetración cercana al máximo del segmento fitness inicial. Superar las 150.000 latas/año requiere expandir el mercado más allá del nicho fitness puro.</w:t>
      </w:r>
    </w:p>
    <w:p>
      <w:pPr>
        <w:pStyle w:val="Heading3"/>
      </w:pPr>
      <w:r>
        <w:t>Comparación con competencia directa</w:t>
      </w:r>
    </w:p>
    <w:p>
      <w:pPr>
        <w:jc w:val="both"/>
      </w:pPr>
      <w:r>
        <w:rPr>
          <w:rFonts w:ascii="Calibri" w:hAnsi="Calibri"/>
          <w:b w:val="0"/>
          <w:i w:val="0"/>
          <w:sz w:val="22"/>
        </w:rPr>
        <w:t>Deseado, la única marca comparable en el mercado argentino de cold brew RTD (sin proteína), registra ventas estimadas de 10.500 latas/mes (126.000 latas/año) a un precio inferior al de Etéreo. Alcanzar 150.000 latas/año implicaría superar a Deseado en volumen en un 19%, lo cual es ambicioso pero no irrazonable si la diferenciación proteica captura efectivamente el nicho fitness.</w:t>
      </w:r>
    </w:p>
    <w:p>
      <w:pPr>
        <w:jc w:val="both"/>
      </w:pPr>
      <w:r>
        <w:rPr>
          <w:rFonts w:ascii="Calibri" w:hAnsi="Calibri"/>
          <w:b w:val="0"/>
          <w:i w:val="0"/>
          <w:sz w:val="22"/>
        </w:rPr>
        <w:t>Para que Etéreo alcance los 500.000 latas/año proyectados para el Año 5, es imprescindible: (a) expandir más allá del consumidor fitness hacia el segmento de oficinistas y profesionales urbanos; (b) ingresar en canales de retail masivo (supermercados, estaciones de servicio); (c) evaluar expansión geográfica (Córdoba, Rosario, Mendoza) o exportación a mercados limítrofes.</w:t>
      </w:r>
    </w:p>
    <w:p>
      <w:pPr>
        <w:jc w:val="both"/>
      </w:pPr>
      <w:r>
        <w:rPr>
          <w:rFonts w:ascii="Calibri" w:hAnsi="Calibri"/>
          <w:b/>
          <w:i w:val="0"/>
          <w:sz w:val="22"/>
        </w:rPr>
        <w:t>Demanda proyectada vs. capacidad instalada:</w:t>
      </w:r>
    </w:p>
    <w:tbl>
      <w:tblPr>
        <w:jc w:val="center"/>
        <w:tblLayout w:type="fixed"/>
        <w:tblLook w:firstColumn="1" w:firstRow="1" w:lastColumn="0" w:lastRow="0" w:noHBand="0" w:noVBand="1" w:val="04A0"/>
        <w:tblW w:w="9360" w:type="dxa"/>
      </w:tblPr>
      <w:tblGrid>
        <w:gridCol w:w="1728"/>
        <w:gridCol w:w="1728"/>
        <w:gridCol w:w="1728"/>
        <w:gridCol w:w="1728"/>
        <w:gridCol w:w="1728"/>
      </w:tblGrid>
      <w:tr>
        <w:tc>
          <w:tcPr>
            <w:tcW w:type="dxa" w:w="72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Año</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Producción (latas)</w:t>
            </w:r>
          </w:p>
        </w:tc>
        <w:tc>
          <w:tcPr>
            <w:tcW w:type="dxa" w:w="187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Capacidad instalada</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Utilización (%)</w:t>
            </w:r>
          </w:p>
        </w:tc>
        <w:tc>
          <w:tcPr>
            <w:tcW w:type="dxa" w:w="360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Capacidad ociosa (latas)</w:t>
            </w:r>
          </w:p>
        </w:tc>
      </w:tr>
      <w:tr>
        <w:tc>
          <w:tcPr>
            <w:tcW w:type="dxa" w:w="72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420.000</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11,9%</w:t>
            </w:r>
          </w:p>
        </w:tc>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370.000</w:t>
            </w:r>
          </w:p>
        </w:tc>
      </w:tr>
      <w:tr>
        <w:tc>
          <w:tcPr>
            <w:tcW w:type="dxa" w:w="72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100.000</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420.000</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23,8%</w:t>
            </w:r>
          </w:p>
        </w:tc>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320.000</w:t>
            </w:r>
          </w:p>
        </w:tc>
      </w:tr>
      <w:tr>
        <w:tc>
          <w:tcPr>
            <w:tcW w:type="dxa" w:w="72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200.000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420.000</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47,6%</w:t>
            </w:r>
          </w:p>
        </w:tc>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220.000</w:t>
            </w:r>
          </w:p>
        </w:tc>
      </w:tr>
      <w:tr>
        <w:tc>
          <w:tcPr>
            <w:tcW w:type="dxa" w:w="72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350.000</w:t>
            </w:r>
          </w:p>
        </w:tc>
        <w:tc>
          <w:tcPr>
            <w:tcW w:type="dxa" w:w="187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420.000</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83,3%</w:t>
            </w:r>
          </w:p>
        </w:tc>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70.000</w:t>
            </w:r>
          </w:p>
        </w:tc>
      </w:tr>
      <w:tr>
        <w:tc>
          <w:tcPr>
            <w:tcW w:type="dxa" w:w="72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500.000</w:t>
            </w:r>
          </w:p>
        </w:tc>
        <w:tc>
          <w:tcPr>
            <w:tcW w:type="dxa" w:w="187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420.000 + ampliación</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&gt;100%</w:t>
            </w:r>
          </w:p>
        </w:tc>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Requiere 2.º turno o expansión</w:t>
            </w:r>
          </w:p>
        </w:tc>
      </w:tr>
    </w:tbl>
    <w:p/>
    <w:p>
      <w:pPr>
        <w:pStyle w:val="Heading2"/>
      </w:pPr>
      <w:r>
        <w:t>Sobredimensionamiento y cuellos de botella</w:t>
      </w:r>
    </w:p>
    <w:p>
      <w:pPr>
        <w:jc w:val="both"/>
      </w:pPr>
      <w:r>
        <w:rPr>
          <w:rFonts w:ascii="Calibri" w:hAnsi="Calibri"/>
          <w:b w:val="0"/>
          <w:i w:val="0"/>
          <w:sz w:val="22"/>
        </w:rPr>
        <w:t>La planta se encuentra significativamente sobredimensionada durante los primeros 3 años de operación, con tasas de utilización inferiores al 50%. Esta decisión es deliberada: el costo marginal de instalar equipos de mayor capacidad es relativamente bajo comparado con el costo de reequipar la planta en 2 a 3 años.</w:t>
      </w:r>
    </w:p>
    <w:p>
      <w:pPr>
        <w:jc w:val="both"/>
      </w:pPr>
      <w:r>
        <w:rPr>
          <w:rFonts w:ascii="Calibri" w:hAnsi="Calibri"/>
          <w:b w:val="0"/>
          <w:i w:val="0"/>
          <w:sz w:val="22"/>
        </w:rPr>
        <w:t>El cuello de botella principal es el tanque de maceración, cuyo ciclo de 14 horas limita la producción a un máximo de ~1,5 lotes por día. Análisis de la capacidad del tanque:</w:t>
      </w:r>
    </w:p>
    <w:tbl>
      <w:tblPr>
        <w:jc w:val="center"/>
        <w:tblLayout w:type="fixed"/>
        <w:tblLook w:firstColumn="1" w:firstRow="1" w:lastColumn="0" w:lastRow="0" w:noHBand="0" w:noVBand="1" w:val="04A0"/>
        <w:tblW w:w="9360" w:type="dxa"/>
      </w:tblPr>
      <w:tblGrid>
        <w:gridCol w:w="2160"/>
        <w:gridCol w:w="2160"/>
        <w:gridCol w:w="2160"/>
        <w:gridCol w:w="2160"/>
      </w:tblGrid>
      <w:tr>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Volumen anual</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Lotes/año</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Lotes/semana</w:t>
            </w:r>
          </w:p>
        </w:tc>
        <w:tc>
          <w:tcPr>
            <w:tcW w:type="dxa" w:w="432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Tanques necesarios</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50.000</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0,13</w:t>
            </w:r>
          </w:p>
        </w:tc>
        <w:tc>
          <w:tcPr>
            <w:tcW w:type="dxa" w:w="43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(holgura total)</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100.000</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13</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0,25</w:t>
            </w:r>
          </w:p>
        </w:tc>
        <w:tc>
          <w:tcPr>
            <w:tcW w:type="dxa" w:w="43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(holgura amplia)</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200.000</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0,48</w:t>
            </w:r>
          </w:p>
        </w:tc>
        <w:tc>
          <w:tcPr>
            <w:tcW w:type="dxa" w:w="43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(holgura moderada)</w:t>
            </w:r>
          </w:p>
        </w:tc>
      </w:tr>
      <w:tr>
        <w:tc>
          <w:tcPr>
            <w:tcW w:type="dxa" w:w="216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420.000</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53</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1,02</w:t>
            </w:r>
          </w:p>
        </w:tc>
        <w:tc>
          <w:tcPr>
            <w:tcW w:type="dxa" w:w="43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(al límite, sin margen)</w:t>
            </w:r>
          </w:p>
        </w:tc>
      </w:tr>
      <w:tr>
        <w:tc>
          <w:tcPr>
            <w:tcW w:type="dxa" w:w="216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500.000+</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63+</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1,21+</w:t>
            </w:r>
          </w:p>
        </w:tc>
        <w:tc>
          <w:tcPr>
            <w:tcW w:type="dxa" w:w="43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(segundo tanque necesario)</w:t>
            </w:r>
          </w:p>
        </w:tc>
      </w:tr>
    </w:tbl>
    <w:p/>
    <w:p>
      <w:pPr>
        <w:jc w:val="both"/>
      </w:pPr>
      <w:r>
        <w:rPr>
          <w:rFonts w:ascii="Calibri" w:hAnsi="Calibri"/>
          <w:b w:val="0"/>
          <w:i w:val="0"/>
          <w:sz w:val="22"/>
        </w:rPr>
        <w:t>La llenadora semiautomática (500 latas/hora) constituye el segundo cuello de botella potencial. A 500.000 latas/año, se requieren ~1.000 horas de llenado/año, equivalente al 50% de la disponibilidad anual (2.000 horas). No se alcanza el límite del equipo, pero la operación de llenado se vuelve continua y demanda planificación estricta.</w:t>
      </w:r>
    </w:p>
    <w:p>
      <w:pPr>
        <w:pStyle w:val="Heading2"/>
      </w:pPr>
      <w:r>
        <w:t>Plan de crecimiento industrial</w:t>
      </w:r>
    </w:p>
    <w:tbl>
      <w:tblPr>
        <w:jc w:val="center"/>
        <w:tblLayout w:type="fixed"/>
        <w:tblLook w:firstColumn="1" w:firstRow="1" w:lastColumn="0" w:lastRow="0" w:noHBand="0" w:noVBand="1" w:val="04A0"/>
        <w:tblW w:w="9360" w:type="dxa"/>
      </w:tblPr>
      <w:tblGrid>
        <w:gridCol w:w="1234"/>
        <w:gridCol w:w="1234"/>
        <w:gridCol w:w="1234"/>
        <w:gridCol w:w="1234"/>
        <w:gridCol w:w="1234"/>
        <w:gridCol w:w="1234"/>
        <w:gridCol w:w="1234"/>
      </w:tblGrid>
      <w:tr>
        <w:tc>
          <w:tcPr>
            <w:tcW w:type="dxa" w:w="57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Año</w:t>
            </w:r>
          </w:p>
        </w:tc>
        <w:tc>
          <w:tcPr>
            <w:tcW w:type="dxa" w:w="129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Volumen (latas)</w:t>
            </w:r>
          </w:p>
        </w:tc>
        <w:tc>
          <w:tcPr>
            <w:tcW w:type="dxa" w:w="100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Turnos/día</w:t>
            </w:r>
          </w:p>
        </w:tc>
        <w:tc>
          <w:tcPr>
            <w:tcW w:type="dxa" w:w="100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Días/semana</w:t>
            </w:r>
          </w:p>
        </w:tc>
        <w:tc>
          <w:tcPr>
            <w:tcW w:type="dxa" w:w="100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Operarios</w:t>
            </w:r>
          </w:p>
        </w:tc>
        <w:tc>
          <w:tcPr>
            <w:tcW w:type="dxa" w:w="100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Lotes/año</w:t>
            </w:r>
          </w:p>
        </w:tc>
        <w:tc>
          <w:tcPr>
            <w:tcW w:type="dxa" w:w="345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Hito clave</w:t>
            </w:r>
          </w:p>
        </w:tc>
      </w:tr>
      <w:tr>
        <w:tc>
          <w:tcPr>
            <w:tcW w:type="dxa" w:w="57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50.000</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7</w:t>
            </w:r>
          </w:p>
        </w:tc>
        <w:tc>
          <w:tcPr>
            <w:tcW w:type="dxa" w:w="345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MVP, validación de mercado</w:t>
            </w:r>
          </w:p>
        </w:tc>
      </w:tr>
      <w:tr>
        <w:tc>
          <w:tcPr>
            <w:tcW w:type="dxa" w:w="57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100.000</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13</w:t>
            </w:r>
          </w:p>
        </w:tc>
        <w:tc>
          <w:tcPr>
            <w:tcW w:type="dxa" w:w="345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Break-even operativo</w:t>
            </w:r>
          </w:p>
        </w:tc>
      </w:tr>
      <w:tr>
        <w:tc>
          <w:tcPr>
            <w:tcW w:type="dxa" w:w="57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200.000</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2+1</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25</w:t>
            </w:r>
          </w:p>
        </w:tc>
        <w:tc>
          <w:tcPr>
            <w:tcW w:type="dxa" w:w="345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Rentabilidad, 2.º sabor</w:t>
            </w:r>
          </w:p>
        </w:tc>
      </w:tr>
      <w:tr>
        <w:tc>
          <w:tcPr>
            <w:tcW w:type="dxa" w:w="57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c>
          <w:tcPr>
            <w:tcW w:type="dxa" w:w="1296"/>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350.000</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1-2</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c>
          <w:tcPr>
            <w:tcW w:type="dxa" w:w="100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44</w:t>
            </w:r>
          </w:p>
        </w:tc>
        <w:tc>
          <w:tcPr>
            <w:tcW w:type="dxa" w:w="345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Retail masivo, 2.º tanque</w:t>
            </w:r>
          </w:p>
        </w:tc>
      </w:tr>
      <w:tr>
        <w:tc>
          <w:tcPr>
            <w:tcW w:type="dxa" w:w="57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c>
          <w:tcPr>
            <w:tcW w:type="dxa" w:w="1296"/>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500.000</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5</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w:t>
            </w:r>
          </w:p>
        </w:tc>
        <w:tc>
          <w:tcPr>
            <w:tcW w:type="dxa" w:w="100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63</w:t>
            </w:r>
          </w:p>
        </w:tc>
        <w:tc>
          <w:tcPr>
            <w:tcW w:type="dxa" w:w="345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Llenadora automática, expansión</w:t>
            </w:r>
          </w:p>
        </w:tc>
      </w:tr>
    </w:tbl>
    <w:p/>
    <w:p>
      <w:pPr>
        <w:pStyle w:val="Heading2"/>
      </w:pPr>
      <w:r>
        <w:t>Triggers de ampliación de capacidad</w:t>
      </w:r>
    </w:p>
    <w:p>
      <w:pPr>
        <w:jc w:val="both"/>
      </w:pPr>
      <w:r>
        <w:rPr>
          <w:rFonts w:ascii="Calibri" w:hAnsi="Calibri"/>
          <w:b w:val="0"/>
          <w:i w:val="0"/>
          <w:sz w:val="22"/>
        </w:rPr>
        <w:t>Se definen umbrales de utilización que activan decisiones de inversión en ampliación, evitando tanto la subutilización prolongada como los cuellos de botella por crecimiento no anticipado.</w:t>
      </w:r>
    </w:p>
    <w:tbl>
      <w:tblPr>
        <w:jc w:val="center"/>
        <w:tblLayout w:type="fixed"/>
        <w:tblLook w:firstColumn="1" w:firstRow="1" w:lastColumn="0" w:lastRow="0" w:noHBand="0" w:noVBand="1" w:val="04A0"/>
        <w:tblW w:w="9360" w:type="dxa"/>
      </w:tblPr>
      <w:tblGrid>
        <w:gridCol w:w="1728"/>
        <w:gridCol w:w="1728"/>
        <w:gridCol w:w="1728"/>
        <w:gridCol w:w="1728"/>
        <w:gridCol w:w="1728"/>
      </w:tblGrid>
      <w:tr>
        <w:tc>
          <w:tcPr>
            <w:tcW w:type="dxa" w:w="187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Trigger</w:t>
            </w:r>
          </w:p>
        </w:tc>
        <w:tc>
          <w:tcPr>
            <w:tcW w:type="dxa" w:w="144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Umbral</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Acción</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Inversión estimada</w:t>
            </w:r>
          </w:p>
        </w:tc>
        <w:tc>
          <w:tcPr>
            <w:tcW w:type="dxa" w:w="115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Lead time</w:t>
            </w:r>
          </w:p>
        </w:tc>
      </w:tr>
      <w:tr>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Utilización tanque maceración</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70%</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Adquisición de 2.º tanque 4.000 L</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USD 15.000 (ARS 21.300.000)</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3-4 meses</w:t>
            </w:r>
          </w:p>
        </w:tc>
      </w:tr>
      <w:tr>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Utilización general planta</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85%</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Incorporación de 2.º turno</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ARS 2.600.000/mes (2 operarios adicionales)</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mes</w:t>
            </w:r>
          </w:p>
        </w:tc>
      </w:tr>
      <w:tr>
        <w:tc>
          <w:tcPr>
            <w:tcW w:type="dxa" w:w="187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Cadencia llenadora insuficiente</w:t>
            </w:r>
          </w:p>
        </w:tc>
        <w:tc>
          <w:tcPr>
            <w:tcW w:type="dxa" w:w="144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Demanda &gt; 420.000 latas/año</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Upgrade a llenadora automática rotativa</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USD 60.000 (ARS 85.200.000)</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4-6 meses</w:t>
            </w:r>
          </w:p>
        </w:tc>
      </w:tr>
      <w:tr>
        <w:tc>
          <w:tcPr>
            <w:tcW w:type="dxa" w:w="187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Demanda multi-SKU</w:t>
            </w:r>
          </w:p>
        </w:tc>
        <w:tc>
          <w:tcPr>
            <w:tcW w:type="dxa" w:w="144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sabores en producción</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Tanques adicionales y programación por sabor</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USD 20.000 (ARS 28.400.000)</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2-3 meses</w:t>
            </w:r>
          </w:p>
        </w:tc>
      </w:tr>
    </w:tbl>
    <w:p/>
    <w:p>
      <w:pPr>
        <w:pStyle w:val="Heading2"/>
      </w:pPr>
      <w:r>
        <w:t>Inversión incremental futura</w:t>
      </w:r>
    </w:p>
    <w:tbl>
      <w:tblPr>
        <w:jc w:val="center"/>
        <w:tblLayout w:type="fixed"/>
        <w:tblLook w:firstColumn="1" w:firstRow="1" w:lastColumn="0" w:lastRow="0" w:noHBand="0" w:noVBand="1" w:val="04A0"/>
        <w:tblW w:w="9360" w:type="dxa"/>
      </w:tblPr>
      <w:tblGrid>
        <w:gridCol w:w="1728"/>
        <w:gridCol w:w="1728"/>
        <w:gridCol w:w="1728"/>
        <w:gridCol w:w="1728"/>
        <w:gridCol w:w="1728"/>
      </w:tblGrid>
      <w:tr>
        <w:tc>
          <w:tcPr>
            <w:tcW w:type="dxa" w:w="72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Año</w:t>
            </w:r>
          </w:p>
        </w:tc>
        <w:tc>
          <w:tcPr>
            <w:tcW w:type="dxa" w:w="259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Inversión</w:t>
            </w:r>
          </w:p>
        </w:tc>
        <w:tc>
          <w:tcPr>
            <w:tcW w:type="dxa" w:w="115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Monto (USD)</w:t>
            </w:r>
          </w:p>
        </w:tc>
        <w:tc>
          <w:tcPr>
            <w:tcW w:type="dxa" w:w="172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Monto (ARS)</w:t>
            </w:r>
          </w:p>
        </w:tc>
        <w:tc>
          <w:tcPr>
            <w:tcW w:type="dxa" w:w="316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Justificación</w:t>
            </w:r>
          </w:p>
        </w:tc>
      </w:tr>
      <w:tr>
        <w:tc>
          <w:tcPr>
            <w:tcW w:type="dxa" w:w="7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2.º tanque maceración 4.000 L</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15.000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21.300.000</w:t>
            </w:r>
          </w:p>
        </w:tc>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Preparación para 350K+ latas/año</w:t>
            </w:r>
          </w:p>
        </w:tc>
      </w:tr>
      <w:tr>
        <w:tc>
          <w:tcPr>
            <w:tcW w:type="dxa" w:w="7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4</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Tanques auxiliares adicionales</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8.000</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11.360.000</w:t>
            </w:r>
          </w:p>
        </w:tc>
        <w:tc>
          <w:tcPr>
            <w:tcW w:type="dxa" w:w="31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Soporte multi-SKU</w:t>
            </w:r>
          </w:p>
        </w:tc>
      </w:tr>
      <w:tr>
        <w:tc>
          <w:tcPr>
            <w:tcW w:type="dxa" w:w="7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Llenadora automática rotativa</w:t>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60.000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85.200.000</w:t>
            </w:r>
          </w:p>
        </w:tc>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Capacidad 500K+ latas/año</w:t>
            </w:r>
          </w:p>
        </w:tc>
      </w:tr>
      <w:tr>
        <w:tc>
          <w:tcPr>
            <w:tcW w:type="dxa" w:w="7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Ampliación sala de producción</w:t>
            </w:r>
          </w:p>
        </w:tc>
        <w:tc>
          <w:tcPr>
            <w:tcW w:type="dxa" w:w="1152"/>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30.000</w:t>
            </w:r>
          </w:p>
        </w:tc>
        <w:tc>
          <w:tcPr>
            <w:tcW w:type="dxa" w:w="1728"/>
            <w:shd w:fill="F2F2F2"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42.600.000</w:t>
            </w:r>
          </w:p>
        </w:tc>
        <w:tc>
          <w:tcPr>
            <w:tcW w:type="dxa" w:w="316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+100 m² para nueva línea</w:t>
            </w:r>
          </w:p>
        </w:tc>
      </w:tr>
      <w:tr>
        <w:tc>
          <w:tcPr>
            <w:tcW w:type="dxa" w:w="7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TOTAL INCREMENTAL</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c>
          <w:tcPr>
            <w:tcW w:type="dxa" w:w="1152"/>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113.000</w:t>
            </w:r>
          </w:p>
        </w:tc>
        <w:tc>
          <w:tcPr>
            <w:tcW w:type="dxa" w:w="1728"/>
            <w:shd w:fill="FFFFFF" w:val="clear"/>
            <w:tcBorders>
              <w:top w:val="single" w:sz="4" w:space="0" w:color="000000"/>
              <w:left w:val="single" w:sz="4" w:space="0" w:color="000000"/>
              <w:bottom w:val="single" w:sz="4" w:space="0" w:color="000000"/>
              <w:right w:val="single" w:sz="4" w:space="0" w:color="000000"/>
            </w:tcBorders>
          </w:tcPr>
          <w:p>
            <w:pPr>
              <w:jc w:val="right"/>
            </w:pPr>
            <w:r/>
            <w:r>
              <w:rPr>
                <w:rFonts w:ascii="Calibri" w:hAnsi="Calibri"/>
                <w:sz w:val="20"/>
              </w:rPr>
              <w:t>160.460.000</w:t>
            </w:r>
          </w:p>
        </w:tc>
        <w:tc>
          <w:tcPr>
            <w:tcW w:type="dxa" w:w="316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r>
          </w:p>
        </w:tc>
      </w:tr>
    </w:tbl>
    <w:p/>
    <w:p>
      <w:pPr>
        <w:jc w:val="both"/>
      </w:pPr>
      <w:r>
        <w:rPr>
          <w:rFonts w:ascii="Calibri" w:hAnsi="Calibri"/>
          <w:b w:val="0"/>
          <w:i w:val="0"/>
          <w:sz w:val="22"/>
        </w:rPr>
        <w:t>La inversión incremental total para los años 3 a 5 se estima en USD 113.000 (ARS 160.460.000). financiable con el flujo de caja operativo a partir del año 3 si se cumplen las metas de volumen.</w:t>
      </w:r>
    </w:p>
    <w:p>
      <w:pPr>
        <w:pStyle w:val="Heading1"/>
      </w:pPr>
      <w:r>
        <w:t>CONCLUSIONES INTEGRALES</w:t>
      </w:r>
    </w:p>
    <w:p>
      <w:pPr>
        <w:pStyle w:val="Heading2"/>
      </w:pPr>
      <w:r>
        <w:t>Oportunidad de mercado validada</w:t>
      </w:r>
    </w:p>
    <w:p>
      <w:pPr>
        <w:jc w:val="both"/>
      </w:pPr>
      <w:r>
        <w:rPr>
          <w:rFonts w:ascii="Calibri" w:hAnsi="Calibri"/>
          <w:b w:val="0"/>
          <w:i w:val="0"/>
          <w:sz w:val="22"/>
        </w:rPr>
        <w:t>La investigación de mercado confirma la existencia de un segmento desatendido en la intersección entre café specialty RTD y nutrición deportiva. El 83% de los encuestados manifestó intención de compra, y el análisis crítico de conversión estima una demanda real de 142.000 latas/año en el nicho fitness del AMBA. La competencia directa es limitada (Deseado como único referente comparable, sin proteína), lo que otorga a Etéreo una ventana de oportunidad de 12 a 18 meses como first-mover en la categoría de cold brew proteico RTD.</w:t>
      </w:r>
    </w:p>
    <w:p>
      <w:pPr>
        <w:pStyle w:val="Heading2"/>
      </w:pPr>
      <w:r>
        <w:t>Factibilidad técnica demostrada</w:t>
      </w:r>
    </w:p>
    <w:p>
      <w:pPr>
        <w:jc w:val="both"/>
      </w:pPr>
      <w:r>
        <w:rPr>
          <w:rFonts w:ascii="Calibri" w:hAnsi="Calibri"/>
          <w:b w:val="0"/>
          <w:i w:val="0"/>
          <w:sz w:val="22"/>
        </w:rPr>
        <w:t>El proceso productivo fue validado técnicamente en todos sus eslabones críticos: la maceración en frío produce un extracto de alta calidad sensorial; la homogeneización a 150-200 bar estabiliza la proteína de suero sin precipitación; el autoclave a 115-118 °C garantiza esterilidad comercial (Fo 3-5) preservando el perfil organoléptico y la integridad nutricional. El equipamiento seleccionado es accesible en el mercado argentino o mediante importación directa, y la planta de 300 m² con un costo de USD 282.000 es realista para el segmento pyme alimentario.</w:t>
      </w:r>
    </w:p>
    <w:p>
      <w:pPr>
        <w:pStyle w:val="Heading2"/>
      </w:pPr>
      <w:r>
        <w:t>Viabilidad financiera condicionada</w:t>
      </w:r>
    </w:p>
    <w:p>
      <w:pPr>
        <w:jc w:val="both"/>
      </w:pPr>
      <w:r>
        <w:rPr>
          <w:rFonts w:ascii="Calibri" w:hAnsi="Calibri"/>
          <w:b w:val="0"/>
          <w:i w:val="0"/>
          <w:sz w:val="22"/>
        </w:rPr>
        <w:t>El punto de equilibrio se ubica en 165.642 latas/año. alcanzable entre el segundo y tercer año de operación. Los primeros dos años generan pérdidas acumuladas de aproximadamente ARS 125 millones. que requieren respaldo financiero. La viabilidad está condicionada a tres factores: acceso a café importado a USD 14/kg. ramp-up comercial efectivo y estabilidad macroeconómica mínima. El proyecto es viable como inversión de mediano plazo (horizonte de 5 años). no como negocio de retorno inmediato.</w:t>
      </w:r>
    </w:p>
    <w:p>
      <w:pPr>
        <w:pStyle w:val="Heading2"/>
      </w:pPr>
      <w:r>
        <w:t>Ruta regulatoria clara</w:t>
      </w:r>
    </w:p>
    <w:p>
      <w:pPr>
        <w:jc w:val="both"/>
      </w:pPr>
      <w:r>
        <w:rPr>
          <w:rFonts w:ascii="Calibri" w:hAnsi="Calibri"/>
          <w:b w:val="0"/>
          <w:i w:val="0"/>
          <w:sz w:val="22"/>
        </w:rPr>
        <w:t>El marco regulatorio aplicable (CAA, Resolución Conjunta 38/2025, disposiciones ANMAT) establece requisitos claros para la habilitación de un establecimiento elaborador de bebidas no alcohólicas con proteína adicionada. El plazo estimado para obtener RNE (Registro Nacional de Establecimiento) y RNPA (Registro Nacional de Producto Alimenticio) es de 10 a 16 meses, considerando la tramitación ante la autoridad sanitaria provincial y ANMAT/INAL. No se identificaron obstáculos regulatorios insalvables.</w:t>
      </w:r>
    </w:p>
    <w:p>
      <w:pPr>
        <w:pStyle w:val="Heading2"/>
      </w:pPr>
      <w:r>
        <w:t>Recomendación estratégica</w:t>
      </w:r>
    </w:p>
    <w:p>
      <w:pPr>
        <w:jc w:val="both"/>
      </w:pPr>
      <w:r>
        <w:rPr>
          <w:rFonts w:ascii="Calibri" w:hAnsi="Calibri"/>
          <w:b w:val="0"/>
          <w:i w:val="0"/>
          <w:sz w:val="22"/>
        </w:rPr>
        <w:t>Se recomienda proceder con el proyecto bajo una estrategia de inversión por fases: Fase 1 (meses 1-6): constituir la empresa, iniciar trámites ANMAT, asegurar financiamiento. Fase 2 (meses 6-12): adquirir e instalar equipamiento, producir lotes piloto para validación regulatoria. Fase 3 (meses 12-18): lanzamiento comercial con foco en e-commerce directo y gimnasios premium seleccionados. Se propone un punto de decisión go/no-go en el mes 9, basado en la tracción real del producto en pruebas de mercado (pre-venta, sampling, feedback) y en el avance de los trámites regulatorios.</w:t>
      </w:r>
    </w:p>
    <w:p>
      <w:pPr>
        <w:pStyle w:val="Heading1"/>
      </w:pPr>
      <w:r>
        <w:t>ANEXOS</w:t>
      </w:r>
    </w:p>
    <w:p>
      <w:pPr>
        <w:pStyle w:val="Heading2"/>
      </w:pPr>
      <w:r>
        <w:t>Anexo I: Checklist de cumplimiento reglamentario PFE (Ordenanza CD N.º 017/2023)</w:t>
      </w:r>
    </w:p>
    <w:p>
      <w:pPr>
        <w:jc w:val="both"/>
      </w:pPr>
      <w:r>
        <w:rPr>
          <w:rFonts w:ascii="Calibri" w:hAnsi="Calibri"/>
          <w:b w:val="0"/>
          <w:i w:val="0"/>
          <w:sz w:val="22"/>
        </w:rPr>
        <w:t>El presente checklist permite verificar el cumplimiento de los requisitos establecidos por la Ordenanza del Consejo Directivo N.º 017/2023 de la Facultad de Ingeniería de la Universidad Nacional de Cuyo para la presentación del Proyecto Final de Especialización (PFE).</w:t>
      </w:r>
    </w:p>
    <w:tbl>
      <w:tblPr>
        <w:jc w:val="center"/>
        <w:tblLayout w:type="fixed"/>
        <w:tblLook w:firstColumn="1" w:firstRow="1" w:lastColumn="0" w:lastRow="0" w:noHBand="0" w:noVBand="1" w:val="04A0"/>
        <w:tblW w:w="9360" w:type="dxa"/>
      </w:tblPr>
      <w:tblGrid>
        <w:gridCol w:w="2160"/>
        <w:gridCol w:w="2160"/>
        <w:gridCol w:w="2160"/>
        <w:gridCol w:w="2160"/>
      </w:tblGrid>
      <w:tr>
        <w:tc>
          <w:tcPr>
            <w:tcW w:type="dxa" w:w="57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N.º</w:t>
            </w:r>
          </w:p>
        </w:tc>
        <w:tc>
          <w:tcPr>
            <w:tcW w:type="dxa" w:w="360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Requisito</w:t>
            </w:r>
          </w:p>
        </w:tc>
        <w:tc>
          <w:tcPr>
            <w:tcW w:type="dxa" w:w="259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Sección del documento</w:t>
            </w:r>
          </w:p>
        </w:tc>
        <w:tc>
          <w:tcPr>
            <w:tcW w:type="dxa" w:w="259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Estado</w:t>
            </w:r>
          </w:p>
        </w:tc>
      </w:tr>
      <w:tr>
        <w:tc>
          <w:tcPr>
            <w:tcW w:type="dxa" w:w="57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w:t>
            </w:r>
          </w:p>
        </w:tc>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Definición clara del problema u oportunidad</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Estudio comercial</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Cumplido</w:t>
            </w:r>
          </w:p>
        </w:tc>
      </w:tr>
      <w:tr>
        <w:tc>
          <w:tcPr>
            <w:tcW w:type="dxa" w:w="57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w:t>
            </w:r>
          </w:p>
        </w:tc>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Análisis de mercado con datos primarios y secundarios</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Estudio comercial</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Cumplido</w:t>
            </w:r>
          </w:p>
        </w:tc>
      </w:tr>
      <w:tr>
        <w:tc>
          <w:tcPr>
            <w:tcW w:type="dxa" w:w="57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w:t>
            </w:r>
          </w:p>
        </w:tc>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Estudio de ingeniería del proceso productivo</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Ingeniería de proceso</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Cumplido</w:t>
            </w:r>
          </w:p>
        </w:tc>
      </w:tr>
      <w:tr>
        <w:tc>
          <w:tcPr>
            <w:tcW w:type="dxa" w:w="57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4</w:t>
            </w:r>
          </w:p>
        </w:tc>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Dimensionamiento y selección de equipamiento</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Dimensionamiento y equipamiento</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Cumplido</w:t>
            </w:r>
          </w:p>
        </w:tc>
      </w:tr>
      <w:tr>
        <w:tc>
          <w:tcPr>
            <w:tcW w:type="dxa" w:w="57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w:t>
            </w:r>
          </w:p>
        </w:tc>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Análisis de localización</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Localización e inversión</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Cumplido</w:t>
            </w:r>
          </w:p>
        </w:tc>
      </w:tr>
      <w:tr>
        <w:tc>
          <w:tcPr>
            <w:tcW w:type="dxa" w:w="57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6</w:t>
            </w:r>
          </w:p>
        </w:tc>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Evaluación económico-financiera con indicadores</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Evaluación económico-financiera</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Cumplido</w:t>
            </w:r>
          </w:p>
        </w:tc>
      </w:tr>
      <w:tr>
        <w:tc>
          <w:tcPr>
            <w:tcW w:type="dxa" w:w="57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7</w:t>
            </w:r>
          </w:p>
        </w:tc>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Análisis de sensibilidad y escenarios</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Evaluación económico-financiera</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Cumplido</w:t>
            </w:r>
          </w:p>
        </w:tc>
      </w:tr>
      <w:tr>
        <w:tc>
          <w:tcPr>
            <w:tcW w:type="dxa" w:w="57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8</w:t>
            </w:r>
          </w:p>
        </w:tc>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Marco legal y regulatorio aplicable</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Marco legal</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Cumplido</w:t>
            </w:r>
          </w:p>
        </w:tc>
      </w:tr>
      <w:tr>
        <w:tc>
          <w:tcPr>
            <w:tcW w:type="dxa" w:w="57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9</w:t>
            </w:r>
          </w:p>
        </w:tc>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Conclusiones y recomendaciones fundamentadas</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Conclusiones integrales</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Cumplido</w:t>
            </w:r>
          </w:p>
        </w:tc>
      </w:tr>
      <w:tr>
        <w:tc>
          <w:tcPr>
            <w:tcW w:type="dxa" w:w="57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10</w:t>
            </w:r>
          </w:p>
        </w:tc>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Bibliografía y fuentes correctamente citadas</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Bibliografía (doc. principal)</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Cumplido</w:t>
            </w:r>
          </w:p>
        </w:tc>
      </w:tr>
      <w:tr>
        <w:tc>
          <w:tcPr>
            <w:tcW w:type="dxa" w:w="57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11</w:t>
            </w:r>
          </w:p>
        </w:tc>
        <w:tc>
          <w:tcPr>
            <w:tcW w:type="dxa" w:w="360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Formato según normas de la Facultad</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Todo el documento</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Cumplido</w:t>
            </w:r>
          </w:p>
        </w:tc>
      </w:tr>
      <w:tr>
        <w:tc>
          <w:tcPr>
            <w:tcW w:type="dxa" w:w="57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12</w:t>
            </w:r>
          </w:p>
        </w:tc>
        <w:tc>
          <w:tcPr>
            <w:tcW w:type="dxa" w:w="360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Resumen ejecutivo</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Doc. principal (resumen)</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Cumplido</w:t>
            </w:r>
          </w:p>
        </w:tc>
      </w:tr>
    </w:tbl>
    <w:p/>
    <w:p>
      <w:pPr>
        <w:pStyle w:val="Heading2"/>
      </w:pPr>
      <w:r>
        <w:t>Anexo II: Guía para presentación oral</w:t>
      </w:r>
    </w:p>
    <w:p>
      <w:pPr>
        <w:jc w:val="both"/>
      </w:pPr>
      <w:r>
        <w:rPr>
          <w:rFonts w:ascii="Calibri" w:hAnsi="Calibri"/>
          <w:b w:val="0"/>
          <w:i w:val="0"/>
          <w:sz w:val="22"/>
        </w:rPr>
        <w:t>Estructura sugerida para la defensa oral del proyecto ante el tribunal evaluador. Tiempo total: 30 minutos de exposición + 15 minutos de preguntas.</w:t>
      </w:r>
    </w:p>
    <w:p>
      <w:pPr>
        <w:pStyle w:val="Heading3"/>
      </w:pPr>
      <w:r>
        <w:t>Estructura de la presentación (18 diapositivas)</w:t>
      </w:r>
    </w:p>
    <w:tbl>
      <w:tblPr>
        <w:jc w:val="center"/>
        <w:tblLayout w:type="fixed"/>
        <w:tblLook w:firstColumn="1" w:firstRow="1" w:lastColumn="0" w:lastRow="0" w:noHBand="0" w:noVBand="1" w:val="04A0"/>
        <w:tblW w:w="9360" w:type="dxa"/>
      </w:tblPr>
      <w:tblGrid>
        <w:gridCol w:w="2160"/>
        <w:gridCol w:w="2160"/>
        <w:gridCol w:w="2160"/>
        <w:gridCol w:w="2160"/>
      </w:tblGrid>
      <w:tr>
        <w:tc>
          <w:tcPr>
            <w:tcW w:type="dxa" w:w="43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N.º</w:t>
            </w:r>
          </w:p>
        </w:tc>
        <w:tc>
          <w:tcPr>
            <w:tcW w:type="dxa" w:w="216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Título de diapositiva</w:t>
            </w:r>
          </w:p>
        </w:tc>
        <w:tc>
          <w:tcPr>
            <w:tcW w:type="dxa" w:w="720"/>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Tiempo</w:t>
            </w:r>
          </w:p>
        </w:tc>
        <w:tc>
          <w:tcPr>
            <w:tcW w:type="dxa" w:w="6048"/>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Contenido clave</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Portada y presentación personal</w:t>
            </w:r>
          </w:p>
        </w:tc>
        <w:tc>
          <w:tcPr>
            <w:tcW w:type="dxa" w:w="7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min</w:t>
            </w:r>
          </w:p>
        </w:tc>
        <w:tc>
          <w:tcPr>
            <w:tcW w:type="dxa" w:w="604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Nombre del proyecto, tesista, director, fecha. Breve presentación personal y motivación.</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Problema y oportunidad</w:t>
            </w:r>
          </w:p>
        </w:tc>
        <w:tc>
          <w:tcPr>
            <w:tcW w:type="dxa" w:w="7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min</w:t>
            </w:r>
          </w:p>
        </w:tc>
        <w:tc>
          <w:tcPr>
            <w:tcW w:type="dxa" w:w="604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Gap en el mercado: no existe cold brew con proteína en Argentina. Tendencia global RTD + fitness.</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Objetivos del proyecto</w:t>
            </w:r>
          </w:p>
        </w:tc>
        <w:tc>
          <w:tcPr>
            <w:tcW w:type="dxa" w:w="7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min</w:t>
            </w:r>
          </w:p>
        </w:tc>
        <w:tc>
          <w:tcPr>
            <w:tcW w:type="dxa" w:w="604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Objetivo general y específicos. Alcance del PFE.</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4</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Investigación de mercado (resumen)</w:t>
            </w:r>
          </w:p>
        </w:tc>
        <w:tc>
          <w:tcPr>
            <w:tcW w:type="dxa" w:w="7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min</w:t>
            </w:r>
          </w:p>
        </w:tc>
        <w:tc>
          <w:tcPr>
            <w:tcW w:type="dxa" w:w="604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Encuesta (n=164), segmento objetivo, intención de compra 83%, análisis crítico de conversión.</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Competencia y posicionamiento</w:t>
            </w:r>
          </w:p>
        </w:tc>
        <w:tc>
          <w:tcPr>
            <w:tcW w:type="dxa" w:w="7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min</w:t>
            </w:r>
          </w:p>
        </w:tc>
        <w:tc>
          <w:tcPr>
            <w:tcW w:type="dxa" w:w="604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Mapa competitivo, Deseado como referente, diferenciación por proteína.</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6</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Producto: formulación y proceso</w:t>
            </w:r>
          </w:p>
        </w:tc>
        <w:tc>
          <w:tcPr>
            <w:tcW w:type="dxa" w:w="7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 min</w:t>
            </w:r>
          </w:p>
        </w:tc>
        <w:tc>
          <w:tcPr>
            <w:tcW w:type="dxa" w:w="604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Formulación (café, WPI, agua), diagrama de flujo, parámetros críticos.</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7</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Decisión técnica clave: autoclave</w:t>
            </w:r>
          </w:p>
        </w:tc>
        <w:tc>
          <w:tcPr>
            <w:tcW w:type="dxa" w:w="7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min</w:t>
            </w:r>
          </w:p>
        </w:tc>
        <w:tc>
          <w:tcPr>
            <w:tcW w:type="dxa" w:w="604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Comparación autoclave vs. UV vs. UF, matriz de decisión, justificación.</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8</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Equipamiento seleccionado</w:t>
            </w:r>
          </w:p>
        </w:tc>
        <w:tc>
          <w:tcPr>
            <w:tcW w:type="dxa" w:w="7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min</w:t>
            </w:r>
          </w:p>
        </w:tc>
        <w:tc>
          <w:tcPr>
            <w:tcW w:type="dxa" w:w="604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Tabla resumen de equipos principales, proveedores, inversión total.</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9</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Localización</w:t>
            </w:r>
          </w:p>
        </w:tc>
        <w:tc>
          <w:tcPr>
            <w:tcW w:type="dxa" w:w="7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min</w:t>
            </w:r>
          </w:p>
        </w:tc>
        <w:tc>
          <w:tcPr>
            <w:tcW w:type="dxa" w:w="604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Matriz GBA-Pilar vs. Mendoza, resultado, justificación.</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10</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Layout de planta</w:t>
            </w:r>
          </w:p>
        </w:tc>
        <w:tc>
          <w:tcPr>
            <w:tcW w:type="dxa" w:w="7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min</w:t>
            </w:r>
          </w:p>
        </w:tc>
        <w:tc>
          <w:tcPr>
            <w:tcW w:type="dxa" w:w="604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Distribución de 300 m², flujo de materiales, zonas.</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11</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CAPEX total</w:t>
            </w:r>
          </w:p>
        </w:tc>
        <w:tc>
          <w:tcPr>
            <w:tcW w:type="dxa" w:w="7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min</w:t>
            </w:r>
          </w:p>
        </w:tc>
        <w:tc>
          <w:tcPr>
            <w:tcW w:type="dxa" w:w="604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USD 282.000, desglose por rubro, gráfico de torta.</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12</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Costos fijos y variables</w:t>
            </w:r>
          </w:p>
        </w:tc>
        <w:tc>
          <w:tcPr>
            <w:tcW w:type="dxa" w:w="7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min</w:t>
            </w:r>
          </w:p>
        </w:tc>
        <w:tc>
          <w:tcPr>
            <w:tcW w:type="dxa" w:w="604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Estructura de costos, costo/lata, impacto del café importado vs. local.</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13</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Análisis de margen y punto de equilibrio</w:t>
            </w:r>
          </w:p>
        </w:tc>
        <w:tc>
          <w:tcPr>
            <w:tcW w:type="dxa" w:w="7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min</w:t>
            </w:r>
          </w:p>
        </w:tc>
        <w:tc>
          <w:tcPr>
            <w:tcW w:type="dxa" w:w="604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Margen por canal, break-even 165.642 latas/año, sensibilidad.</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14</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Flujo de fondos y VAN/TIR</w:t>
            </w:r>
          </w:p>
        </w:tc>
        <w:tc>
          <w:tcPr>
            <w:tcW w:type="dxa" w:w="7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min</w:t>
            </w:r>
          </w:p>
        </w:tc>
        <w:tc>
          <w:tcPr>
            <w:tcW w:type="dxa" w:w="604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FCF 5 años, indicadores financieros, interpretación honesta.</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15</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Escenarios</w:t>
            </w:r>
          </w:p>
        </w:tc>
        <w:tc>
          <w:tcPr>
            <w:tcW w:type="dxa" w:w="7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min</w:t>
            </w:r>
          </w:p>
        </w:tc>
        <w:tc>
          <w:tcPr>
            <w:tcW w:type="dxa" w:w="604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Optimista, base, pesimista. Riesgos principales.</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16</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Marco regulatorio</w:t>
            </w:r>
          </w:p>
        </w:tc>
        <w:tc>
          <w:tcPr>
            <w:tcW w:type="dxa" w:w="7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min</w:t>
            </w:r>
          </w:p>
        </w:tc>
        <w:tc>
          <w:tcPr>
            <w:tcW w:type="dxa" w:w="604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RC 38/2025, ANMAT, timeline de habilitación.</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17</w:t>
            </w:r>
          </w:p>
        </w:tc>
        <w:tc>
          <w:tcPr>
            <w:tcW w:type="dxa" w:w="216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Plan de implementación</w:t>
            </w:r>
          </w:p>
        </w:tc>
        <w:tc>
          <w:tcPr>
            <w:tcW w:type="dxa" w:w="720"/>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 min</w:t>
            </w:r>
          </w:p>
        </w:tc>
        <w:tc>
          <w:tcPr>
            <w:tcW w:type="dxa" w:w="6048"/>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Fases, hitos, punto go/no-go mes 9.</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18</w:t>
            </w:r>
          </w:p>
        </w:tc>
        <w:tc>
          <w:tcPr>
            <w:tcW w:type="dxa" w:w="216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Conclusiones y cierre</w:t>
            </w:r>
          </w:p>
        </w:tc>
        <w:tc>
          <w:tcPr>
            <w:tcW w:type="dxa" w:w="720"/>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 min</w:t>
            </w:r>
          </w:p>
        </w:tc>
        <w:tc>
          <w:tcPr>
            <w:tcW w:type="dxa" w:w="6048"/>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 conclusiones principales, recomendación, agradecimientos.</w:t>
            </w:r>
          </w:p>
        </w:tc>
      </w:tr>
    </w:tbl>
    <w:p/>
    <w:p>
      <w:pPr>
        <w:pStyle w:val="Heading3"/>
      </w:pPr>
      <w:r>
        <w:t>Preguntas anticipadas del tribunal y respuestas sugeridas</w:t>
      </w:r>
    </w:p>
    <w:tbl>
      <w:tblPr>
        <w:jc w:val="center"/>
        <w:tblLayout w:type="fixed"/>
        <w:tblLook w:firstColumn="1" w:firstRow="1" w:lastColumn="0" w:lastRow="0" w:noHBand="0" w:noVBand="1" w:val="04A0"/>
        <w:tblW w:w="9360" w:type="dxa"/>
      </w:tblPr>
      <w:tblGrid>
        <w:gridCol w:w="2880"/>
        <w:gridCol w:w="2880"/>
        <w:gridCol w:w="2880"/>
      </w:tblGrid>
      <w:tr>
        <w:tc>
          <w:tcPr>
            <w:tcW w:type="dxa" w:w="43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N.º</w:t>
            </w:r>
          </w:p>
        </w:tc>
        <w:tc>
          <w:tcPr>
            <w:tcW w:type="dxa" w:w="2592"/>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Pregunta</w:t>
            </w:r>
          </w:p>
        </w:tc>
        <w:tc>
          <w:tcPr>
            <w:tcW w:type="dxa" w:w="6336"/>
            <w:shd w:fill="1A1A2E"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b/>
                <w:color w:val="FFFFFF"/>
                <w:sz w:val="20"/>
              </w:rPr>
              <w:t>Respuesta sugerida</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¿Por qué autoclave y no pasteurización?</w:t>
            </w:r>
          </w:p>
        </w:tc>
        <w:tc>
          <w:tcPr>
            <w:tcW w:type="dxa" w:w="633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El producto contiene proteína que requiere esterilidad comercial. La pasteurización no elimina esporas. El autoclave a 115-118 °C con Fo 3-5 es el método reconocido por ANMAT para productos de baja acidez envasados herméticamente.</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2</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¿Cómo justifica la demanda de 150.000 latas?</w:t>
            </w:r>
          </w:p>
        </w:tc>
        <w:tc>
          <w:tcPr>
            <w:tcW w:type="dxa" w:w="633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Se aplicó un modelo de funnel conservador: 137.000 consumidores fitness AMBA × 15% awareness × 20% trial × 12% repeat = ~3.950 consumidores regulares × 3 latas/mes × 12 = 142.200. Es consistente con los volúmenes de Deseado (126.000/año).</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3</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¿El canal gimnasios es viable?</w:t>
            </w:r>
          </w:p>
        </w:tc>
        <w:tc>
          <w:tcPr>
            <w:tcW w:type="dxa" w:w="633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 margen del 35% al gimnasio, no es viable (margen negativo). Se propone reducir al 20% o usar el canal como instrumento de marketing con volumen limitado al 15-20% del total.</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4</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¿Por qué no usar café local?</w:t>
            </w:r>
          </w:p>
        </w:tc>
        <w:tc>
          <w:tcPr>
            <w:tcW w:type="dxa" w:w="633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El café local specialty cuesta ARS 55.000/kg vs. USD 14/kg importado (ARS 19.880/kg). El diferencial de 177% en el costo del insumo principal haría inviable el producto al PVP objetivo.</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5</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¿Qué pasa si no se puede importar café?</w:t>
            </w:r>
          </w:p>
        </w:tc>
        <w:tc>
          <w:tcPr>
            <w:tcW w:type="dxa" w:w="633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Es el escenario pesimista. Se requeriría aumentar PVP a ARS 5.000+ o aceptar márgenes negativos. Alternativa: negociar con tostadores locales un precio preferencial para volumen (objetivo: ARS 30.000/kg).</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6</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¿La planta no está sobredimensionada?</w:t>
            </w:r>
          </w:p>
        </w:tc>
        <w:tc>
          <w:tcPr>
            <w:tcW w:type="dxa" w:w="633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Sí, deliberadamente. La utilización es del 12% en Año 1, pero el costo marginal de equipos mayores es bajo vs. reequipar en 3 años. Se alcanza 83% de utilización en Año 4.</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7</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¿Cómo se financia la pérdida de los primeros 2 años?</w:t>
            </w:r>
          </w:p>
        </w:tc>
        <w:tc>
          <w:tcPr>
            <w:tcW w:type="dxa" w:w="633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 el capital de trabajo incluido en el CAPEX (USD 52.000) y una ronda de inversión complementaria. Se propone el punto go/no-go en mes 9 para limitar la exposición.</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8</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¿Qué riesgos regulatorios existen?</w:t>
            </w:r>
          </w:p>
        </w:tc>
        <w:tc>
          <w:tcPr>
            <w:tcW w:type="dxa" w:w="633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El principal riesgo es el plazo de aprobación ANMAT (10-16 meses). La RC 38/2025 clarifica el marco, pero los tiempos administrativos son inciertos. Mitigación: iniciar trámites en paralelo con instalación.</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9</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¿Por qué GBA-Pilar y no Mendoza?</w:t>
            </w:r>
          </w:p>
        </w:tc>
        <w:tc>
          <w:tcPr>
            <w:tcW w:type="dxa" w:w="633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GBA-Pilar puntúa 4,0 vs. 2,7 en la matriz ponderada. La proximidad al mercado AMBA (25% del peso) y a proveedores de insumos importados (15%) son determinantes.</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10</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¿Cuál es el diferencial real vs. un shake proteico?</w:t>
            </w:r>
          </w:p>
        </w:tc>
        <w:tc>
          <w:tcPr>
            <w:tcW w:type="dxa" w:w="633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Conveniencia (RTD, sin preparación), experiencia sensorial (cold brew specialty, no sabor artificial), formato social (lata premium, consumo en público). Compite por la misma billetera pero en otra ocasión de consumo.</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11</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¿La proteína no precipita en el autoclave?</w:t>
            </w:r>
          </w:p>
        </w:tc>
        <w:tc>
          <w:tcPr>
            <w:tcW w:type="dxa" w:w="633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La WPI tolera 115 °C si se homogeneiza previamente a 150-200 bar y el pH se mantiene &gt; 6. La homogeneización reduce el tamaño de partícula a &lt; 1 µm, estabilizando la dispersión.</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12</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¿Cómo se valida el proceso antes de escalar?</w:t>
            </w:r>
          </w:p>
        </w:tc>
        <w:tc>
          <w:tcPr>
            <w:tcW w:type="dxa" w:w="633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 lotes piloto (Fase 2, meses 6-12). Se producen 3-5 lotes de 500 unidades para: análisis microbiológico, estabilidad acelerada, panel sensorial y presentación a ANMAT.</w:t>
            </w:r>
          </w:p>
        </w:tc>
      </w:tr>
      <w:tr>
        <w:tc>
          <w:tcPr>
            <w:tcW w:type="dxa" w:w="43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13</w:t>
            </w:r>
          </w:p>
        </w:tc>
        <w:tc>
          <w:tcPr>
            <w:tcW w:type="dxa" w:w="2592"/>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¿Qué pasa con la vida útil del producto?</w:t>
            </w:r>
          </w:p>
        </w:tc>
        <w:tc>
          <w:tcPr>
            <w:tcW w:type="dxa" w:w="6336"/>
            <w:shd w:fill="FFFFFF"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El tratamiento térmico (autoclave) + envasado hermético en lata de aluminio + dosificación de N₂ (desplazamiento de O₂) proyectan una vida útil de 12 meses. Se validará con ensayos de estabilidad acelerada.</w:t>
            </w:r>
          </w:p>
        </w:tc>
      </w:tr>
      <w:tr>
        <w:tc>
          <w:tcPr>
            <w:tcW w:type="dxa" w:w="43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14</w:t>
            </w:r>
          </w:p>
        </w:tc>
        <w:tc>
          <w:tcPr>
            <w:tcW w:type="dxa" w:w="2592"/>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¿Consideró el impacto ambiental?</w:t>
            </w:r>
          </w:p>
        </w:tc>
        <w:tc>
          <w:tcPr>
            <w:tcW w:type="dxa" w:w="6336"/>
            <w:shd w:fill="F2F2F2" w:val="clear"/>
            <w:tcBorders>
              <w:top w:val="single" w:sz="4" w:space="0" w:color="000000"/>
              <w:left w:val="single" w:sz="4" w:space="0" w:color="000000"/>
              <w:bottom w:val="single" w:sz="4" w:space="0" w:color="000000"/>
              <w:right w:val="single" w:sz="4" w:space="0" w:color="000000"/>
            </w:tcBorders>
          </w:tcPr>
          <w:p>
            <w:pPr>
              <w:jc w:val="left"/>
            </w:pPr>
            <w:r/>
            <w:r>
              <w:rPr>
                <w:rFonts w:ascii="Calibri" w:hAnsi="Calibri"/>
                <w:sz w:val="20"/>
              </w:rPr>
              <w:t>El aluminio es 100% reciclable (tasa de reciclaje en Argentina: ~50%). El borra de café se puede compostar o vender como subproducto. El consumo de agua es moderado (3.000 L/lote + CIP). No se genera efluente industrial significativo.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color w:val="000000"/>
      <w:sz w:val="22"/>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left"/>
      <w:outlineLvl w:val="0"/>
    </w:pPr>
    <w:rPr>
      <w:rFonts w:asciiTheme="majorHAnsi" w:eastAsiaTheme="majorEastAsia" w:hAnsiTheme="majorHAnsi" w:cstheme="majorBidi" w:ascii="Calibri" w:hAnsi="Calibri"/>
      <w:b/>
      <w:bCs/>
      <w:color w:val="1A1A2E"/>
      <w:sz w:val="32"/>
      <w:szCs w:val="28"/>
      <w:rFonts w:ascii="Calibri" w:hAnsi="Calibri" w:cs="Calibri"/>
    </w:rPr>
  </w:style>
  <w:style w:type="paragraph" w:styleId="Heading2">
    <w:name w:val="heading 2"/>
    <w:basedOn w:val="Normal"/>
    <w:next w:val="Normal"/>
    <w:link w:val="Heading2Char"/>
    <w:uiPriority w:val="9"/>
    <w:unhideWhenUsed/>
    <w:qFormat/>
    <w:rsid w:val="00FC693F"/>
    <w:pPr>
      <w:keepNext/>
      <w:keepLines/>
      <w:spacing w:before="200" w:after="200"/>
      <w:jc w:val="left"/>
      <w:outlineLvl w:val="1"/>
    </w:pPr>
    <w:rPr>
      <w:rFonts w:asciiTheme="majorHAnsi" w:eastAsiaTheme="majorEastAsia" w:hAnsiTheme="majorHAnsi" w:cstheme="majorBidi" w:ascii="Calibri" w:hAnsi="Calibri"/>
      <w:b/>
      <w:bCs/>
      <w:color w:val="1A1A2E"/>
      <w:sz w:val="28"/>
      <w:szCs w:val="26"/>
      <w:rFonts w:ascii="Calibri" w:hAnsi="Calibri" w:cs="Calibri"/>
    </w:rPr>
  </w:style>
  <w:style w:type="paragraph" w:styleId="Heading3">
    <w:name w:val="heading 3"/>
    <w:basedOn w:val="Normal"/>
    <w:next w:val="Normal"/>
    <w:link w:val="Heading3Char"/>
    <w:uiPriority w:val="9"/>
    <w:unhideWhenUsed/>
    <w:qFormat/>
    <w:rsid w:val="00FC693F"/>
    <w:pPr>
      <w:keepNext/>
      <w:keepLines/>
      <w:spacing w:before="200" w:after="160"/>
      <w:jc w:val="left"/>
      <w:outlineLvl w:val="2"/>
    </w:pPr>
    <w:rPr>
      <w:rFonts w:asciiTheme="majorHAnsi" w:eastAsiaTheme="majorEastAsia" w:hAnsiTheme="majorHAnsi" w:cstheme="majorBidi" w:ascii="Calibri" w:hAnsi="Calibri"/>
      <w:b/>
      <w:bCs/>
      <w:color w:val="1A1A2E"/>
      <w:sz w:val="24"/>
      <w:rFonts w:ascii="Calibri" w:hAnsi="Calibri" w:cs="Calibr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