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REVISIÓN INTEGRAL DE DOCUMENTOS DE TESIS</w:t>
      </w:r>
    </w:p>
    <w:p/>
    <w:p>
      <w:r>
        <w:rPr>
          <w:b/>
        </w:rPr>
        <w:t xml:space="preserve">Proyecto: </w:t>
      </w:r>
      <w:r>
        <w:t>Etéreo — Cold Brew Proteico RTD 300 mL</w:t>
      </w:r>
    </w:p>
    <w:p>
      <w:r>
        <w:rPr>
          <w:b/>
        </w:rPr>
        <w:t xml:space="preserve">Revisor: </w:t>
      </w:r>
      <w:r>
        <w:t>Tribunal de PFE — Facultad de Ingeniería, UNCUYO</w:t>
      </w:r>
    </w:p>
    <w:p>
      <w:r>
        <w:rPr>
          <w:b/>
        </w:rPr>
        <w:t xml:space="preserve">Reglamento aplicado: </w:t>
      </w:r>
      <w:r>
        <w:t>Ordenanza CD N° 017/2023 — Reglamento PFE</w:t>
      </w:r>
    </w:p>
    <w:p>
      <w:r>
        <w:rPr>
          <w:b/>
        </w:rPr>
        <w:t xml:space="preserve">Fecha de revisión: </w:t>
      </w:r>
      <w:r>
        <w:t>09/03/2026</w:t>
      </w:r>
    </w:p>
    <w:p>
      <w:r>
        <w:rPr>
          <w:b/>
        </w:rPr>
        <w:t xml:space="preserve">Documentos evaluados: </w:t>
      </w:r>
    </w:p>
    <w:p>
      <w:pPr>
        <w:pStyle w:val="ListNumber"/>
      </w:pPr>
      <w:r>
        <w:t>1. agent_proceso.docx — Ingeniería de Proceso (ETB-34 a ETB-52)</w:t>
      </w:r>
    </w:p>
    <w:p>
      <w:pPr>
        <w:pStyle w:val="ListNumber"/>
      </w:pPr>
      <w:r>
        <w:t>2. agent_financiero.docx — Evaluación Económico-Financiera</w:t>
      </w:r>
    </w:p>
    <w:p>
      <w:pPr>
        <w:pStyle w:val="ListNumber"/>
      </w:pPr>
      <w:r>
        <w:t>3. agent_comercial.docx — Integración Demanda-Capacidad</w:t>
      </w:r>
    </w:p>
    <w:p>
      <w:r>
        <w:br w:type="page"/>
      </w:r>
    </w:p>
    <w:p>
      <w:pPr>
        <w:pStyle w:val="Heading1"/>
      </w:pPr>
      <w:r>
        <w:rPr>
          <w:color w:val="000000"/>
        </w:rPr>
        <w:t>A. VERIFICACIÓN DE COHERENCIA INTER-AGENTES</w:t>
      </w:r>
    </w:p>
    <w:p>
      <w:r>
        <w:t>Esta sección presenta los resultados de la verificación cruzada de datos numéricos entre los tres documentos evaluados. Las inconsistencias detectadas son particularmente graves en un Proyecto Final de Ingeniería, ya que evidencian falta de coordinación entre las secciones del trabajo.</w:t>
      </w:r>
    </w:p>
    <w:p>
      <w:r>
        <w:rPr>
          <w:b/>
          <w:color w:val="C80000"/>
        </w:rPr>
        <w:t>Observación 1 — [CRÍTICO]</w:t>
      </w:r>
    </w:p>
    <w:p>
      <w:r>
        <w:rPr>
          <w:b/>
        </w:rPr>
        <w:t xml:space="preserve">Sección: </w:t>
      </w:r>
      <w:r>
        <w:t>CAPEX — Proceso vs. Financiero</w:t>
      </w:r>
    </w:p>
    <w:p>
      <w:r>
        <w:rPr>
          <w:b/>
        </w:rPr>
        <w:t xml:space="preserve">Problema: </w:t>
      </w:r>
      <w:r>
        <w:t>Inconsistencia severa en el monto de CAPEX entre agentes</w:t>
      </w:r>
    </w:p>
    <w:p>
      <w:r>
        <w:rPr>
          <w:b/>
        </w:rPr>
        <w:t xml:space="preserve">Detalle: </w:t>
      </w:r>
      <w:r>
        <w:t>El agente de Proceso (ETB-45) calcula un CAPEX total estimado medio de USD 277.700 (desglose: Maquinaria USD 156.750 + Instalaciones USD 48.500 + Capital de trabajo USD 49.350 + Preoperativos USD 23.100). Sin embargo, el agente Financiero utiliza una inversión inicial de ARS 149.000.000 (USD 124.167 al TC 1.200), compuesta por 'CAPEX de equipamiento e instalaciones (ARS 144.000.000) y costos regulatorios de habilitación ANMAT (ARS 5.000.000)'. Esto implica que el agente Financiero excluye el capital de trabajo (USD 49.350) y reduce la inversión en maquinaria+instalaciones de USD 205.250 a USD 120.000 (ARS 144.000.000 / 1.200). La diferencia es de más de USD 85.000, lo que invalida el flujo de fondos y todos los indicadores derivados (VAN, TIR, payback).</w:t>
      </w:r>
    </w:p>
    <w:p>
      <w:r>
        <w:rPr>
          <w:b/>
        </w:rPr>
        <w:t xml:space="preserve">Corrección requerida: </w:t>
      </w:r>
      <w:r>
        <w:t>Unificar el CAPEX. El flujo de fondos debe partir de la inversión total de USD 277.700 (o justificar explícitamente qué rubros se excluyen y por qué). El capital de trabajo debe aparecer como inversión del Año 0 en el FCF. Recalcular VAN, TIR y payback con la cifra corregida.</w:t>
      </w:r>
    </w:p>
    <w:p/>
    <w:p>
      <w:r>
        <w:rPr>
          <w:b/>
          <w:color w:val="C80000"/>
        </w:rPr>
        <w:t>Observación 2 — [CRÍTICO]</w:t>
      </w:r>
    </w:p>
    <w:p>
      <w:r>
        <w:rPr>
          <w:b/>
        </w:rPr>
        <w:t xml:space="preserve">Sección: </w:t>
      </w:r>
      <w:r>
        <w:t>Producción por batch — Proceso vs. Comercial</w:t>
      </w:r>
    </w:p>
    <w:p>
      <w:r>
        <w:rPr>
          <w:b/>
        </w:rPr>
        <w:t xml:space="preserve">Problema: </w:t>
      </w:r>
      <w:r>
        <w:t>Discrepancia en el rendimiento por lote (batch) entre agentes</w:t>
      </w:r>
    </w:p>
    <w:p>
      <w:r>
        <w:rPr>
          <w:b/>
        </w:rPr>
        <w:t xml:space="preserve">Detalle: </w:t>
      </w:r>
      <w:r>
        <w:t>El agente de Proceso establece: rendimiento neto por batch = ~2.400 L = ~8.000 latas (tabla ETB-34). El agente Comercial, en la Tabla 7.5, calcula los lotes necesarios como si cada lote rindiera ~1.200 latas (50.000 latas / 42 lotes = 1.190 latas/lote). Esta discrepancia es de un factor 6,7x. Si cada batch rinde 8.000 latas, se necesitan solo 6-7 batches/año para 50.000 latas, no 42. Esto invalida todo el análisis de lotes semanales, cronogramas y cuellos de botella del agente Comercial.</w:t>
      </w:r>
    </w:p>
    <w:p>
      <w:r>
        <w:rPr>
          <w:b/>
        </w:rPr>
        <w:t xml:space="preserve">Corrección requerida: </w:t>
      </w:r>
      <w:r>
        <w:t>El agente Comercial debe usar el rendimiento de 8.000 latas/batch del agente de Proceso. Recalcular la Tabla 7.5 completa (lotes/año = demanda/8.000), verificar coherencia con el cronograma de producción, y ajustar el análisis de cuellos de botella.</w:t>
      </w:r>
    </w:p>
    <w:p/>
    <w:p>
      <w:r>
        <w:rPr>
          <w:b/>
          <w:color w:val="C80000"/>
        </w:rPr>
        <w:t>Observación 3 — [CRÍTICO]</w:t>
      </w:r>
    </w:p>
    <w:p>
      <w:r>
        <w:rPr>
          <w:b/>
        </w:rPr>
        <w:t xml:space="preserve">Sección: </w:t>
      </w:r>
      <w:r>
        <w:t>Localización de planta — Proceso vs. Financiero</w:t>
      </w:r>
    </w:p>
    <w:p>
      <w:r>
        <w:rPr>
          <w:b/>
        </w:rPr>
        <w:t xml:space="preserve">Problema: </w:t>
      </w:r>
      <w:r>
        <w:t>Contradicción en la localización seleccionada para la planta</w:t>
      </w:r>
    </w:p>
    <w:p>
      <w:r>
        <w:rPr>
          <w:b/>
        </w:rPr>
        <w:t xml:space="preserve">Detalle: </w:t>
      </w:r>
      <w:r>
        <w:t>El agente de Proceso (ETB-43/44) recomienda GBA — Pilar como localización óptima con un puntaje de 4,05 vs. 2,85 de Mendoza. Sin embargo, el agente Financiero (Sección 2.2) adopta Mendoza como localización, calculando el alquiler en 250 m² × USD 5/m² = USD 1.250/mes. Además, el agente de Proceso presupuesta 300 m² en GBA a USD 8/m²/mes = USD 2.400/mes en su tabla de capital de trabajo. Esta contradicción afecta los costos fijos, la logística y la coherencia general del proyecto.</w:t>
      </w:r>
    </w:p>
    <w:p>
      <w:r>
        <w:rPr>
          <w:b/>
        </w:rPr>
        <w:t xml:space="preserve">Corrección requerida: </w:t>
      </w:r>
      <w:r>
        <w:t>Definir una única localización y utilizarla consistentemente en todos los documentos. Si se elige GBA-Pilar (como recomienda el proceso), ajustar el alquiler en el financiero a USD 2.400/mes. Si se elige Mendoza, justificar por qué se descarta la recomendación del análisis de localización.</w:t>
      </w:r>
    </w:p>
    <w:p/>
    <w:p>
      <w:r>
        <w:rPr>
          <w:b/>
          <w:color w:val="C80000"/>
        </w:rPr>
        <w:t>Observación 4 — [CRÍTICO]</w:t>
      </w:r>
    </w:p>
    <w:p>
      <w:r>
        <w:rPr>
          <w:b/>
        </w:rPr>
        <w:t xml:space="preserve">Sección: </w:t>
      </w:r>
      <w:r>
        <w:t>Ratio café:agua — Proceso vs. Financiero</w:t>
      </w:r>
    </w:p>
    <w:p>
      <w:r>
        <w:rPr>
          <w:b/>
        </w:rPr>
        <w:t xml:space="preserve">Problema: </w:t>
      </w:r>
      <w:r>
        <w:t>Inconsistencia en la proporción de extracción cold brew</w:t>
      </w:r>
    </w:p>
    <w:p>
      <w:r>
        <w:rPr>
          <w:b/>
        </w:rPr>
        <w:t xml:space="preserve">Detalle: </w:t>
      </w:r>
      <w:r>
        <w:t>El agente de Proceso especifica un ratio café:agua de 1:8 (375 kg de café para 3.000 L de agua). Sin embargo, el agente Financiero (Sección 3.1) utiliza un ratio de 1:10 (café:agua en peso). Esto implica fórmulas de producto diferentes. Además, el Proceso calcula 375 kg de café por batch, mientras que el Financiero calcula 18 g de café por lata × 8.000 latas = 144 kg por batch. La diferencia es de 2,6x en el consumo de café, lo que impacta directamente el costo variable más importante del proyecto (49,3% del costo variable).</w:t>
      </w:r>
    </w:p>
    <w:p>
      <w:r>
        <w:rPr>
          <w:b/>
        </w:rPr>
        <w:t xml:space="preserve">Corrección requerida: </w:t>
      </w:r>
      <w:r>
        <w:t>Unificar el ratio de extracción y el consumo de café por lata. Si el ratio es 1:8, el consumo por batch es 375 kg y el costo por lata es significativamente mayor al calculado por el Financiero. Recalcular todos los costos de materia prima y márgenes.</w:t>
      </w:r>
    </w:p>
    <w:p/>
    <w:p>
      <w:r>
        <w:rPr>
          <w:b/>
          <w:color w:val="C80000"/>
        </w:rPr>
        <w:t>Observación 5 — [CRÍTICO]</w:t>
      </w:r>
    </w:p>
    <w:p>
      <w:r>
        <w:rPr>
          <w:b/>
        </w:rPr>
        <w:t xml:space="preserve">Sección: </w:t>
      </w:r>
      <w:r>
        <w:t>Consumo WPI — Proceso vs. Financiero</w:t>
      </w:r>
    </w:p>
    <w:p>
      <w:r>
        <w:rPr>
          <w:b/>
        </w:rPr>
        <w:t xml:space="preserve">Problema: </w:t>
      </w:r>
      <w:r>
        <w:t>Inconsistencia en el consumo de proteína de suero por batch</w:t>
      </w:r>
    </w:p>
    <w:p>
      <w:r>
        <w:rPr>
          <w:b/>
        </w:rPr>
        <w:t xml:space="preserve">Detalle: </w:t>
      </w:r>
      <w:r>
        <w:t>El agente de Proceso (ETB-47, Sección 13.3) indica un consumo de 177,6 kg de WPI por batch (8.000 latas × 22,2 g/lata). Sin embargo, también indica un consumo anual de ~333 kg para 50.000 latas/año, lo que da 6,67 g/lata (no 22,2 g). Internamente hay una inconsistencia: si son 22,2 g/lata × 50.000 = 1.110 kg/año (no 333 kg). El agente Comercial (Tabla 7.10) indica 1.000 kg WPI/año para 50.000 latas = 20 g/lata, que tampoco coincide con 22,2 g/lata. El agente Financiero usa 22,2 g/lata a USD 20/kg (no los USD 25-40/kg del Proceso).</w:t>
      </w:r>
    </w:p>
    <w:p>
      <w:r>
        <w:rPr>
          <w:b/>
        </w:rPr>
        <w:t xml:space="preserve">Corrección requerida: </w:t>
      </w:r>
      <w:r>
        <w:t>Verificar y unificar: (a) gramos de WPI por lata (20 g proteína / 0,90 concentración = 22,2 g polvo); (b) consumo anual = 22,2 g × 50.000 = 1.110 kg; (c) precio unitario del WPI. La tabla del Proceso con 333 kg/año y 6,67 g/lata es errónea.</w:t>
      </w:r>
    </w:p>
    <w:p/>
    <w:p>
      <w:r>
        <w:rPr>
          <w:b/>
          <w:color w:val="C80000"/>
        </w:rPr>
        <w:t>Observación 6 — [CRÍTICO]</w:t>
      </w:r>
    </w:p>
    <w:p>
      <w:r>
        <w:rPr>
          <w:b/>
        </w:rPr>
        <w:t xml:space="preserve">Sección: </w:t>
      </w:r>
      <w:r>
        <w:t>VAN y TIR — Financiero</w:t>
      </w:r>
    </w:p>
    <w:p>
      <w:r>
        <w:rPr>
          <w:b/>
        </w:rPr>
        <w:t xml:space="preserve">Problema: </w:t>
      </w:r>
      <w:r>
        <w:t>Contradicción interna en los resultados financieros</w:t>
      </w:r>
    </w:p>
    <w:p>
      <w:r>
        <w:rPr>
          <w:b/>
        </w:rPr>
        <w:t xml:space="preserve">Detalle: </w:t>
      </w:r>
      <w:r>
        <w:t>El agente Financiero presenta una TIR de 61,4% (Sección 8.2) que supera ampliamente la tasa de descuento del 25%, pero simultáneamente reporta un VAN de ARS -59.342.160 en la tabla resumen de indicadores (Tabla 16). Es matemáticamente imposible que la TIR sea 61,4% y el VAN sea negativo al 25%. Si TIR=61,4%, el VAN al 25% debe ser positivo. Además, la Sección 8.1 dice 'VAN = ARS 438.227.780' pero la tabla dice ARS -59.342.160. La conclusión (10.5) dice 'VAN de ARS -59.342.160 y una TIR del 61.4%', lo cual es autocontradictorio.</w:t>
      </w:r>
    </w:p>
    <w:p>
      <w:r>
        <w:rPr>
          <w:b/>
        </w:rPr>
        <w:t xml:space="preserve">Corrección requerida: </w:t>
      </w:r>
      <w:r>
        <w:t>Rehacer completamente el cálculo del VAN y la TIR con los flujos de fondos correctos. Verificar que los flujos del Año 0 al 5 sean consistentes y recalcular. No pueden coexistir un VAN negativo y una TIR que supere la tasa de descuento.</w:t>
      </w:r>
    </w:p>
    <w:p/>
    <w:p>
      <w:r>
        <w:rPr>
          <w:b/>
          <w:color w:val="C87800"/>
        </w:rPr>
        <w:t>Observación 7 — [IMPORTANTE]</w:t>
      </w:r>
    </w:p>
    <w:p>
      <w:r>
        <w:rPr>
          <w:b/>
        </w:rPr>
        <w:t xml:space="preserve">Sección: </w:t>
      </w:r>
      <w:r>
        <w:t>Superficie de planta — Proceso vs. Financiero</w:t>
      </w:r>
    </w:p>
    <w:p>
      <w:r>
        <w:rPr>
          <w:b/>
        </w:rPr>
        <w:t xml:space="preserve">Problema: </w:t>
      </w:r>
      <w:r>
        <w:t>Inconsistencia en la superficie de la nave industrial</w:t>
      </w:r>
    </w:p>
    <w:p>
      <w:r>
        <w:rPr>
          <w:b/>
        </w:rPr>
        <w:t xml:space="preserve">Detalle: </w:t>
      </w:r>
      <w:r>
        <w:t>El agente de Proceso dimensiona la planta en 300 m² (ETB-46). El agente Financiero utiliza 250 m² para el cálculo del alquiler (Sección 2.2). Una diferencia de 50 m² afecta el costo de alquiler mensual.</w:t>
      </w:r>
    </w:p>
    <w:p>
      <w:r>
        <w:rPr>
          <w:b/>
        </w:rPr>
        <w:t xml:space="preserve">Corrección requerida: </w:t>
      </w:r>
      <w:r>
        <w:t>Unificar la superficie en 300 m² (que tiene sustento en el layout detallado del Proceso) y ajustar el cálculo de alquiler en el Financiero.</w:t>
      </w:r>
    </w:p>
    <w:p/>
    <w:p>
      <w:r>
        <w:rPr>
          <w:b/>
          <w:color w:val="C87800"/>
        </w:rPr>
        <w:t>Observación 8 — [IMPORTANTE]</w:t>
      </w:r>
    </w:p>
    <w:p>
      <w:r>
        <w:rPr>
          <w:b/>
        </w:rPr>
        <w:t xml:space="preserve">Sección: </w:t>
      </w:r>
      <w:r>
        <w:t>Costos fijos — Financiero vs. Proceso</w:t>
      </w:r>
    </w:p>
    <w:p>
      <w:r>
        <w:rPr>
          <w:b/>
        </w:rPr>
        <w:t xml:space="preserve">Problema: </w:t>
      </w:r>
      <w:r>
        <w:t>Discrepancia en la estructura de personal y costos de servicios</w:t>
      </w:r>
    </w:p>
    <w:p>
      <w:r>
        <w:rPr>
          <w:b/>
        </w:rPr>
        <w:t xml:space="preserve">Detalle: </w:t>
      </w:r>
      <w:r>
        <w:t>El agente de Proceso presupuesta 2 operarios + 1 supervisor a USD 3.000/mes (capital de trabajo). El agente Financiero detalla 2 operarios (ARS 800.000 c/u bruto) + 1 Director Técnico part-time (ARS 500.000) + 1 Administrativo/Logística (ARS 600.000), con cargas del 45%, dando ARS 3.915.000/mes. Son composiciones de personal distintas (3 personas vs. 4 personas) con montos diferentes.</w:t>
      </w:r>
    </w:p>
    <w:p>
      <w:r>
        <w:rPr>
          <w:b/>
        </w:rPr>
        <w:t xml:space="preserve">Corrección requerida: </w:t>
      </w:r>
      <w:r>
        <w:t>Unificar la dotación de personal y los montos salariales. Justificar cada puesto con referencia al CCT 244/94 y verificar que los montos sean consistentes con las escalas salariales vigentes a marzo 2026.</w:t>
      </w:r>
    </w:p>
    <w:p/>
    <w:p>
      <w:r>
        <w:rPr>
          <w:b/>
          <w:color w:val="C87800"/>
        </w:rPr>
        <w:t>Observación 9 — [IMPORTANTE]</w:t>
      </w:r>
    </w:p>
    <w:p>
      <w:r>
        <w:rPr>
          <w:b/>
        </w:rPr>
        <w:t xml:space="preserve">Sección: </w:t>
      </w:r>
      <w:r>
        <w:t>Precio WPI — Proceso vs. Financiero</w:t>
      </w:r>
    </w:p>
    <w:p>
      <w:r>
        <w:rPr>
          <w:b/>
        </w:rPr>
        <w:t xml:space="preserve">Problema: </w:t>
      </w:r>
      <w:r>
        <w:t>Precio del WPI inconsistente entre documentos</w:t>
      </w:r>
    </w:p>
    <w:p>
      <w:r>
        <w:rPr>
          <w:b/>
        </w:rPr>
        <w:t xml:space="preserve">Detalle: </w:t>
      </w:r>
      <w:r>
        <w:t>El agente de Proceso indica un precio de WPI de USD 25-40/kg (mayorista). El agente Financiero utiliza USD 20/kg para el cálculo del costo variable. La diferencia mínima es del 25% (USD 20 vs USD 25), lo que impacta en el costo variable por lata y en el margen bruto.</w:t>
      </w:r>
    </w:p>
    <w:p>
      <w:r>
        <w:rPr>
          <w:b/>
        </w:rPr>
        <w:t xml:space="preserve">Corrección requerida: </w:t>
      </w:r>
      <w:r>
        <w:t>Utilizar un precio consistente con cotizaciones reales. Si el rango del Proceso es USD 25-40/kg, el Financiero debería usar al menos USD 25/kg (límite inferior). Adjuntar cotización de respaldo.</w:t>
      </w:r>
    </w:p>
    <w:p/>
    <w:p>
      <w:r>
        <w:br w:type="page"/>
      </w:r>
    </w:p>
    <w:p>
      <w:pPr>
        <w:pStyle w:val="Heading1"/>
      </w:pPr>
      <w:r>
        <w:rPr>
          <w:color w:val="000000"/>
        </w:rPr>
        <w:t>B. OBSERVACIONES — AGENTE DE PROCESO</w:t>
      </w:r>
    </w:p>
    <w:p>
      <w:r>
        <w:rPr>
          <w:b/>
          <w:color w:val="C87800"/>
        </w:rPr>
        <w:t>Observación 10 — [IMPORTANTE]</w:t>
      </w:r>
    </w:p>
    <w:p>
      <w:r>
        <w:rPr>
          <w:b/>
        </w:rPr>
        <w:t xml:space="preserve">Sección: </w:t>
      </w:r>
      <w:r>
        <w:t>ETB-34 — Cálculo de turnos</w:t>
      </w:r>
    </w:p>
    <w:p>
      <w:r>
        <w:rPr>
          <w:b/>
        </w:rPr>
        <w:t xml:space="preserve">Problema: </w:t>
      </w:r>
      <w:r>
        <w:t>Inconsistencia interna en horas de llenado</w:t>
      </w:r>
    </w:p>
    <w:p>
      <w:r>
        <w:rPr>
          <w:b/>
        </w:rPr>
        <w:t xml:space="preserve">Detalle: </w:t>
      </w:r>
      <w:r>
        <w:t>La tabla de etapas indica 'Llenado y sellado: 5,0 h' pero la nota dice '8.000 latas a 500/h → ~16 h'. El valor de 5 h no coincide con 16 h. El cronograma luego usa 2 jornadas de 8 h (16 h total), lo cual es correcto pero contradice la tabla.</w:t>
      </w:r>
    </w:p>
    <w:p>
      <w:r>
        <w:rPr>
          <w:b/>
        </w:rPr>
        <w:t xml:space="preserve">Corrección requerida: </w:t>
      </w:r>
      <w:r>
        <w:t>Corregir la tabla de etapas: la duración del llenado debe ser 16 h (no 5 h), o bien aclarar que 5 h es la duración parcial por jornada con nota al pie.</w:t>
      </w:r>
    </w:p>
    <w:p/>
    <w:p>
      <w:r>
        <w:rPr>
          <w:b/>
          <w:color w:val="C87800"/>
        </w:rPr>
        <w:t>Observación 11 — [IMPORTANTE]</w:t>
      </w:r>
    </w:p>
    <w:p>
      <w:r>
        <w:rPr>
          <w:b/>
        </w:rPr>
        <w:t xml:space="preserve">Sección: </w:t>
      </w:r>
      <w:r>
        <w:t>ETB-36 — Tamaño de tanques</w:t>
      </w:r>
    </w:p>
    <w:p>
      <w:r>
        <w:rPr>
          <w:b/>
        </w:rPr>
        <w:t xml:space="preserve">Problema: </w:t>
      </w:r>
      <w:r>
        <w:t>Cálculo del volumen del tanque contradice la selección</w:t>
      </w:r>
    </w:p>
    <w:p>
      <w:r>
        <w:rPr>
          <w:b/>
        </w:rPr>
        <w:t xml:space="preserve">Detalle: </w:t>
      </w:r>
      <w:r>
        <w:t>Se calcula V_tanque = 3.000 × 1,20 = 3.600 L (con margen de seguridad del 20%), pero luego se selecciona 'un tanque estándar de 3.000 L de volumen útil (volumen total ~3.500-3.600 L)'. Si el volumen de agua es 3.000 L, el tanque útil debe ser ≥ 3.600 L, no 3.000 L. El tanque de 3.000 L útil resultaría insuficiente.</w:t>
      </w:r>
    </w:p>
    <w:p>
      <w:r>
        <w:rPr>
          <w:b/>
        </w:rPr>
        <w:t xml:space="preserve">Corrección requerida: </w:t>
      </w:r>
      <w:r>
        <w:t>Corregir: seleccionar un tanque de 3.600 L útil (o 4.000 L estándar) para cumplir con el margen de seguridad del 20%. Alternativamente, reducir el volumen de agua por batch y recalcular el rendimiento.</w:t>
      </w:r>
    </w:p>
    <w:p/>
    <w:p>
      <w:r>
        <w:rPr>
          <w:b/>
          <w:color w:val="C87800"/>
        </w:rPr>
        <w:t>Observación 12 — [IMPORTANTE]</w:t>
      </w:r>
    </w:p>
    <w:p>
      <w:r>
        <w:rPr>
          <w:b/>
        </w:rPr>
        <w:t xml:space="preserve">Sección: </w:t>
      </w:r>
      <w:r>
        <w:t>ETB-38 — Cotización de tanques</w:t>
      </w:r>
    </w:p>
    <w:p>
      <w:r>
        <w:rPr>
          <w:b/>
        </w:rPr>
        <w:t xml:space="preserve">Problema: </w:t>
      </w:r>
      <w:r>
        <w:t>El tanque de maceración aparece duplicado en CAPEX</w:t>
      </w:r>
    </w:p>
    <w:p>
      <w:r>
        <w:rPr>
          <w:b/>
        </w:rPr>
        <w:t xml:space="preserve">Detalle: </w:t>
      </w:r>
      <w:r>
        <w:t>El tanque de maceración de 3.000 L aparece tanto en la lista de equipamiento (ítem 2, USD 10.000-15.000) como en la cotización de tanques (USD 10.000-15.000). Esto sugiere una posible doble contabilización en el CAPEX total de maquinaria (USD 142.500) que ya incluye el tanque como ítem 2 (USD 12.500) y podría estar sumado nuevamente en los tanques.</w:t>
      </w:r>
    </w:p>
    <w:p>
      <w:r>
        <w:rPr>
          <w:b/>
        </w:rPr>
        <w:t xml:space="preserve">Corrección requerida: </w:t>
      </w:r>
      <w:r>
        <w:t>Verificar que no haya doble contabilización. El tanque de maceración debe contarse una sola vez. Aclarar si el subtotal de tanques (USD 28.750) está incluido o excluido del subtotal de maquinaria (USD 142.500).</w:t>
      </w:r>
    </w:p>
    <w:p/>
    <w:p>
      <w:r>
        <w:rPr>
          <w:b/>
          <w:color w:val="0000B4"/>
        </w:rPr>
        <w:t>Observación 13 — [MENOR]</w:t>
      </w:r>
    </w:p>
    <w:p>
      <w:r>
        <w:rPr>
          <w:b/>
        </w:rPr>
        <w:t xml:space="preserve">Sección: </w:t>
      </w:r>
      <w:r>
        <w:t>ETB-37 — Equipamiento</w:t>
      </w:r>
    </w:p>
    <w:p>
      <w:r>
        <w:rPr>
          <w:b/>
        </w:rPr>
        <w:t xml:space="preserve">Problema: </w:t>
      </w:r>
      <w:r>
        <w:t>Tipo de cambio desactualizado</w:t>
      </w:r>
    </w:p>
    <w:p>
      <w:r>
        <w:rPr>
          <w:b/>
        </w:rPr>
        <w:t xml:space="preserve">Detalle: </w:t>
      </w:r>
      <w:r>
        <w:t>Se utiliza un tipo de cambio de 1.200 ARS/USD como 'valor orientativo al cierre de 2025'. Al momento de la revisión (marzo 2026), este valor puede estar desactualizado. No se indica la fuente oficial (BCRA, Banco Nación, blue, MEP).</w:t>
      </w:r>
    </w:p>
    <w:p>
      <w:r>
        <w:rPr>
          <w:b/>
        </w:rPr>
        <w:t xml:space="preserve">Corrección requerida: </w:t>
      </w:r>
      <w:r>
        <w:t>Especificar la fuente del tipo de cambio utilizado (ej. cotización mayorista BCRA) y la fecha exacta de referencia. Incluir nota sobre la metodología de actualización.</w:t>
      </w:r>
    </w:p>
    <w:p/>
    <w:p>
      <w:r>
        <w:rPr>
          <w:b/>
          <w:color w:val="0000B4"/>
        </w:rPr>
        <w:t>Observación 14 — [MENOR]</w:t>
      </w:r>
    </w:p>
    <w:p>
      <w:r>
        <w:rPr>
          <w:b/>
        </w:rPr>
        <w:t xml:space="preserve">Sección: </w:t>
      </w:r>
      <w:r>
        <w:t>ETB-39 — Esterilización</w:t>
      </w:r>
    </w:p>
    <w:p>
      <w:r>
        <w:rPr>
          <w:b/>
        </w:rPr>
        <w:t xml:space="preserve">Problema: </w:t>
      </w:r>
      <w:r>
        <w:t>Referencia a FDA sin justificación para mercado argentino</w:t>
      </w:r>
    </w:p>
    <w:p>
      <w:r>
        <w:rPr>
          <w:b/>
        </w:rPr>
        <w:t xml:space="preserve">Detalle: </w:t>
      </w:r>
      <w:r>
        <w:t>Se cita FDA 21 CFR 113 como norma de referencia para alimentos de baja acidez. Si el producto se comercializa exclusivamente en Argentina, la norma aplicable es el Código Alimentario Argentino (CAA) y las disposiciones de ANMAT. La referencia a FDA es útil pero complementaria, no principal.</w:t>
      </w:r>
    </w:p>
    <w:p>
      <w:r>
        <w:rPr>
          <w:b/>
        </w:rPr>
        <w:t xml:space="preserve">Corrección requerida: </w:t>
      </w:r>
      <w:r>
        <w:t>Reordenar las referencias regulatorias: primero CAA/ANMAT (obligatorio), luego FDA como referencia técnica complementaria (buena práctica internacional).</w:t>
      </w:r>
    </w:p>
    <w:p/>
    <w:p>
      <w:r>
        <w:rPr>
          <w:b/>
          <w:color w:val="C87800"/>
        </w:rPr>
        <w:t>Observación 15 — [IMPORTANTE]</w:t>
      </w:r>
    </w:p>
    <w:p>
      <w:r>
        <w:rPr>
          <w:b/>
        </w:rPr>
        <w:t xml:space="preserve">Sección: </w:t>
      </w:r>
      <w:r>
        <w:t>ETB-45 — CAPEX consolidado</w:t>
      </w:r>
    </w:p>
    <w:p>
      <w:r>
        <w:rPr>
          <w:b/>
        </w:rPr>
        <w:t xml:space="preserve">Problema: </w:t>
      </w:r>
      <w:r>
        <w:t>Discrepancia en el resumen de CAPEX: dos tablas con totales diferentes</w:t>
      </w:r>
    </w:p>
    <w:p>
      <w:r>
        <w:rPr>
          <w:b/>
        </w:rPr>
        <w:t xml:space="preserve">Detalle: </w:t>
      </w:r>
      <w:r>
        <w:t>La primera tabla consolidada (línea 230) dice USD 258.850 de estimado medio. La tabla final (línea 281) dice USD 277.700. La diferencia de USD 18.850 proviene del cambio en capital de trabajo (USD 32.100 vs. USD 49.350). No se justifica por qué hay dos estimaciones diferentes del mismo concepto.</w:t>
      </w:r>
    </w:p>
    <w:p>
      <w:r>
        <w:rPr>
          <w:b/>
        </w:rPr>
        <w:t xml:space="preserve">Corrección requerida: </w:t>
      </w:r>
      <w:r>
        <w:t>Mantener una única tabla consolidada de CAPEX con un único valor. Justificar el cambio en capital de trabajo si se optó por la estimación más detallada.</w:t>
      </w:r>
    </w:p>
    <w:p/>
    <w:p>
      <w:r>
        <w:rPr>
          <w:b/>
          <w:color w:val="0000B4"/>
        </w:rPr>
        <w:t>Observación 16 — [MENOR]</w:t>
      </w:r>
    </w:p>
    <w:p>
      <w:r>
        <w:rPr>
          <w:b/>
        </w:rPr>
        <w:t xml:space="preserve">Sección: </w:t>
      </w:r>
      <w:r>
        <w:t>ETB-47 — Logística</w:t>
      </w:r>
    </w:p>
    <w:p>
      <w:r>
        <w:rPr>
          <w:b/>
        </w:rPr>
        <w:t xml:space="preserve">Problema: </w:t>
      </w:r>
      <w:r>
        <w:t>Precio del café tostado local poco realista</w:t>
      </w:r>
    </w:p>
    <w:p>
      <w:r>
        <w:rPr>
          <w:b/>
        </w:rPr>
        <w:t xml:space="preserve">Detalle: </w:t>
      </w:r>
      <w:r>
        <w:t>Se indica un precio de café tostado de ARS 46.000-64.000/kg (USD 38-53/kg). Sin embargo, el café de especialidad tostado en Argentina ronda ARS 15.000-30.000/kg en compras mayoristas (2025-2026). Los valores indicados parecen corresponder a precio retail, no mayorista.</w:t>
      </w:r>
    </w:p>
    <w:p>
      <w:r>
        <w:rPr>
          <w:b/>
        </w:rPr>
        <w:t xml:space="preserve">Corrección requerida: </w:t>
      </w:r>
      <w:r>
        <w:t>Verificar con cotizaciones reales de proveedores mayoristas. Si el precio es correcto, adjuntar la cotización como anexo.</w:t>
      </w:r>
    </w:p>
    <w:p/>
    <w:p>
      <w:r>
        <w:br w:type="page"/>
      </w:r>
    </w:p>
    <w:p>
      <w:pPr>
        <w:pStyle w:val="Heading1"/>
      </w:pPr>
      <w:r>
        <w:rPr>
          <w:color w:val="000000"/>
        </w:rPr>
        <w:t>C. OBSERVACIONES — AGENTE FINANCIERO</w:t>
      </w:r>
    </w:p>
    <w:p>
      <w:r>
        <w:rPr>
          <w:b/>
          <w:color w:val="C80000"/>
        </w:rPr>
        <w:t>Observación 17 — [CRÍTICO]</w:t>
      </w:r>
    </w:p>
    <w:p>
      <w:r>
        <w:rPr>
          <w:b/>
        </w:rPr>
        <w:t xml:space="preserve">Sección: </w:t>
      </w:r>
      <w:r>
        <w:t>Sección 7 — Flujo de fondos</w:t>
      </w:r>
    </w:p>
    <w:p>
      <w:r>
        <w:rPr>
          <w:b/>
        </w:rPr>
        <w:t xml:space="preserve">Problema: </w:t>
      </w:r>
      <w:r>
        <w:t>Los flujos del Año 1 muestran pérdidas severas incompatibles con la TIR reportada</w:t>
      </w:r>
    </w:p>
    <w:p>
      <w:r>
        <w:rPr>
          <w:b/>
        </w:rPr>
        <w:t xml:space="preserve">Detalle: </w:t>
      </w:r>
      <w:r>
        <w:t>El FCF del escenario base muestra: Año 0 = -USD 124.167, Año 1 = -USD 80.111, Año 2 = -USD 6.297, Año 3 = +USD 46.xxx (parcial), Año 4 = +USD 409.459, Año 5 = +USD 881.534. Si los flujos negativos acumulados de los primeros 2 años superan USD 210.000 y los positivos de los años 3-5 deben compensar eso, una TIR del 61,4% resulta inverosímil. La tabla de indicadores confirma que el payback descontado 'no se recupera en 5 años', lo cual es coherente con VAN negativo pero contradice la TIR del 61,4%.</w:t>
      </w:r>
    </w:p>
    <w:p>
      <w:r>
        <w:rPr>
          <w:b/>
        </w:rPr>
        <w:t xml:space="preserve">Corrección requerida: </w:t>
      </w:r>
      <w:r>
        <w:t>Rehacer el cálculo completo de la TIR usando los FCF correctos. Presentar la fórmula y los flujos en una tabla que permita verificación manual. La TIR reportada del 61,4% es incorrecta si el VAN al 25% es negativo.</w:t>
      </w:r>
    </w:p>
    <w:p/>
    <w:p>
      <w:r>
        <w:rPr>
          <w:b/>
          <w:color w:val="C80000"/>
        </w:rPr>
        <w:t>Observación 18 — [CRÍTICO]</w:t>
      </w:r>
    </w:p>
    <w:p>
      <w:r>
        <w:rPr>
          <w:b/>
        </w:rPr>
        <w:t xml:space="preserve">Sección: </w:t>
      </w:r>
      <w:r>
        <w:t>Sección 6 — Punto de equilibrio</w:t>
      </w:r>
    </w:p>
    <w:p>
      <w:r>
        <w:rPr>
          <w:b/>
        </w:rPr>
        <w:t xml:space="preserve">Problema: </w:t>
      </w:r>
      <w:r>
        <w:t>El break-even de 128.326 latas/año es 2,57x el volumen del Año 1</w:t>
      </w:r>
    </w:p>
    <w:p>
      <w:r>
        <w:rPr>
          <w:b/>
        </w:rPr>
        <w:t xml:space="preserve">Detalle: </w:t>
      </w:r>
      <w:r>
        <w:t>El punto de equilibrio anual es de 128.326 latas, pero la producción del Año 1 es de solo 50.000 latas. Esto significa que el proyecto opera con pérdidas durante al menos los primeros 12-18 meses. Sin embargo, el texto dice 'el proyecto necesita alcanzar un volumen cercano a la meta del primer año para cubrir sus costos', lo cual es incorrecto: necesita 2,57 veces la meta del Año 1. El break-even no se alcanza hasta algún punto del Año 2 (100.000 latas), y posiblemente recién en el Año 3 (200.000 latas) si los costos fijos se ajustan por inflación.</w:t>
      </w:r>
    </w:p>
    <w:p>
      <w:r>
        <w:rPr>
          <w:b/>
        </w:rPr>
        <w:t xml:space="preserve">Corrección requerida: </w:t>
      </w:r>
      <w:r>
        <w:t>Corregir la interpretación del break-even. Analizar explícitamente cuándo se alcanza realmente considerando la rampa de producción y la inflación de costos. Estimar las pérdidas acumuladas hasta el break-even y la necesidad de financiamiento.</w:t>
      </w:r>
    </w:p>
    <w:p/>
    <w:p>
      <w:r>
        <w:rPr>
          <w:b/>
          <w:color w:val="C87800"/>
        </w:rPr>
        <w:t>Observación 19 — [IMPORTANTE]</w:t>
      </w:r>
    </w:p>
    <w:p>
      <w:r>
        <w:rPr>
          <w:b/>
        </w:rPr>
        <w:t xml:space="preserve">Sección: </w:t>
      </w:r>
      <w:r>
        <w:t>Sección 2.1 — Sueldos</w:t>
      </w:r>
    </w:p>
    <w:p>
      <w:r>
        <w:rPr>
          <w:b/>
        </w:rPr>
        <w:t xml:space="preserve">Problema: </w:t>
      </w:r>
      <w:r>
        <w:t>Salario de operarios posiblemente por debajo del CCT 244/94</w:t>
      </w:r>
    </w:p>
    <w:p>
      <w:r>
        <w:rPr>
          <w:b/>
        </w:rPr>
        <w:t xml:space="preserve">Detalle: </w:t>
      </w:r>
      <w:r>
        <w:t>Se indica un salario bruto de ARS 800.000/mes por operario de producción. Según el CCT 244/94 (Industria de la Alimentación), las escalas paritarias vigentes a marzo 2026 podrían ubicar el básico de categoría oficial calificado por encima de este valor, considerando la inflación acumulada 2024-2026. No se cita la categoría específica ni la escala salarial aplicable.</w:t>
      </w:r>
    </w:p>
    <w:p>
      <w:r>
        <w:rPr>
          <w:b/>
        </w:rPr>
        <w:t xml:space="preserve">Corrección requerida: </w:t>
      </w:r>
      <w:r>
        <w:t>Citar la categoría del CCT 244/94 aplicable (ej. 'Oficial calificado' u 'Operario especializado'), indicar la escala vigente a la fecha del análisis, y verificar que el monto cumple con el piso convencional.</w:t>
      </w:r>
    </w:p>
    <w:p/>
    <w:p>
      <w:r>
        <w:rPr>
          <w:b/>
          <w:color w:val="C87800"/>
        </w:rPr>
        <w:t>Observación 20 — [IMPORTANTE]</w:t>
      </w:r>
    </w:p>
    <w:p>
      <w:r>
        <w:rPr>
          <w:b/>
        </w:rPr>
        <w:t xml:space="preserve">Sección: </w:t>
      </w:r>
      <w:r>
        <w:t>Sección 2.1 — Cargas sociales</w:t>
      </w:r>
    </w:p>
    <w:p>
      <w:r>
        <w:rPr>
          <w:b/>
        </w:rPr>
        <w:t xml:space="preserve">Problema: </w:t>
      </w:r>
      <w:r>
        <w:t>Las cargas sociales del 45% no incluyen todos los conceptos obligatorios</w:t>
      </w:r>
    </w:p>
    <w:p>
      <w:r>
        <w:rPr>
          <w:b/>
        </w:rPr>
        <w:t xml:space="preserve">Detalle: </w:t>
      </w:r>
      <w:r>
        <w:t>Se detallan: jubilación patronal 17%, obra social 6%, ANSSAL 1,5%, asig. familiares 7,5%, ART 3,5%, seguro de vida 0,5%, SAC prorrateado 8,33%. La suma es 44,33%, que se redondea a 45%. Sin embargo, faltan: contribución al INSSJP (PAMI, 2%), indemnización por antigüedad (provisión), y la cuota sindical del empleado (no es carga patronal pero sí hay contribución solidaria patronal en algunos convenios). Verificar los porcentajes vigentes.</w:t>
      </w:r>
    </w:p>
    <w:p>
      <w:r>
        <w:rPr>
          <w:b/>
        </w:rPr>
        <w:t xml:space="preserve">Corrección requerida: </w:t>
      </w:r>
      <w:r>
        <w:t>Revisar y actualizar las cargas sociales conforme a la legislación vigente a marzo 2026. Incluir una nota al pie con la normativa de referencia.</w:t>
      </w:r>
    </w:p>
    <w:p/>
    <w:p>
      <w:r>
        <w:rPr>
          <w:b/>
          <w:color w:val="C87800"/>
        </w:rPr>
        <w:t>Observación 21 — [IMPORTANTE]</w:t>
      </w:r>
    </w:p>
    <w:p>
      <w:r>
        <w:rPr>
          <w:b/>
        </w:rPr>
        <w:t xml:space="preserve">Sección: </w:t>
      </w:r>
      <w:r>
        <w:t>Sección 5.1 — PVP</w:t>
      </w:r>
    </w:p>
    <w:p>
      <w:r>
        <w:rPr>
          <w:b/>
        </w:rPr>
        <w:t xml:space="preserve">Problema: </w:t>
      </w:r>
      <w:r>
        <w:t>Cálculo del precio neto de impuestos contiene error conceptual</w:t>
      </w:r>
    </w:p>
    <w:p>
      <w:r>
        <w:rPr>
          <w:b/>
        </w:rPr>
        <w:t xml:space="preserve">Detalle: </w:t>
      </w:r>
      <w:r>
        <w:t>Se calcula: PVP neto = ARS 3.400 / 1,21 × (1 - 0,035) = ARS 2.712. El descuento de IIBB del 3,5% se aplica sobre la base imponible (precio sin IVA), lo cual es correcto. Sin embargo, no se consideran: (a) Tasa municipal de seguridad e higiene (~1%); (b) retenciones de IIBB en canales de distribución; (c) el crédito fiscal de IVA compras. El margen real podría ser menor.</w:t>
      </w:r>
    </w:p>
    <w:p>
      <w:r>
        <w:rPr>
          <w:b/>
        </w:rPr>
        <w:t xml:space="preserve">Corrección requerida: </w:t>
      </w:r>
      <w:r>
        <w:t>Incluir todas las cargas impositivas relevantes en el cálculo del precio neto. Calcular la carga tributaria total y el ingreso neto real.</w:t>
      </w:r>
    </w:p>
    <w:p/>
    <w:p>
      <w:r>
        <w:rPr>
          <w:b/>
          <w:color w:val="C87800"/>
        </w:rPr>
        <w:t>Observación 22 — [IMPORTANTE]</w:t>
      </w:r>
    </w:p>
    <w:p>
      <w:r>
        <w:rPr>
          <w:b/>
        </w:rPr>
        <w:t xml:space="preserve">Sección: </w:t>
      </w:r>
      <w:r>
        <w:t>Sección 2.4 — Mantenimiento</w:t>
      </w:r>
    </w:p>
    <w:p>
      <w:r>
        <w:rPr>
          <w:b/>
        </w:rPr>
        <w:t xml:space="preserve">Problema: </w:t>
      </w:r>
      <w:r>
        <w:t>Base de cálculo del mantenimiento incorrecta</w:t>
      </w:r>
    </w:p>
    <w:p>
      <w:r>
        <w:rPr>
          <w:b/>
        </w:rPr>
        <w:t xml:space="preserve">Detalle: </w:t>
      </w:r>
      <w:r>
        <w:t>Se calcula mantenimiento como 4% de ARS 144.000.000 = ARS 5.760.000/año. Pero ARS 144.000.000 es el CAPEX del Financiero (USD 120.000), no el del Proceso (USD 277.700 = ARS 333.240.000). Si se usa el CAPEX del Proceso, el mantenimiento sería ARS 13.329.600/año, más del doble.</w:t>
      </w:r>
    </w:p>
    <w:p>
      <w:r>
        <w:rPr>
          <w:b/>
        </w:rPr>
        <w:t xml:space="preserve">Corrección requerida: </w:t>
      </w:r>
      <w:r>
        <w:t>Usar la misma base de CAPEX que el agente de Proceso y recalcular.</w:t>
      </w:r>
    </w:p>
    <w:p/>
    <w:p>
      <w:r>
        <w:rPr>
          <w:b/>
          <w:color w:val="C87800"/>
        </w:rPr>
        <w:t>Observación 23 — [IMPORTANTE]</w:t>
      </w:r>
    </w:p>
    <w:p>
      <w:r>
        <w:rPr>
          <w:b/>
        </w:rPr>
        <w:t xml:space="preserve">Sección: </w:t>
      </w:r>
      <w:r>
        <w:t>Sección 8.5 — WACC</w:t>
      </w:r>
    </w:p>
    <w:p>
      <w:r>
        <w:rPr>
          <w:b/>
        </w:rPr>
        <w:t xml:space="preserve">Problema: </w:t>
      </w:r>
      <w:r>
        <w:t>El cálculo del WACC tiene deficiencias metodológicas</w:t>
      </w:r>
    </w:p>
    <w:p>
      <w:r>
        <w:rPr>
          <w:b/>
        </w:rPr>
        <w:t xml:space="preserve">Detalle: </w:t>
      </w:r>
      <w:r>
        <w:t>Se usa CAPM con Rf=5%, beta=1,2, prima de mercado=6%, Rp_país=8%, Rp_pyme=6%. Observaciones: (a) La prima de riesgo país de 8% no se sustenta con datos (EMBI Argentina ha fluctuado entre 600-2500 bps en 2024-2026); (b) La Rp_pyme de 6% no tiene respaldo bibliográfico claro; (c) Se cita a Damodaran (2024) sin referencia completa; (d) El beta de 1,2 para sector alimentos es alto (típicamente 0,6-0,9).</w:t>
      </w:r>
    </w:p>
    <w:p>
      <w:r>
        <w:rPr>
          <w:b/>
        </w:rPr>
        <w:t xml:space="preserve">Corrección requerida: </w:t>
      </w:r>
      <w:r>
        <w:t>Justificar cada parámetro del CAPM con fuentes verificables. Citar la base de datos de Damodaran (damodaran.stern.nyu.edu) con fecha de acceso. Revisar el beta sectorial.</w:t>
      </w:r>
    </w:p>
    <w:p/>
    <w:p>
      <w:r>
        <w:rPr>
          <w:b/>
          <w:color w:val="0000B4"/>
        </w:rPr>
        <w:t>Observación 24 — [MENOR]</w:t>
      </w:r>
    </w:p>
    <w:p>
      <w:r>
        <w:rPr>
          <w:b/>
        </w:rPr>
        <w:t xml:space="preserve">Sección: </w:t>
      </w:r>
      <w:r>
        <w:t>Sección 9 — Escenarios</w:t>
      </w:r>
    </w:p>
    <w:p>
      <w:r>
        <w:rPr>
          <w:b/>
        </w:rPr>
        <w:t xml:space="preserve">Problema: </w:t>
      </w:r>
      <w:r>
        <w:t>TIR en escenario pesimista mayor que en escenario optimista</w:t>
      </w:r>
    </w:p>
    <w:p>
      <w:r>
        <w:rPr>
          <w:b/>
        </w:rPr>
        <w:t xml:space="preserve">Detalle: </w:t>
      </w:r>
      <w:r>
        <w:t>Los resultados muestran: TIR optimista = 55,4%, TIR base = 61,4%, TIR pesimista = 63,2%. Es contraintuitivo y probablemente erróneo que el escenario pesimista tenga la TIR más alta. Esto sugiere un error de cálculo en los escenarios.</w:t>
      </w:r>
    </w:p>
    <w:p>
      <w:r>
        <w:rPr>
          <w:b/>
        </w:rPr>
        <w:t xml:space="preserve">Corrección requerida: </w:t>
      </w:r>
      <w:r>
        <w:t>Verificar los cálculos de TIR para cada escenario. La TIR del escenario pesimista debería ser menor que la del base, no mayor.</w:t>
      </w:r>
    </w:p>
    <w:p/>
    <w:p>
      <w:r>
        <w:rPr>
          <w:b/>
          <w:color w:val="0000B4"/>
        </w:rPr>
        <w:t>Observación 25 — [MENOR]</w:t>
      </w:r>
    </w:p>
    <w:p>
      <w:r>
        <w:rPr>
          <w:b/>
        </w:rPr>
        <w:t xml:space="preserve">Sección: </w:t>
      </w:r>
      <w:r>
        <w:t>Sección 8.4 — ROI</w:t>
      </w:r>
    </w:p>
    <w:p>
      <w:r>
        <w:rPr>
          <w:b/>
        </w:rPr>
        <w:t xml:space="preserve">Problema: </w:t>
      </w:r>
      <w:r>
        <w:t>ROI del 1108,5% en 5 años resulta inverosímil</w:t>
      </w:r>
    </w:p>
    <w:p>
      <w:r>
        <w:rPr>
          <w:b/>
        </w:rPr>
        <w:t xml:space="preserve">Detalle: </w:t>
      </w:r>
      <w:r>
        <w:t>Un ROI del 1108,5% sobre una inversión de ARS 149.000.000 implica un resultado neto acumulado de ARS 1.651.665.000 en 5 años. Dado que el proyecto tiene pérdidas los primeros 2 años y un break-even en 128.326 latas, este ROI parece excesivo y potencialmente calculado con flujos nominales inflados.</w:t>
      </w:r>
    </w:p>
    <w:p>
      <w:r>
        <w:rPr>
          <w:b/>
        </w:rPr>
        <w:t xml:space="preserve">Corrección requerida: </w:t>
      </w:r>
      <w:r>
        <w:t>Recalcular el ROI en términos reales (ajustado por inflación) o en USD constantes. Expresar claramente si es ROI nominal o real.</w:t>
      </w:r>
    </w:p>
    <w:p/>
    <w:p>
      <w:r>
        <w:br w:type="page"/>
      </w:r>
    </w:p>
    <w:p>
      <w:pPr>
        <w:pStyle w:val="Heading1"/>
      </w:pPr>
      <w:r>
        <w:rPr>
          <w:color w:val="000000"/>
        </w:rPr>
        <w:t>D. OBSERVACIONES — AGENTE COMERCIAL</w:t>
      </w:r>
    </w:p>
    <w:p>
      <w:r>
        <w:rPr>
          <w:b/>
          <w:color w:val="C80000"/>
        </w:rPr>
        <w:t>Observación 26 — [CRÍTICO]</w:t>
      </w:r>
    </w:p>
    <w:p>
      <w:r>
        <w:rPr>
          <w:b/>
        </w:rPr>
        <w:t xml:space="preserve">Sección: </w:t>
      </w:r>
      <w:r>
        <w:t>Tabla 7.5 — Conversión a unidades productivas</w:t>
      </w:r>
    </w:p>
    <w:p>
      <w:r>
        <w:rPr>
          <w:b/>
        </w:rPr>
        <w:t xml:space="preserve">Problema: </w:t>
      </w:r>
      <w:r>
        <w:t>El número de lotes por año es inconsistente con el tamaño de batch del Proceso</w:t>
      </w:r>
    </w:p>
    <w:p>
      <w:r>
        <w:rPr>
          <w:b/>
        </w:rPr>
        <w:t xml:space="preserve">Detalle: </w:t>
      </w:r>
      <w:r>
        <w:t>Se calculan 42 lotes/año para 50.000 latas (Año 1), lo que implica ~1.190 latas/lote. Sin embargo, el agente de Proceso define un batch de 8.000 latas. También se indica '~350 litros de cold brew concentrado' por lote con '~1.200 latas por lote', cuando el Proceso indica 2.400 L netos = 8.000 latas por batch. Toda la Sección 7.5 y sus derivados (lotes semanales, cronograma, cuellos de botella) están construidos sobre un dato base incorrecto.</w:t>
      </w:r>
    </w:p>
    <w:p>
      <w:r>
        <w:rPr>
          <w:b/>
        </w:rPr>
        <w:t xml:space="preserve">Corrección requerida: </w:t>
      </w:r>
      <w:r>
        <w:t>Rehacer completamente las Tablas 7.5, 7.8, 7.9 y todo el análisis derivado usando el batch correcto de 8.000 latas (2.400 L netos). Los lotes/año para Año 1 serían ~6-7 (no 42), y los lotes/semana serían ~0,14 (no 0,9).</w:t>
      </w:r>
    </w:p>
    <w:p/>
    <w:p>
      <w:r>
        <w:rPr>
          <w:b/>
          <w:color w:val="C87800"/>
        </w:rPr>
        <w:t>Observación 27 — [IMPORTANTE]</w:t>
      </w:r>
    </w:p>
    <w:p>
      <w:r>
        <w:rPr>
          <w:b/>
        </w:rPr>
        <w:t xml:space="preserve">Sección: </w:t>
      </w:r>
      <w:r>
        <w:t>Tabla 7.1 — Facturación estimada</w:t>
      </w:r>
    </w:p>
    <w:p>
      <w:r>
        <w:rPr>
          <w:b/>
        </w:rPr>
        <w:t xml:space="preserve">Problema: </w:t>
      </w:r>
      <w:r>
        <w:t>Las cifras de facturación son inconsistentes con el PVP</w:t>
      </w:r>
    </w:p>
    <w:p>
      <w:r>
        <w:rPr>
          <w:b/>
        </w:rPr>
        <w:t xml:space="preserve">Detalle: </w:t>
      </w:r>
      <w:r>
        <w:t>La Tabla 7.2 indica facturación de ARS 13,6M para 50.000 latas. Esto implica un ingreso de ARS 272/lata, lo cual es absurdo para un producto con PVP de ARS 3.100-3.400. Incluso descontando márgenes de canal, el ingreso debería ser ~ARS 2.332/lata (según el Financiero), dando una facturación de ~ARS 116.600.000 para 50.000 latas. La cifra de ARS 13,6M subestima la facturación por un factor de ~8,6x.</w:t>
      </w:r>
    </w:p>
    <w:p>
      <w:r>
        <w:rPr>
          <w:b/>
        </w:rPr>
        <w:t xml:space="preserve">Corrección requerida: </w:t>
      </w:r>
      <w:r>
        <w:t>Recalcular la facturación usando el PVP correcto y el mix de canales. ARS 13,6M para 50.000 latas es claramente un error de cálculo o de unidades.</w:t>
      </w:r>
    </w:p>
    <w:p/>
    <w:p>
      <w:r>
        <w:rPr>
          <w:b/>
          <w:color w:val="C87800"/>
        </w:rPr>
        <w:t>Observación 28 — [IMPORTANTE]</w:t>
      </w:r>
    </w:p>
    <w:p>
      <w:r>
        <w:rPr>
          <w:b/>
        </w:rPr>
        <w:t xml:space="preserve">Sección: </w:t>
      </w:r>
      <w:r>
        <w:t>Tabla 7.6 — Comparación integral</w:t>
      </w:r>
    </w:p>
    <w:p>
      <w:r>
        <w:rPr>
          <w:b/>
        </w:rPr>
        <w:t xml:space="preserve">Problema: </w:t>
      </w:r>
      <w:r>
        <w:t>Error lógico: la capacidad práctica se excede en Año 5 pero no se recalcula con 2.° tanque</w:t>
      </w:r>
    </w:p>
    <w:p>
      <w:r>
        <w:rPr>
          <w:b/>
        </w:rPr>
        <w:t xml:space="preserve">Detalle: </w:t>
      </w:r>
      <w:r>
        <w:t>La tabla muestra utilización s/práctica de 139,8% en Año 5, pero la capacidad práctica nunca se actualiza para reflejar la instalación del 2.° tanque en Año 3 (Gatillo G1). Si el 2.° tanque se instala en Año 3, la capacidad escalada es 525.833 latas teóricas × 0,85 OEE = 446.958 latas prácticas. Con esto, la utilización en Año 5 sería 112%, aún excedida pero no 139,8%.</w:t>
      </w:r>
    </w:p>
    <w:p>
      <w:r>
        <w:rPr>
          <w:b/>
        </w:rPr>
        <w:t xml:space="preserve">Corrección requerida: </w:t>
      </w:r>
      <w:r>
        <w:t>Incorporar la capacidad escalada (con 2.° tanque) a partir del Año 3 en la tabla comparativa. Mostrar dos líneas: capacidad pre y post ampliación.</w:t>
      </w:r>
    </w:p>
    <w:p/>
    <w:p>
      <w:r>
        <w:rPr>
          <w:b/>
          <w:color w:val="C87800"/>
        </w:rPr>
        <w:t>Observación 29 — [IMPORTANTE]</w:t>
      </w:r>
    </w:p>
    <w:p>
      <w:r>
        <w:rPr>
          <w:b/>
        </w:rPr>
        <w:t xml:space="preserve">Sección: </w:t>
      </w:r>
      <w:r>
        <w:t>Sección 7.6.3 — Año 3</w:t>
      </w:r>
    </w:p>
    <w:p>
      <w:r>
        <w:rPr>
          <w:b/>
        </w:rPr>
        <w:t xml:space="preserve">Problema: </w:t>
      </w:r>
      <w:r>
        <w:t>Especificaciones del 2.° tanque inconsistentes</w:t>
      </w:r>
    </w:p>
    <w:p>
      <w:r>
        <w:rPr>
          <w:b/>
        </w:rPr>
        <w:t xml:space="preserve">Detalle: </w:t>
      </w:r>
      <w:r>
        <w:t>El texto indica 'inversión de USD 12.000-15.000' para el segundo tanque, pero la Tabla 7.11 describe un tanque de 500 L en AISI 304. El tanque de maceración principal es de 3.000 L en AISI 316L. ¿El segundo tanque es de 500 L o de 3.000 L? Si es de 500 L, la capacidad adicional es mínima. El texto general habla de 'operar dos lotes en paralelo' con capacidad de 525.833 latas, lo que implica un segundo tanque de 3.000 L, no 500 L.</w:t>
      </w:r>
    </w:p>
    <w:p>
      <w:r>
        <w:rPr>
          <w:b/>
        </w:rPr>
        <w:t xml:space="preserve">Corrección requerida: </w:t>
      </w:r>
      <w:r>
        <w:t>Corregir la tabla del roadmap de inversiones: el 2.° tanque debe ser de 3.000 L AISI 316L (no 500 L AISI 304) para ser coherente con la estrategia de escalamiento.</w:t>
      </w:r>
    </w:p>
    <w:p/>
    <w:p>
      <w:r>
        <w:rPr>
          <w:b/>
          <w:color w:val="C87800"/>
        </w:rPr>
        <w:t>Observación 30 — [IMPORTANTE]</w:t>
      </w:r>
    </w:p>
    <w:p>
      <w:r>
        <w:rPr>
          <w:b/>
        </w:rPr>
        <w:t xml:space="preserve">Sección: </w:t>
      </w:r>
      <w:r>
        <w:t>Sección 7.3.1 — Bases del cálculo SOM</w:t>
      </w:r>
    </w:p>
    <w:p>
      <w:r>
        <w:rPr>
          <w:b/>
        </w:rPr>
        <w:t xml:space="preserve">Problema: </w:t>
      </w:r>
      <w:r>
        <w:t>Cálculos de mercado direccionable con metodología cuestionable</w:t>
      </w:r>
    </w:p>
    <w:p>
      <w:r>
        <w:rPr>
          <w:b/>
        </w:rPr>
        <w:t xml:space="preserve">Detalle: </w:t>
      </w:r>
      <w:r>
        <w:t>Se indica un TAM de ~137.000 consumidores fitness en AMBA (18-35 años, NSE medio-alto) y un SAM de 247.000 unidades anuales. Si hay 137.000 consumidores potenciales y la frecuencia declarada es 7,2 latas/mes = 86,4 latas/año, el TAM en unidades sería 137.000 × 86,4 = 11.836.800 latas/año. Un SAM de 247.000 latas representa solo el 2,1% del TAM, lo cual es muy conservador pero no se justifica la tasa de conversión. Además, la intención de prueba del 83% de una encuesta de 164 personas tiene un margen de error significativo y la intención declarada típicamente se reduce al 10-20% en compra real.</w:t>
      </w:r>
    </w:p>
    <w:p>
      <w:r>
        <w:rPr>
          <w:b/>
        </w:rPr>
        <w:t xml:space="preserve">Corrección requerida: </w:t>
      </w:r>
      <w:r>
        <w:t>Explicitar la tasa de conversión TAM→SAM→SOM con fundamento metodológico. Aplicar un factor de corrección por sesgo de intención declarada (regla de Juster o similar). Citar metodología de cálculo de mercado (Kotler, o similar).</w:t>
      </w:r>
    </w:p>
    <w:p/>
    <w:p>
      <w:r>
        <w:rPr>
          <w:b/>
          <w:color w:val="0000B4"/>
        </w:rPr>
        <w:t>Observación 31 — [MENOR]</w:t>
      </w:r>
    </w:p>
    <w:p>
      <w:r>
        <w:rPr>
          <w:b/>
        </w:rPr>
        <w:t xml:space="preserve">Sección: </w:t>
      </w:r>
      <w:r>
        <w:t>Sección 7.10 — Conclusiones</w:t>
      </w:r>
    </w:p>
    <w:p>
      <w:r>
        <w:rPr>
          <w:b/>
        </w:rPr>
        <w:t xml:space="preserve">Problema: </w:t>
      </w:r>
      <w:r>
        <w:t>La conclusión no aborda el escenario de demanda inferior a la proyectada</w:t>
      </w:r>
    </w:p>
    <w:p>
      <w:r>
        <w:rPr>
          <w:b/>
        </w:rPr>
        <w:t xml:space="preserve">Detalle: </w:t>
      </w:r>
      <w:r>
        <w:t>Las conclusiones son enteramente optimistas. No se analiza qué ocurre si la demanda del Año 1 es solo 25.000 latas (50% del SOM) o si el crecimiento es más lento. Un análisis de riesgo de demanda es esencial para un PFE.</w:t>
      </w:r>
    </w:p>
    <w:p>
      <w:r>
        <w:rPr>
          <w:b/>
        </w:rPr>
        <w:t xml:space="preserve">Corrección requerida: </w:t>
      </w:r>
      <w:r>
        <w:t>Agregar un análisis de sensibilidad de la demanda sobre la utilización de capacidad y los impactos financieros de escenarios de demanda inferior.</w:t>
      </w:r>
    </w:p>
    <w:p/>
    <w:p>
      <w:r>
        <w:br w:type="page"/>
      </w:r>
    </w:p>
    <w:p>
      <w:pPr>
        <w:pStyle w:val="Heading1"/>
      </w:pPr>
      <w:r>
        <w:rPr>
          <w:color w:val="000000"/>
        </w:rPr>
        <w:t>E. OBSERVACIONES DE FORMATO Y NORMATIVA APA 7ma EDICIÓN</w:t>
      </w:r>
    </w:p>
    <w:p>
      <w:r>
        <w:rPr>
          <w:b/>
          <w:color w:val="C87800"/>
        </w:rPr>
        <w:t>Observación 32 — [IMPORTANTE]</w:t>
      </w:r>
    </w:p>
    <w:p>
      <w:r>
        <w:rPr>
          <w:b/>
        </w:rPr>
        <w:t xml:space="preserve">Sección: </w:t>
      </w:r>
      <w:r>
        <w:t>Todos los documentos — Citación</w:t>
      </w:r>
    </w:p>
    <w:p>
      <w:r>
        <w:rPr>
          <w:b/>
        </w:rPr>
        <w:t xml:space="preserve">Problema: </w:t>
      </w:r>
      <w:r>
        <w:t>Ausencia generalizada de citas en formato APA 7ma edición</w:t>
      </w:r>
    </w:p>
    <w:p>
      <w:r>
        <w:rPr>
          <w:b/>
        </w:rPr>
        <w:t xml:space="preserve">Detalle: </w:t>
      </w:r>
      <w:r>
        <w:t>Los tres documentos carecen de citas en texto en formato APA. Se mencionan fuentes genéricamente ('Fellows, 2016', 'Brennan, 2006', 'Sapag Chain &amp; Sapag Chain, 2008', 'Brealey, Myers &amp; Allen, 2020', 'Damodaran, 2024') pero no se incluyen citas parentéticas puntuales al usar datos o afirmaciones. No hay lista de referencias al final de ningún documento. Las 'referencias y notas metodológicas' del agente de Proceso no están en formato APA.</w:t>
      </w:r>
    </w:p>
    <w:p>
      <w:r>
        <w:rPr>
          <w:b/>
        </w:rPr>
        <w:t xml:space="preserve">Corrección requerida: </w:t>
      </w:r>
      <w:r>
        <w:t>Incorporar citas parentéticas (Autor, año) en cada dato tomado de una fuente. Crear una sección de Referencias al final de cada capítulo en formato APA 7ma edición: Apellido, Inicial. (Año). Título en cursiva. Editorial.</w:t>
      </w:r>
    </w:p>
    <w:p/>
    <w:p>
      <w:r>
        <w:rPr>
          <w:b/>
          <w:color w:val="C87800"/>
        </w:rPr>
        <w:t>Observación 33 — [IMPORTANTE]</w:t>
      </w:r>
    </w:p>
    <w:p>
      <w:r>
        <w:rPr>
          <w:b/>
        </w:rPr>
        <w:t xml:space="preserve">Sección: </w:t>
      </w:r>
      <w:r>
        <w:t>Todos los documentos — Tablas</w:t>
      </w:r>
    </w:p>
    <w:p>
      <w:r>
        <w:rPr>
          <w:b/>
        </w:rPr>
        <w:t xml:space="preserve">Problema: </w:t>
      </w:r>
      <w:r>
        <w:t>Las tablas no siguen el formato APA 7ma edición</w:t>
      </w:r>
    </w:p>
    <w:p>
      <w:r>
        <w:rPr>
          <w:b/>
        </w:rPr>
        <w:t xml:space="preserve">Detalle: </w:t>
      </w:r>
      <w:r>
        <w:t>Las tablas deben tener: título en negrita arriba de la tabla con número secuencial (Tabla X), nota descriptiva debajo. Las tablas actuales tienen formato inconsistente: algunas tienen título, otras no; las notas al pie de tabla no siguen la convención APA. Además, muchas tablas del agente de Proceso aparecen como texto plano (los datos no se estructuran como tablas Word propiamente dichas).</w:t>
      </w:r>
    </w:p>
    <w:p>
      <w:r>
        <w:rPr>
          <w:b/>
        </w:rPr>
        <w:t xml:space="preserve">Corrección requerida: </w:t>
      </w:r>
      <w:r>
        <w:t>Reformatear todas las tablas según APA 7ma edición. Asegurar que todas sean tablas Word (no texto tabulado). Numerar consecutivamente dentro de cada capítulo.</w:t>
      </w:r>
    </w:p>
    <w:p/>
    <w:p>
      <w:r>
        <w:rPr>
          <w:b/>
          <w:color w:val="0000B4"/>
        </w:rPr>
        <w:t>Observación 34 — [MENOR]</w:t>
      </w:r>
    </w:p>
    <w:p>
      <w:r>
        <w:rPr>
          <w:b/>
        </w:rPr>
        <w:t xml:space="preserve">Sección: </w:t>
      </w:r>
      <w:r>
        <w:t>Todos los documentos — Encabezados</w:t>
      </w:r>
    </w:p>
    <w:p>
      <w:r>
        <w:rPr>
          <w:b/>
        </w:rPr>
        <w:t xml:space="preserve">Problema: </w:t>
      </w:r>
      <w:r>
        <w:t>Los niveles de encabezado no siguen consistentemente APA 7</w:t>
      </w:r>
    </w:p>
    <w:p>
      <w:r>
        <w:rPr>
          <w:b/>
        </w:rPr>
        <w:t xml:space="preserve">Detalle: </w:t>
      </w:r>
      <w:r>
        <w:t>APA 7 define 5 niveles de encabezado con formato específico. Los documentos usan numeración 1, 1.1, 1.2, etc., lo cual es aceptable en ingeniería pero debe ser consistente. Algunos encabezados usan 'ETB-XX' como referencia interna que no debería aparecer en el documento final.</w:t>
      </w:r>
    </w:p>
    <w:p>
      <w:r>
        <w:rPr>
          <w:b/>
        </w:rPr>
        <w:t xml:space="preserve">Corrección requerida: </w:t>
      </w:r>
      <w:r>
        <w:t>Revisar los encabezados para consistencia. Eliminar o relegar las referencias 'ETB-XX' a notas internas del proyecto.</w:t>
      </w:r>
    </w:p>
    <w:p/>
    <w:p>
      <w:r>
        <w:rPr>
          <w:b/>
          <w:color w:val="0000B4"/>
        </w:rPr>
        <w:t>Observación 35 — [MENOR]</w:t>
      </w:r>
    </w:p>
    <w:p>
      <w:r>
        <w:rPr>
          <w:b/>
        </w:rPr>
        <w:t xml:space="preserve">Sección: </w:t>
      </w:r>
      <w:r>
        <w:t>Agente Financiero</w:t>
      </w:r>
    </w:p>
    <w:p>
      <w:r>
        <w:rPr>
          <w:b/>
        </w:rPr>
        <w:t xml:space="preserve">Problema: </w:t>
      </w:r>
      <w:r>
        <w:t>Uso de 'Donde:' como formato de ecuación es no estándar</w:t>
      </w:r>
    </w:p>
    <w:p>
      <w:r>
        <w:rPr>
          <w:b/>
        </w:rPr>
        <w:t xml:space="preserve">Detalle: </w:t>
      </w:r>
      <w:r>
        <w:t>El documento usa repetidamente el formato 'Fórmula → Donde: descripción de variables' de manera informal. En un PFE de ingeniería, las ecuaciones deben numerarse y las variables definirse de forma estandarizada.</w:t>
      </w:r>
    </w:p>
    <w:p>
      <w:r>
        <w:rPr>
          <w:b/>
        </w:rPr>
        <w:t xml:space="preserve">Corrección requerida: </w:t>
      </w:r>
      <w:r>
        <w:t>Numerar las ecuaciones y usar formato estándar para definición de variables.</w:t>
      </w:r>
    </w:p>
    <w:p/>
    <w:p>
      <w:r>
        <w:br w:type="page"/>
      </w:r>
    </w:p>
    <w:p>
      <w:pPr>
        <w:pStyle w:val="Heading1"/>
      </w:pPr>
      <w:r>
        <w:rPr>
          <w:color w:val="000000"/>
        </w:rPr>
        <w:t>F. RESUMEN CUANTITATIVO DE INCONSISTENCIAS CRUZADAS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Agente Proceso</w:t>
            </w:r>
          </w:p>
        </w:tc>
        <w:tc>
          <w:tcPr>
            <w:tcW w:type="dxa" w:w="2160"/>
          </w:tcPr>
          <w:p>
            <w:r>
              <w:rPr>
                <w:b/>
              </w:rPr>
              <w:t>Agente Financiero</w:t>
            </w:r>
          </w:p>
        </w:tc>
        <w:tc>
          <w:tcPr>
            <w:tcW w:type="dxa" w:w="2160"/>
          </w:tcPr>
          <w:p>
            <w:r>
              <w:rPr>
                <w:b/>
              </w:rPr>
              <w:t>Agente Comercial</w:t>
            </w:r>
          </w:p>
        </w:tc>
      </w:tr>
      <w:tr>
        <w:tc>
          <w:tcPr>
            <w:tcW w:type="dxa" w:w="2160"/>
          </w:tcPr>
          <w:p>
            <w:r>
              <w:t>CAPEX total (USD)</w:t>
            </w:r>
          </w:p>
        </w:tc>
        <w:tc>
          <w:tcPr>
            <w:tcW w:type="dxa" w:w="2160"/>
          </w:tcPr>
          <w:p>
            <w:r>
              <w:t>277.700</w:t>
            </w:r>
          </w:p>
        </w:tc>
        <w:tc>
          <w:tcPr>
            <w:tcW w:type="dxa" w:w="2160"/>
          </w:tcPr>
          <w:p>
            <w:r>
              <w:t>124.167</w:t>
            </w:r>
          </w:p>
        </w:tc>
        <w:tc>
          <w:tcPr>
            <w:tcW w:type="dxa" w:w="2160"/>
          </w:tcPr>
          <w:p>
            <w:r>
              <w:t>No especifica</w:t>
            </w:r>
          </w:p>
        </w:tc>
      </w:tr>
      <w:tr>
        <w:tc>
          <w:tcPr>
            <w:tcW w:type="dxa" w:w="2160"/>
          </w:tcPr>
          <w:p>
            <w:r>
              <w:t>Localización</w:t>
            </w:r>
          </w:p>
        </w:tc>
        <w:tc>
          <w:tcPr>
            <w:tcW w:type="dxa" w:w="2160"/>
          </w:tcPr>
          <w:p>
            <w:r>
              <w:t>GBA — Pilar</w:t>
            </w:r>
          </w:p>
        </w:tc>
        <w:tc>
          <w:tcPr>
            <w:tcW w:type="dxa" w:w="2160"/>
          </w:tcPr>
          <w:p>
            <w:r>
              <w:t>Mendoza</w:t>
            </w:r>
          </w:p>
        </w:tc>
        <w:tc>
          <w:tcPr>
            <w:tcW w:type="dxa" w:w="2160"/>
          </w:tcPr>
          <w:p>
            <w:r>
              <w:t>No especifica</w:t>
            </w:r>
          </w:p>
        </w:tc>
      </w:tr>
      <w:tr>
        <w:tc>
          <w:tcPr>
            <w:tcW w:type="dxa" w:w="2160"/>
          </w:tcPr>
          <w:p>
            <w:r>
              <w:t>Ratio café:agua</w:t>
            </w:r>
          </w:p>
        </w:tc>
        <w:tc>
          <w:tcPr>
            <w:tcW w:type="dxa" w:w="2160"/>
          </w:tcPr>
          <w:p>
            <w:r>
              <w:t>1:8</w:t>
            </w:r>
          </w:p>
        </w:tc>
        <w:tc>
          <w:tcPr>
            <w:tcW w:type="dxa" w:w="2160"/>
          </w:tcPr>
          <w:p>
            <w:r>
              <w:t>1:10</w:t>
            </w:r>
          </w:p>
        </w:tc>
        <w:tc>
          <w:tcPr>
            <w:tcW w:type="dxa" w:w="2160"/>
          </w:tcPr>
          <w:p>
            <w:r>
              <w:t>No especifica</w:t>
            </w:r>
          </w:p>
        </w:tc>
      </w:tr>
      <w:tr>
        <w:tc>
          <w:tcPr>
            <w:tcW w:type="dxa" w:w="2160"/>
          </w:tcPr>
          <w:p>
            <w:r>
              <w:t>Latas por batch</w:t>
            </w:r>
          </w:p>
        </w:tc>
        <w:tc>
          <w:tcPr>
            <w:tcW w:type="dxa" w:w="2160"/>
          </w:tcPr>
          <w:p>
            <w:r>
              <w:t>8.000</w:t>
            </w:r>
          </w:p>
        </w:tc>
        <w:tc>
          <w:tcPr>
            <w:tcW w:type="dxa" w:w="2160"/>
          </w:tcPr>
          <w:p>
            <w:r>
              <w:t>Implícito ~8.000</w:t>
            </w:r>
          </w:p>
        </w:tc>
        <w:tc>
          <w:tcPr>
            <w:tcW w:type="dxa" w:w="2160"/>
          </w:tcPr>
          <w:p>
            <w:r>
              <w:t>~1.200</w:t>
            </w:r>
          </w:p>
        </w:tc>
      </w:tr>
      <w:tr>
        <w:tc>
          <w:tcPr>
            <w:tcW w:type="dxa" w:w="2160"/>
          </w:tcPr>
          <w:p>
            <w:r>
              <w:t>Consumo WPI (g/lata)</w:t>
            </w:r>
          </w:p>
        </w:tc>
        <w:tc>
          <w:tcPr>
            <w:tcW w:type="dxa" w:w="2160"/>
          </w:tcPr>
          <w:p>
            <w:r>
              <w:t>22,2 g (pero error en anual)</w:t>
            </w:r>
          </w:p>
        </w:tc>
        <w:tc>
          <w:tcPr>
            <w:tcW w:type="dxa" w:w="2160"/>
          </w:tcPr>
          <w:p>
            <w:r>
              <w:t>22,2 g</w:t>
            </w:r>
          </w:p>
        </w:tc>
        <w:tc>
          <w:tcPr>
            <w:tcW w:type="dxa" w:w="2160"/>
          </w:tcPr>
          <w:p>
            <w:r>
              <w:t>20 g</w:t>
            </w:r>
          </w:p>
        </w:tc>
      </w:tr>
      <w:tr>
        <w:tc>
          <w:tcPr>
            <w:tcW w:type="dxa" w:w="2160"/>
          </w:tcPr>
          <w:p>
            <w:r>
              <w:t>Precio WPI (USD/kg)</w:t>
            </w:r>
          </w:p>
        </w:tc>
        <w:tc>
          <w:tcPr>
            <w:tcW w:type="dxa" w:w="2160"/>
          </w:tcPr>
          <w:p>
            <w:r>
              <w:t>25-40</w:t>
            </w:r>
          </w:p>
        </w:tc>
        <w:tc>
          <w:tcPr>
            <w:tcW w:type="dxa" w:w="2160"/>
          </w:tcPr>
          <w:p>
            <w:r>
              <w:t>20</w:t>
            </w:r>
          </w:p>
        </w:tc>
        <w:tc>
          <w:tcPr>
            <w:tcW w:type="dxa" w:w="2160"/>
          </w:tcPr>
          <w:p>
            <w:r>
              <w:t>No especifica</w:t>
            </w:r>
          </w:p>
        </w:tc>
      </w:tr>
      <w:tr>
        <w:tc>
          <w:tcPr>
            <w:tcW w:type="dxa" w:w="2160"/>
          </w:tcPr>
          <w:p>
            <w:r>
              <w:t>Superficie planta (m²)</w:t>
            </w:r>
          </w:p>
        </w:tc>
        <w:tc>
          <w:tcPr>
            <w:tcW w:type="dxa" w:w="2160"/>
          </w:tcPr>
          <w:p>
            <w:r>
              <w:t>300</w:t>
            </w:r>
          </w:p>
        </w:tc>
        <w:tc>
          <w:tcPr>
            <w:tcW w:type="dxa" w:w="2160"/>
          </w:tcPr>
          <w:p>
            <w:r>
              <w:t>250</w:t>
            </w:r>
          </w:p>
        </w:tc>
        <w:tc>
          <w:tcPr>
            <w:tcW w:type="dxa" w:w="2160"/>
          </w:tcPr>
          <w:p>
            <w:r>
              <w:t>No especifica</w:t>
            </w:r>
          </w:p>
        </w:tc>
      </w:tr>
    </w:tbl>
    <w:p/>
    <w:p>
      <w:r>
        <w:t>Se identifican 7 variables con inconsistencias entre agentes. De estas, al menos 4 son de severidad CRÍTICA porque afectan directamente la viabilidad financiera y la factibilidad técnica del proyecto.</w:t>
      </w:r>
    </w:p>
    <w:p>
      <w:r>
        <w:br w:type="page"/>
      </w:r>
    </w:p>
    <w:p>
      <w:pPr>
        <w:pStyle w:val="Heading1"/>
      </w:pPr>
      <w:r>
        <w:rPr>
          <w:color w:val="000000"/>
        </w:rPr>
        <w:t>G. VEREDICTO FINAL</w:t>
      </w:r>
    </w:p>
    <w:tbl>
      <w:tblPr>
        <w:tblStyle w:val="TableGrid"/>
        <w:tblW w:type="auto" w:w="0"/>
        <w:tblLook w:firstColumn="1" w:firstRow="1" w:lastColumn="0" w:lastRow="0" w:noHBand="0" w:noVBand="1" w:val="04A0"/>
      </w:tblPr>
      <w:tblGrid>
        <w:gridCol w:w="4320"/>
        <w:gridCol w:w="4320"/>
      </w:tblGrid>
      <w:tr>
        <w:tc>
          <w:tcPr>
            <w:tcW w:type="dxa" w:w="4320"/>
          </w:tcPr>
          <w:p>
            <w:r>
              <w:rPr>
                <w:b/>
              </w:rPr>
              <w:t>Severidad</w:t>
            </w:r>
          </w:p>
        </w:tc>
        <w:tc>
          <w:tcPr>
            <w:tcW w:type="dxa" w:w="4320"/>
          </w:tcPr>
          <w:p>
            <w:r>
              <w:rPr>
                <w:b/>
              </w:rPr>
              <w:t>Cantidad</w:t>
            </w:r>
          </w:p>
        </w:tc>
      </w:tr>
      <w:tr>
        <w:tc>
          <w:tcPr>
            <w:tcW w:type="dxa" w:w="4320"/>
          </w:tcPr>
          <w:p>
            <w:r>
              <w:t>CRÍTICO</w:t>
            </w:r>
          </w:p>
        </w:tc>
        <w:tc>
          <w:tcPr>
            <w:tcW w:type="dxa" w:w="4320"/>
          </w:tcPr>
          <w:p>
            <w:r>
              <w:t>7</w:t>
            </w:r>
          </w:p>
        </w:tc>
      </w:tr>
      <w:tr>
        <w:tc>
          <w:tcPr>
            <w:tcW w:type="dxa" w:w="4320"/>
          </w:tcPr>
          <w:p>
            <w:r>
              <w:t>IMPORTANTE</w:t>
            </w:r>
          </w:p>
        </w:tc>
        <w:tc>
          <w:tcPr>
            <w:tcW w:type="dxa" w:w="4320"/>
          </w:tcPr>
          <w:p>
            <w:r>
              <w:t>18</w:t>
            </w:r>
          </w:p>
        </w:tc>
      </w:tr>
      <w:tr>
        <w:tc>
          <w:tcPr>
            <w:tcW w:type="dxa" w:w="4320"/>
          </w:tcPr>
          <w:p>
            <w:r>
              <w:t>MENOR</w:t>
            </w:r>
          </w:p>
        </w:tc>
        <w:tc>
          <w:tcPr>
            <w:tcW w:type="dxa" w:w="4320"/>
          </w:tcPr>
          <w:p>
            <w:r>
              <w:t>10</w:t>
            </w:r>
          </w:p>
        </w:tc>
      </w:tr>
      <w:tr>
        <w:tc>
          <w:tcPr>
            <w:tcW w:type="dxa" w:w="4320"/>
          </w:tcPr>
          <w:p>
            <w:r>
              <w:rPr>
                <w:b/>
              </w:rPr>
              <w:t>TOTAL OBSERVACIONES</w:t>
            </w:r>
          </w:p>
        </w:tc>
        <w:tc>
          <w:tcPr>
            <w:tcW w:type="dxa" w:w="4320"/>
          </w:tcPr>
          <w:p>
            <w:r>
              <w:rPr>
                <w:b/>
              </w:rPr>
              <w:t>35</w:t>
            </w:r>
          </w:p>
        </w:tc>
      </w:tr>
    </w:tbl>
    <w:p/>
    <w:p>
      <w:r>
        <w:rPr>
          <w:b/>
          <w:color w:val="C80000"/>
          <w:sz w:val="28"/>
        </w:rPr>
        <w:t>VEREDICTO: RECHAZADO — DEVUELTO PARA CORRECCIONES MAYORES</w:t>
      </w:r>
    </w:p>
    <w:p/>
    <w:p>
      <w:r>
        <w:t>Fundamento del veredicto:</w:t>
      </w:r>
    </w:p>
    <w:p>
      <w:r>
        <w:t>El trabajo presenta un nivel de desarrollo significativo en cada sección individual, con análisis técnicos detallados y una profundidad de contenido que demuestra conocimiento del tema. Sin embargo, las inconsistencias inter-agentes son de tal magnitud que invalidan las conclusiones del análisis financiero y cuestionan la coherencia interna del proyecto como un todo integrado.</w:t>
      </w:r>
    </w:p>
    <w:p>
      <w:pPr>
        <w:pStyle w:val="ListBullet"/>
      </w:pPr>
      <w:r>
        <w:t>Las deficiencias críticas que motivan el rechazo son:</w:t>
      </w:r>
    </w:p>
    <w:p>
      <w:pPr>
        <w:pStyle w:val="ListNumber"/>
      </w:pPr>
      <w:r>
        <w:t>1. El CAPEX del agente Financiero (USD 124.167) difiere en más de USD 153.000 del CAPEX del agente de Proceso (USD 277.700). Esto invalida el VAN, la TIR y el payback.</w:t>
      </w:r>
    </w:p>
    <w:p>
      <w:pPr>
        <w:pStyle w:val="ListNumber"/>
      </w:pPr>
      <w:r>
        <w:t>2. El VAN reportado es simultáneamente positivo (ARS 438.227.780) y negativo (ARS -59.342.160) en el mismo documento. La TIR de 61,4% es matemáticamente incompatible con un VAN negativo al 25%. Los indicadores financieros son internamente contradictorios.</w:t>
      </w:r>
    </w:p>
    <w:p>
      <w:pPr>
        <w:pStyle w:val="ListNumber"/>
      </w:pPr>
      <w:r>
        <w:t>3. El rendimiento por batch difiere entre agentes en un factor de 6,7x (8.000 latas vs. 1.200 latas), lo que invalida todo el análisis de capacidad del agente Comercial.</w:t>
      </w:r>
    </w:p>
    <w:p>
      <w:pPr>
        <w:pStyle w:val="ListNumber"/>
      </w:pPr>
      <w:r>
        <w:t>4. La localización de la planta es contradictoria (GBA vs. Mendoza) entre documentos.</w:t>
      </w:r>
    </w:p>
    <w:p>
      <w:pPr>
        <w:pStyle w:val="ListNumber"/>
      </w:pPr>
      <w:r>
        <w:t>5. El ratio de extracción (1:8 vs. 1:10) y el consumo de café por lata (375 kg/batch vs. 144 kg/batch) difieren entre agentes, afectando el costo variable principal.</w:t>
      </w:r>
    </w:p>
    <w:p/>
    <w:p>
      <w:r>
        <w:t>Para avanzar hacia una instancia de aprobación, el alumno deberá:</w:t>
      </w:r>
    </w:p>
    <w:p>
      <w:pPr>
        <w:pStyle w:val="ListBullet"/>
      </w:pPr>
      <w:r>
        <w:t>a) Unificar todos los datos base (CAPEX, batch size, localización, ratio café, consumo WPI, precios de insumos) en un documento maestro de supuestos que sea referencia para todas las secciones.</w:t>
      </w:r>
    </w:p>
    <w:p>
      <w:pPr>
        <w:pStyle w:val="ListBullet"/>
      </w:pPr>
      <w:r>
        <w:t>b) Recalcular íntegramente el flujo de fondos con el CAPEX correcto y verificar la coherencia interna de VAN, TIR y payback.</w:t>
      </w:r>
    </w:p>
    <w:p>
      <w:pPr>
        <w:pStyle w:val="ListBullet"/>
      </w:pPr>
      <w:r>
        <w:t>c) Recalcular la integración demanda-capacidad con el batch size correcto de 8.000 latas.</w:t>
      </w:r>
    </w:p>
    <w:p>
      <w:pPr>
        <w:pStyle w:val="ListBullet"/>
      </w:pPr>
      <w:r>
        <w:t>d) Reformatear tablas, citas y referencias según APA 7ma edición.</w:t>
      </w:r>
    </w:p>
    <w:p>
      <w:pPr>
        <w:pStyle w:val="ListBullet"/>
      </w:pPr>
      <w:r>
        <w:t>e) Presentar una versión corregida para segunda revisión en un plazo no mayor a 30 días.</w:t>
      </w:r>
    </w:p>
    <w:p/>
    <w:p>
      <w:r>
        <w:rPr>
          <w:b/>
        </w:rPr>
        <w:t xml:space="preserve">Nota del revisor: </w:t>
      </w:r>
      <w:r>
        <w:t>Se reconoce el esfuerzo y la profundidad técnica del trabajo en cada sección individual. El conocimiento del proceso productivo, la rigurosidad en la selección de equipos, y la estructura general del análisis financiero son meritoriosas. Las correcciones requeridas son fundamentalmente de coherencia entre secciones y de cálculo financiero, no de enfoque conceptual. Con las correcciones indicadas, el trabajo tiene potencial para alcanzar el nivel requerido por la Ordenanza CD N° 017/2023.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