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eration Serif" w:cs="Liberation Serif" w:eastAsia="Liberation Serif" w:hAnsi="Liberation Serif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3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440"/>
        <w:gridCol w:w="1005"/>
        <w:gridCol w:w="2145"/>
        <w:gridCol w:w="992"/>
        <w:gridCol w:w="425"/>
        <w:gridCol w:w="756"/>
        <w:gridCol w:w="975"/>
        <w:gridCol w:w="1590"/>
        <w:tblGridChange w:id="0">
          <w:tblGrid>
            <w:gridCol w:w="975"/>
            <w:gridCol w:w="1440"/>
            <w:gridCol w:w="1005"/>
            <w:gridCol w:w="2145"/>
            <w:gridCol w:w="992"/>
            <w:gridCol w:w="425"/>
            <w:gridCol w:w="756"/>
            <w:gridCol w:w="97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both"/>
              <w:rPr>
                <w:rFonts w:ascii="Decima Nova Pro" w:cs="Decima Nova Pro" w:eastAsia="Decima Nova Pro" w:hAnsi="Decima Nova Pro"/>
                <w:b w:val="1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2022/2023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rFonts w:ascii="Decima Nova Pro" w:cs="Decima Nova Pro" w:eastAsia="Decima Nova Pro" w:hAnsi="Decima Nova Pro"/>
                <w:b w:val="1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28/11/22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Decima Nova Pro" w:cs="Decima Nova Pro" w:eastAsia="Decima Nova Pro" w:hAnsi="Decima Nova Pro"/>
                <w:b w:val="1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Decima Nova Pro" w:cs="Decima Nova Pro" w:eastAsia="Decima Nova Pro" w:hAnsi="Decima Nova Pro"/>
                <w:b w:val="1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1ºH 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Etapa: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Decima Nova Pro" w:cs="Decima Nova Pro" w:eastAsia="Decima Nova Pro" w:hAnsi="Decima Nova Pro"/>
                <w:b w:val="1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FPGS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Asignatura/Módulo:</w:t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Decima Nova Pro" w:cs="Decima Nova Pro" w:eastAsia="Decima Nova Pro" w:hAnsi="Decima Nova Pro"/>
                <w:b w:val="1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Bases de 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Profesor:</w:t>
            </w:r>
          </w:p>
        </w:tc>
        <w:tc>
          <w:tcPr>
            <w:gridSpan w:val="7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Decima Nova Pro" w:cs="Decima Nova Pro" w:eastAsia="Decima Nova Pro" w:hAnsi="Decima Nova Pro"/>
              </w:rPr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Gorka Sanz Lopategui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jc w:val="center"/>
        <w:rPr>
          <w:rFonts w:ascii="Decima Nova Pro" w:cs="Decima Nova Pro" w:eastAsia="Decima Nova Pro" w:hAnsi="Decima Nova Pro"/>
          <w:b w:val="1"/>
          <w:color w:val="ff0000"/>
          <w:sz w:val="36"/>
          <w:szCs w:val="36"/>
        </w:rPr>
      </w:pPr>
      <w:r w:rsidDel="00000000" w:rsidR="00000000" w:rsidRPr="00000000">
        <w:rPr>
          <w:rFonts w:ascii="Decima Nova Pro" w:cs="Decima Nova Pro" w:eastAsia="Decima Nova Pro" w:hAnsi="Decima Nova Pro"/>
          <w:b w:val="1"/>
          <w:color w:val="ff0000"/>
          <w:sz w:val="36"/>
          <w:szCs w:val="36"/>
          <w:rtl w:val="0"/>
        </w:rPr>
        <w:t xml:space="preserve">Realiza la normalización medio ambiente</w:t>
      </w:r>
    </w:p>
    <w:p w:rsidR="00000000" w:rsidDel="00000000" w:rsidP="00000000" w:rsidRDefault="00000000" w:rsidRPr="00000000" w14:paraId="0000001E">
      <w:pPr>
        <w:widowControl w:val="1"/>
        <w:jc w:val="center"/>
        <w:rPr>
          <w:rFonts w:ascii="Decima Nova Pro" w:cs="Decima Nova Pro" w:eastAsia="Decima Nova Pro" w:hAnsi="Decima Nova Pro"/>
          <w:b w:val="1"/>
          <w:color w:val="ff0000"/>
          <w:sz w:val="36"/>
          <w:szCs w:val="36"/>
        </w:rPr>
      </w:pPr>
      <w:r w:rsidDel="00000000" w:rsidR="00000000" w:rsidRPr="00000000">
        <w:rPr>
          <w:rFonts w:ascii="Decima Nova Pro" w:cs="Decima Nova Pro" w:eastAsia="Decima Nova Pro" w:hAnsi="Decima Nova Pro"/>
          <w:b w:val="1"/>
          <w:color w:val="ff0000"/>
          <w:sz w:val="36"/>
          <w:szCs w:val="36"/>
          <w:rtl w:val="0"/>
        </w:rPr>
        <w:t xml:space="preserve">Realiza el entidad relación de medio ambiente como extra para ayudar a recuperar hasta dos puntos en el examen anterior</w:t>
      </w:r>
    </w:p>
    <w:p w:rsidR="00000000" w:rsidDel="00000000" w:rsidP="00000000" w:rsidRDefault="00000000" w:rsidRPr="00000000" w14:paraId="0000001F">
      <w:pPr>
        <w:widowControl w:val="1"/>
        <w:jc w:val="center"/>
        <w:rPr>
          <w:rFonts w:ascii="Decima Nova Pro" w:cs="Decima Nova Pro" w:eastAsia="Decima Nova Pro" w:hAnsi="Decima Nova Pro"/>
          <w:b w:val="1"/>
          <w:color w:val="ff0000"/>
          <w:sz w:val="36"/>
          <w:szCs w:val="36"/>
        </w:rPr>
      </w:pPr>
      <w:r w:rsidDel="00000000" w:rsidR="00000000" w:rsidRPr="00000000">
        <w:rPr>
          <w:rFonts w:ascii="Decima Nova Pro" w:cs="Decima Nova Pro" w:eastAsia="Decima Nova Pro" w:hAnsi="Decima Nova Pro"/>
          <w:b w:val="1"/>
          <w:color w:val="ff0000"/>
          <w:sz w:val="36"/>
          <w:szCs w:val="36"/>
          <w:rtl w:val="0"/>
        </w:rPr>
        <w:t xml:space="preserve">Duración: Una Hora y Media</w:t>
      </w:r>
    </w:p>
    <w:p w:rsidR="00000000" w:rsidDel="00000000" w:rsidP="00000000" w:rsidRDefault="00000000" w:rsidRPr="00000000" w14:paraId="00000020">
      <w:pPr>
        <w:widowControl w:val="1"/>
        <w:jc w:val="center"/>
        <w:rPr>
          <w:rFonts w:ascii="Decima Nova Pro" w:cs="Decima Nova Pro" w:eastAsia="Decima Nova Pro" w:hAnsi="Decima Nova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jc w:val="center"/>
        <w:rPr>
          <w:rFonts w:ascii="Decima Nova Pro" w:cs="Decima Nova Pro" w:eastAsia="Decima Nova Pro" w:hAnsi="Decima Nova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ind w:left="720" w:firstLine="0"/>
        <w:jc w:val="center"/>
        <w:rPr>
          <w:rFonts w:ascii="Decima Nova Pro" w:cs="Decima Nova Pro" w:eastAsia="Decima Nova Pro" w:hAnsi="Decima Nova Pro"/>
          <w:b w:val="1"/>
          <w:sz w:val="30"/>
          <w:szCs w:val="30"/>
          <w:u w:val="single"/>
        </w:rPr>
      </w:pPr>
      <w:r w:rsidDel="00000000" w:rsidR="00000000" w:rsidRPr="00000000">
        <w:rPr>
          <w:rFonts w:ascii="Decima Nova Pro" w:cs="Decima Nova Pro" w:eastAsia="Decima Nova Pro" w:hAnsi="Decima Nova Pro"/>
          <w:b w:val="1"/>
          <w:sz w:val="30"/>
          <w:szCs w:val="30"/>
          <w:u w:val="single"/>
          <w:rtl w:val="0"/>
        </w:rPr>
        <w:t xml:space="preserve">MEDIO-AMBIENTE </w:t>
      </w:r>
    </w:p>
    <w:p w:rsidR="00000000" w:rsidDel="00000000" w:rsidP="00000000" w:rsidRDefault="00000000" w:rsidRPr="00000000" w14:paraId="00000023">
      <w:pPr>
        <w:widowControl w:val="1"/>
        <w:ind w:left="720" w:firstLine="0"/>
        <w:jc w:val="both"/>
        <w:rPr>
          <w:rFonts w:ascii="Decima Nova Pro" w:cs="Decima Nova Pro" w:eastAsia="Decima Nova Pro" w:hAnsi="Decima Nova Pro"/>
          <w:color w:val="ff0000"/>
          <w:sz w:val="22"/>
          <w:szCs w:val="22"/>
        </w:rPr>
      </w:pPr>
      <w:r w:rsidDel="00000000" w:rsidR="00000000" w:rsidRPr="00000000">
        <w:rPr>
          <w:rFonts w:ascii="Decima Nova Pro" w:cs="Decima Nova Pro" w:eastAsia="Decima Nova Pro" w:hAnsi="Decima Nova Pro"/>
          <w:color w:val="ff0000"/>
          <w:sz w:val="18"/>
          <w:szCs w:val="18"/>
          <w:rtl w:val="0"/>
        </w:rPr>
        <w:t xml:space="preserve">2 puntos plus para el primer examen de entidad relacion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1"/>
        <w:shd w:fill="ffffff" w:val="clear"/>
        <w:spacing w:before="460" w:lineRule="auto"/>
        <w:ind w:left="720" w:firstLine="0"/>
        <w:jc w:val="both"/>
        <w:rPr>
          <w:b w:val="0"/>
          <w:color w:val="0c3762"/>
          <w:sz w:val="29"/>
          <w:szCs w:val="29"/>
        </w:rPr>
      </w:pPr>
      <w:bookmarkStart w:colFirst="0" w:colLast="0" w:name="_inhqk1aqnaqp" w:id="0"/>
      <w:bookmarkEnd w:id="0"/>
      <w:r w:rsidDel="00000000" w:rsidR="00000000" w:rsidRPr="00000000">
        <w:rPr>
          <w:b w:val="0"/>
          <w:color w:val="0c3762"/>
          <w:sz w:val="29"/>
          <w:szCs w:val="29"/>
          <w:rtl w:val="0"/>
        </w:rPr>
        <w:t xml:space="preserve"> La ministra de Medio Ambiente ha decidido crear un sistema de información sobre los parques naturales gestionados por cada comunidad autónoma.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20" w:before="220" w:lineRule="auto"/>
        <w:jc w:val="both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Después de realizar un detallado análisis, se ha llegado a las siguientes conclusiones: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Una comunidad autónoma (CA) puede tener varios parques naturales. En toda comunidad autónoma existe uno y sólo un organismo responsable de los parques. Un parque puede estar compartido por más de una comunidad.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Un parque natural se identifica por un nombre, fue declarado en una fecha, se compone de varias áreas identificadas por un nombre y caracterizadas por una determinada extensión. Por motivos de eficiencia se desea favorecer las consultas referentes al número de parques existentes en cada comunidad y la superficie total declarada parque natural en cada CA.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En cada área forzosamente residen especies que pueden ser de tres tipos: vegetales, animales y minerales. Cada especie tiene una denominación científica, una denominación vulgar y un número inventariado de individuos por área. De las especies vegetales se desea saber si tienen floración y en qué periodo se produce ésta; de las animales se desea saber su tipo de alimentación (herbívora, carnívora u omnívora) y sus periodos de celo; de las minerales se desea saber si se trata de cristales o de rocas.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Además, interesa registrar qué especies sirven de alimento a otras especies, teniendo en cuenta que ninguna especie mineral se considera alimento de cualquier otra especie y que una especie vegetal no se alimenta de ninguna otra especie.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Del personal del parque se guarda el DNI, número de seguridad social, nombre, dirección, teléfonos (domicilio, móvil) y sueldo. Se distinguen los siguientes tipos de personal:</w:t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144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Personal de gestión: registra los datos de los visitantes del parque y están destinados en una entrada del parque (las entradas se identifican por un número).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144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Personal de vigilancia: vigila un área determinada del parque que recorre en un vehículo (tipo y matrícula).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144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Personal investigador: Tiene una titulación que ha de recogerse y pueden realizar (incluso conjuntamente) proyectos de investigación sobre una determinada especie. Un proyecto de investigación tiene un presupuesto y un periodo de realización.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144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Personal de conservación: mantiene y conserva un área determinada del parque. Cada uno lo realiza en una especialidad determinada (limpieza, caninos…).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Un visitante (DNI, nombre, domicilio y profesión) debe alojarse dentro de los alojamientos de que dispone el parque; éstos tienen una capacidad limitada y tienen una determinada categoría.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Los alojamientos organizan excursiones al parque, en vehículo o a pie, en determinados días de la semana y a una hora determinada. A estas excursiones puede acudir cualquier visitante del parque.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="312" w:lineRule="auto"/>
        <w:ind w:left="720" w:hanging="360"/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Por comodidad, suponemos que un visitante tiene, obligatoriamente, que alojarse en el parque. Suponemos también, que cada vigilante tiene su vehículo propio que sólo utiliza él.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Decima Nova Pro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252"/>
        <w:tab w:val="right" w:pos="8504"/>
      </w:tabs>
      <w:rPr>
        <w:rFonts w:ascii="Liberation Serif" w:cs="Liberation Serif" w:eastAsia="Liberation Serif" w:hAnsi="Liberation Serif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5324475</wp:posOffset>
              </wp:positionH>
              <wp:positionV relativeFrom="paragraph">
                <wp:posOffset>-295274</wp:posOffset>
              </wp:positionV>
              <wp:extent cx="1123293" cy="723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5285" y="3367885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ecima Nova Pro" w:cs="Decima Nova Pro" w:eastAsia="Decima Nova Pro" w:hAnsi="Decima Nova Pr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NOTA: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5324475</wp:posOffset>
              </wp:positionH>
              <wp:positionV relativeFrom="paragraph">
                <wp:posOffset>-295274</wp:posOffset>
              </wp:positionV>
              <wp:extent cx="1123293" cy="7239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23293" cy="723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-190499</wp:posOffset>
          </wp:positionV>
          <wp:extent cx="3224530" cy="615950"/>
          <wp:effectExtent b="0" l="0" r="0" t="0"/>
          <wp:wrapNone/>
          <wp:docPr descr="E:\CALIDAD\ZARAGOZA CALIDAD EFQM\LOGOTIPOS SALESIANOS\LOGOS 12 03 15\Logotipos_colegio\ZARAGOZAcoleHN2.jpg" id="2" name="image1.jpg"/>
          <a:graphic>
            <a:graphicData uri="http://schemas.openxmlformats.org/drawingml/2006/picture">
              <pic:pic>
                <pic:nvPicPr>
                  <pic:cNvPr descr="E:\CALIDAD\ZARAGOZA CALIDAD EFQM\LOGOTIPOS SALESIANOS\LOGOS 12 03 15\Logotipos_colegio\ZARAGOZAcoleHN2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4530" cy="61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tabs>
        <w:tab w:val="center" w:pos="4252"/>
        <w:tab w:val="right" w:pos="8504"/>
      </w:tabs>
      <w:rPr>
        <w:rFonts w:ascii="Liberation Serif" w:cs="Liberation Serif" w:eastAsia="Liberation Serif" w:hAnsi="Liberation Seri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tabs>
        <w:tab w:val="center" w:pos="4252"/>
        <w:tab w:val="right" w:pos="8504"/>
      </w:tabs>
      <w:rPr>
        <w:rFonts w:ascii="Liberation Serif" w:cs="Liberation Serif" w:eastAsia="Liberation Serif" w:hAnsi="Liberation Serif"/>
      </w:rPr>
    </w:pPr>
    <w:r w:rsidDel="00000000" w:rsidR="00000000" w:rsidRPr="00000000">
      <w:rPr>
        <w:rtl w:val="0"/>
      </w:rPr>
    </w:r>
  </w:p>
  <w:tbl>
    <w:tblPr>
      <w:tblStyle w:val="Table2"/>
      <w:tblW w:w="10314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479"/>
      <w:gridCol w:w="3701"/>
      <w:gridCol w:w="1134"/>
      <w:tblGridChange w:id="0">
        <w:tblGrid>
          <w:gridCol w:w="5479"/>
          <w:gridCol w:w="3701"/>
          <w:gridCol w:w="1134"/>
        </w:tblGrid>
      </w:tblGridChange>
    </w:tblGrid>
    <w:tr>
      <w:trPr>
        <w:cantSplit w:val="0"/>
        <w:trHeight w:val="420" w:hRule="atLeast"/>
        <w:tblHeader w:val="0"/>
      </w:trPr>
      <w:tc>
        <w:tcPr/>
        <w:p w:rsidR="00000000" w:rsidDel="00000000" w:rsidP="00000000" w:rsidRDefault="00000000" w:rsidRPr="00000000" w14:paraId="00000037">
          <w:pPr>
            <w:spacing w:before="142" w:lineRule="auto"/>
            <w:rPr>
              <w:rFonts w:ascii="Decima Nova Pro" w:cs="Decima Nova Pro" w:eastAsia="Decima Nova Pro" w:hAnsi="Decima Nova Pro"/>
              <w:sz w:val="28"/>
              <w:szCs w:val="28"/>
            </w:rPr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Apellidos:</w:t>
          </w:r>
        </w:p>
      </w:tc>
      <w:tc>
        <w:tcPr/>
        <w:p w:rsidR="00000000" w:rsidDel="00000000" w:rsidP="00000000" w:rsidRDefault="00000000" w:rsidRPr="00000000" w14:paraId="00000038">
          <w:pPr>
            <w:spacing w:before="142" w:lineRule="auto"/>
            <w:rPr>
              <w:rFonts w:ascii="Decima Nova Pro" w:cs="Decima Nova Pro" w:eastAsia="Decima Nova Pro" w:hAnsi="Decima Nova Pro"/>
              <w:sz w:val="28"/>
              <w:szCs w:val="28"/>
            </w:rPr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Nombre:</w:t>
          </w:r>
        </w:p>
      </w:tc>
      <w:tc>
        <w:tcPr/>
        <w:p w:rsidR="00000000" w:rsidDel="00000000" w:rsidP="00000000" w:rsidRDefault="00000000" w:rsidRPr="00000000" w14:paraId="00000039">
          <w:pPr>
            <w:spacing w:before="142" w:lineRule="auto"/>
            <w:rPr>
              <w:rFonts w:ascii="Decima Nova Pro" w:cs="Decima Nova Pro" w:eastAsia="Decima Nova Pro" w:hAnsi="Decima Nova Pro"/>
              <w:sz w:val="28"/>
              <w:szCs w:val="28"/>
            </w:rPr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Nº.</w:t>
          </w:r>
        </w:p>
      </w:tc>
    </w:tr>
  </w:tbl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