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lang w:val="en-US"/>
        </w:rPr>
      </w:sdtEndPr>
      <w:sdtContent>
        <w:p w14:paraId="2DF14649" w14:textId="77777777" w:rsidR="00911CF7" w:rsidRPr="00911CF7" w:rsidRDefault="005831A1" w:rsidP="00A53A34">
          <w:pPr>
            <w:pStyle w:val="Tartalomjegyzkcmsora"/>
            <w:tabs>
              <w:tab w:val="right" w:leader="dot" w:pos="9389"/>
              <w:tab w:val="right" w:leader="dot" w:pos="10080"/>
            </w:tabs>
            <w:spacing w:beforeLines="25" w:before="60" w:afterLines="25" w:after="6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53A34">
            <w:rPr>
              <w:rFonts w:ascii="Times New Roman" w:hAnsi="Times New Roman" w:cs="Times New Roman"/>
              <w:color w:val="auto"/>
              <w:lang w:val="hu-HU"/>
            </w:rPr>
            <w:t>Tartal</w:t>
          </w:r>
          <w:r w:rsidR="00911CF7" w:rsidRPr="00A53A34">
            <w:rPr>
              <w:rFonts w:ascii="Times New Roman" w:hAnsi="Times New Roman" w:cs="Times New Roman"/>
              <w:color w:val="auto"/>
              <w:lang w:val="hu-HU"/>
            </w:rPr>
            <w:t>om</w:t>
          </w:r>
          <w:r w:rsidR="00911CF7" w:rsidRPr="00911CF7">
            <w:rPr>
              <w:rFonts w:ascii="Times New Roman" w:hAnsi="Times New Roman" w:cs="Times New Roman"/>
              <w:color w:val="auto"/>
              <w:sz w:val="24"/>
              <w:szCs w:val="24"/>
              <w:lang w:val="hu-HU"/>
            </w:rPr>
            <w:fldChar w:fldCharType="begin"/>
          </w:r>
          <w:r w:rsidR="00911CF7" w:rsidRPr="00911CF7">
            <w:rPr>
              <w:rFonts w:ascii="Times New Roman" w:hAnsi="Times New Roman" w:cs="Times New Roman"/>
              <w:color w:val="auto"/>
              <w:sz w:val="24"/>
              <w:szCs w:val="24"/>
              <w:lang w:val="hu-HU"/>
            </w:rPr>
            <w:instrText xml:space="preserve"> TOC \o "1-3" \h \z \u </w:instrText>
          </w:r>
          <w:r w:rsidR="00911CF7" w:rsidRPr="00911CF7">
            <w:rPr>
              <w:rFonts w:ascii="Times New Roman" w:hAnsi="Times New Roman" w:cs="Times New Roman"/>
              <w:color w:val="auto"/>
              <w:sz w:val="24"/>
              <w:szCs w:val="24"/>
              <w:lang w:val="hu-HU"/>
            </w:rPr>
            <w:fldChar w:fldCharType="separate"/>
          </w:r>
        </w:p>
        <w:p w14:paraId="1C2228DA" w14:textId="1F787F4B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883" w:history="1">
            <w:r w:rsidRPr="00911CF7">
              <w:rPr>
                <w:rStyle w:val="Hiperhivatkozs"/>
                <w:u w:val="none"/>
              </w:rPr>
              <w:t>1. Bevezetés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_Toc163124883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5</w:t>
            </w:r>
            <w:r w:rsidRPr="00911CF7">
              <w:rPr>
                <w:webHidden/>
              </w:rPr>
              <w:fldChar w:fldCharType="end"/>
            </w:r>
          </w:hyperlink>
        </w:p>
        <w:p w14:paraId="6585EDDD" w14:textId="72882D49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884" w:history="1">
            <w:r w:rsidRPr="00911CF7">
              <w:rPr>
                <w:rStyle w:val="Hiperhivatkozs"/>
                <w:u w:val="none"/>
              </w:rPr>
              <w:t>2. Felhasznált eszközök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_Toc163124884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7</w:t>
            </w:r>
            <w:r w:rsidRPr="00911CF7">
              <w:rPr>
                <w:webHidden/>
              </w:rPr>
              <w:fldChar w:fldCharType="end"/>
            </w:r>
          </w:hyperlink>
        </w:p>
        <w:p w14:paraId="5E0319BD" w14:textId="332BCDF5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85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2.1 A felhasznált fizikai eszköz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_Toc163124885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F5B6D" w14:textId="24F9792C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86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2.2 A felhasznált szoftverek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_Toc163124886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3306C" w14:textId="1C4CDA11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87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2.2.1 Ansible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_Toc163124887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5988C" w14:textId="0FC0439F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88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2.2.2 Proxmox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_Toc163124888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9E942" w14:textId="02918CC6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89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  <w:lang w:val="en-US"/>
              </w:rPr>
              <w:t>2.2.3 Semaphore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_Toc163124889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65DDE" w14:textId="62BB507E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0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2.2.4 Nagios Core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_Toc163124890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C0623" w14:textId="3EBAA219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891" w:history="1">
            <w:r w:rsidRPr="00911CF7">
              <w:rPr>
                <w:rStyle w:val="Hiperhivatkozs"/>
                <w:u w:val="none"/>
              </w:rPr>
              <w:t>3. Környezet kiép</w:t>
            </w:r>
            <w:r w:rsidRPr="00911CF7">
              <w:rPr>
                <w:rStyle w:val="Hiperhivatkozs"/>
                <w:u w:val="none"/>
                <w:shd w:val="clear" w:color="auto" w:fill="FFFFFF"/>
              </w:rPr>
              <w:t>ítése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_Toc163124891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10</w:t>
            </w:r>
            <w:r w:rsidRPr="00911CF7">
              <w:rPr>
                <w:webHidden/>
              </w:rPr>
              <w:fldChar w:fldCharType="end"/>
            </w:r>
          </w:hyperlink>
        </w:p>
        <w:p w14:paraId="6A84232F" w14:textId="054C6CE5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892" w:history="1">
            <w:r w:rsidRPr="00911CF7">
              <w:rPr>
                <w:rStyle w:val="Hiperhivatkozs"/>
                <w:u w:val="none"/>
              </w:rPr>
              <w:t>4. Semaphore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_Toc163124892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15</w:t>
            </w:r>
            <w:r w:rsidRPr="00911CF7">
              <w:rPr>
                <w:webHidden/>
              </w:rPr>
              <w:fldChar w:fldCharType="end"/>
            </w:r>
          </w:hyperlink>
        </w:p>
        <w:p w14:paraId="6A46C44C" w14:textId="624480AE" w:rsidR="00911CF7" w:rsidRPr="00C2498D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3" w:history="1">
            <w:r w:rsidRPr="00C2498D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4.1 Semaphore bevezetés, működés</w: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_Toc163124893 \h </w:instrTex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58BF9" w14:textId="74C218EE" w:rsidR="00911CF7" w:rsidRPr="00C2498D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4" w:history="1">
            <w:r w:rsidRPr="00C2498D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4.2 Semaphore telep</w:t>
            </w:r>
            <w:r w:rsidRPr="00C2498D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  <w:shd w:val="clear" w:color="auto" w:fill="FFFFFF"/>
              </w:rPr>
              <w:t xml:space="preserve">ítés, </w:t>
            </w:r>
            <w:r w:rsidRPr="00C2498D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konfiguráció</w: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_Toc163124894 \h </w:instrTex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Pr="00C2498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7ACAA" w14:textId="1C822526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895" w:history="1">
            <w:r w:rsidRPr="00911CF7">
              <w:rPr>
                <w:rStyle w:val="Hiperhivatkozs"/>
                <w:u w:val="none"/>
              </w:rPr>
              <w:t>5. Ansible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_Toc163124895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20</w:t>
            </w:r>
            <w:r w:rsidRPr="00911CF7">
              <w:rPr>
                <w:webHidden/>
              </w:rPr>
              <w:fldChar w:fldCharType="end"/>
            </w:r>
          </w:hyperlink>
        </w:p>
        <w:p w14:paraId="7EE7F475" w14:textId="5B2AF110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6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5.1 Ansible bevezetés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_Toc163124896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A32B4" w14:textId="35A55E3C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7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5.2 Automatizált feladatok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_Toc163124897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7E327" w14:textId="75A957FA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8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5.3 Egyéb, fel nem használt feladatok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_Toc163124898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30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23F1C" w14:textId="2172903C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899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</w:rPr>
              <w:t>5.4 Ansible Vault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_Toc163124899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BFD66" w14:textId="4B264E85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900" w:history="1">
            <w:r w:rsidRPr="00911CF7">
              <w:rPr>
                <w:rStyle w:val="Hiperhivatkozs"/>
                <w:u w:val="none"/>
                <w:shd w:val="clear" w:color="auto" w:fill="FFFFFF"/>
              </w:rPr>
              <w:t>6. További fejlesztési lehetőségek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_Toc163124900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32</w:t>
            </w:r>
            <w:r w:rsidRPr="00911CF7">
              <w:rPr>
                <w:webHidden/>
              </w:rPr>
              <w:fldChar w:fldCharType="end"/>
            </w:r>
          </w:hyperlink>
        </w:p>
        <w:p w14:paraId="37E4FF02" w14:textId="3DFBAF9A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901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  <w:shd w:val="clear" w:color="auto" w:fill="FFFFFF"/>
              </w:rPr>
              <w:t>6.1 DNS (Domain Name System)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_Toc163124901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7B81B" w14:textId="3E780548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902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  <w:shd w:val="clear" w:color="auto" w:fill="FFFFFF"/>
              </w:rPr>
              <w:t>6.2 SQL (Structured Query Language)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_Toc163124902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ECF7C" w14:textId="1A4DD275" w:rsidR="00911CF7" w:rsidRPr="00AD7AC9" w:rsidRDefault="00911CF7" w:rsidP="00A53A34">
          <w:pPr>
            <w:pStyle w:val="TJ2"/>
            <w:spacing w:beforeLines="25" w:before="60" w:afterLines="25" w:after="60"/>
            <w:ind w:left="360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124903" w:history="1">
            <w:r w:rsidRPr="00AD7AC9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u w:val="none"/>
                <w:shd w:val="clear" w:color="auto" w:fill="FFFFFF"/>
              </w:rPr>
              <w:t>6.3 Telefonhívás monitoring jelzés esetén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_Toc163124903 \h </w:instrTex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33</w:t>
            </w:r>
            <w:r w:rsidRPr="00AD7AC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A7C33" w14:textId="2CE7E8B4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904" w:history="1">
            <w:r w:rsidRPr="00911CF7">
              <w:rPr>
                <w:rStyle w:val="Hiperhivatkozs"/>
                <w:u w:val="none"/>
                <w:shd w:val="clear" w:color="auto" w:fill="FFFFFF"/>
              </w:rPr>
              <w:t>7. Összegzés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_Toc163124904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35</w:t>
            </w:r>
            <w:r w:rsidRPr="00911CF7">
              <w:rPr>
                <w:webHidden/>
              </w:rPr>
              <w:fldChar w:fldCharType="end"/>
            </w:r>
          </w:hyperlink>
        </w:p>
        <w:p w14:paraId="5D2B7430" w14:textId="2565DDE3" w:rsidR="00911CF7" w:rsidRPr="00911CF7" w:rsidRDefault="00911CF7" w:rsidP="00A53A34">
          <w:pPr>
            <w:pStyle w:val="TJ1"/>
            <w:spacing w:beforeLines="25" w:afterLines="25"/>
            <w:rPr>
              <w:kern w:val="2"/>
              <w:lang w:val="en-US"/>
              <w14:ligatures w14:val="standardContextual"/>
            </w:rPr>
          </w:pPr>
          <w:hyperlink w:anchor="_Toc163124905" w:history="1">
            <w:r w:rsidRPr="00911CF7">
              <w:rPr>
                <w:rStyle w:val="Hiperhivatkozs"/>
                <w:u w:val="none"/>
                <w:shd w:val="clear" w:color="auto" w:fill="FFFFFF"/>
              </w:rPr>
              <w:t>8. Irodalomjegyzék</w:t>
            </w:r>
            <w:r w:rsidRPr="00911CF7">
              <w:rPr>
                <w:webHidden/>
              </w:rPr>
              <w:tab/>
            </w:r>
            <w:r w:rsidRPr="00911CF7">
              <w:rPr>
                <w:webHidden/>
              </w:rPr>
              <w:fldChar w:fldCharType="begin"/>
            </w:r>
            <w:r w:rsidRPr="00911CF7">
              <w:rPr>
                <w:webHidden/>
              </w:rPr>
              <w:instrText xml:space="preserve"> PAGEREF _Toc163124905 \h </w:instrText>
            </w:r>
            <w:r w:rsidRPr="00911CF7">
              <w:rPr>
                <w:webHidden/>
              </w:rPr>
            </w:r>
            <w:r w:rsidRPr="00911CF7">
              <w:rPr>
                <w:webHidden/>
              </w:rPr>
              <w:fldChar w:fldCharType="separate"/>
            </w:r>
            <w:r w:rsidRPr="00911CF7">
              <w:rPr>
                <w:webHidden/>
              </w:rPr>
              <w:t>36</w:t>
            </w:r>
            <w:r w:rsidRPr="00911CF7">
              <w:rPr>
                <w:webHidden/>
              </w:rPr>
              <w:fldChar w:fldCharType="end"/>
            </w:r>
          </w:hyperlink>
        </w:p>
        <w:p w14:paraId="6047769B" w14:textId="297499EE" w:rsidR="3231B7C5" w:rsidRPr="00A53A34" w:rsidRDefault="00911CF7" w:rsidP="00A53A34">
          <w:pPr>
            <w:pStyle w:val="Tartalomjegyzkcmsora"/>
            <w:tabs>
              <w:tab w:val="right" w:leader="dot" w:pos="9389"/>
              <w:tab w:val="right" w:leader="dot" w:pos="10080"/>
            </w:tabs>
            <w:rPr>
              <w:b/>
              <w:bCs/>
              <w:szCs w:val="24"/>
            </w:rPr>
          </w:pPr>
          <w:r w:rsidRPr="00911CF7">
            <w:rPr>
              <w:rFonts w:ascii="Times New Roman" w:hAnsi="Times New Roman" w:cs="Times New Roman"/>
              <w:color w:val="auto"/>
              <w:sz w:val="24"/>
              <w:szCs w:val="24"/>
              <w:lang w:val="hu-HU"/>
            </w:rPr>
            <w:fldChar w:fldCharType="end"/>
          </w:r>
        </w:p>
      </w:sdtContent>
    </w:sdt>
    <w:p w14:paraId="407C91B8" w14:textId="42570DA0" w:rsidR="00A53A34" w:rsidRDefault="000B6A69" w:rsidP="00A53A34">
      <w:pPr>
        <w:pStyle w:val="Norml1"/>
        <w:jc w:val="both"/>
      </w:pPr>
      <w:r w:rsidRPr="005C6BE3">
        <w:tab/>
      </w:r>
    </w:p>
    <w:p w14:paraId="7A139137" w14:textId="5BF3B988" w:rsidR="00A53A34" w:rsidRDefault="00A53A34" w:rsidP="00A53A34">
      <w:pPr>
        <w:pStyle w:val="Cimsor"/>
      </w:pPr>
      <w:r>
        <w:lastRenderedPageBreak/>
        <w:t>1. Bevezetés</w:t>
      </w:r>
    </w:p>
    <w:p w14:paraId="5CA37253" w14:textId="5BB6D4B4" w:rsidR="000B6A69" w:rsidRPr="005C6BE3" w:rsidRDefault="00A53A34" w:rsidP="3231B7C5">
      <w:pPr>
        <w:pStyle w:val="Norml1"/>
        <w:jc w:val="both"/>
        <w:rPr>
          <w:rFonts w:cs="Times New Roman"/>
          <w:shd w:val="clear" w:color="auto" w:fill="FFFFFF"/>
        </w:rPr>
      </w:pPr>
      <w:r>
        <w:tab/>
      </w:r>
      <w:r w:rsidR="000B6A69" w:rsidRPr="005C6BE3">
        <w:t>Napjainkban el sem tudnánk képzelni az életünket automatizált folyamatok nélkül. Vegyük példának az okos otthon eszközöket, robotporsz</w:t>
      </w:r>
      <w:r w:rsidR="000B6A69"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="000B6A69"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="000B6A69" w:rsidRPr="005C6BE3">
        <w:rPr>
          <w:rFonts w:cs="Times New Roman"/>
        </w:rPr>
        <w:t>dolgok</w:t>
      </w:r>
      <w:r w:rsidR="000B6A69"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="000B6A69"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7542433C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</w:t>
      </w:r>
      <w:r w:rsidR="00EA3AFE">
        <w:rPr>
          <w:rFonts w:cs="Times New Roman"/>
          <w:shd w:val="clear" w:color="auto" w:fill="FFFFFF"/>
        </w:rPr>
        <w:t>n</w:t>
      </w:r>
      <w:r w:rsidRPr="005C6BE3">
        <w:rPr>
          <w:rFonts w:cs="Times New Roman"/>
          <w:shd w:val="clear" w:color="auto" w:fill="FFFFFF"/>
        </w:rPr>
        <w:t>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pontosságát.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8730967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technológiát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1" w:name="_Toc163124647"/>
      <w:bookmarkStart w:id="2" w:name="_Toc163124884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1"/>
      <w:bookmarkEnd w:id="2"/>
    </w:p>
    <w:p w14:paraId="367B51A5" w14:textId="7904460F" w:rsidR="68E077FE" w:rsidRPr="005C6BE3" w:rsidRDefault="00CE51DB" w:rsidP="00DD5591">
      <w:pPr>
        <w:pStyle w:val="Alcim"/>
        <w:jc w:val="both"/>
      </w:pPr>
      <w:bookmarkStart w:id="3" w:name="_Toc163124648"/>
      <w:bookmarkStart w:id="4" w:name="_Toc163124885"/>
      <w:r>
        <w:t xml:space="preserve">2.1 </w:t>
      </w:r>
      <w:r w:rsidR="68E077FE" w:rsidRPr="005C6BE3">
        <w:t>A felhasznált fizikai eszköz</w:t>
      </w:r>
      <w:bookmarkEnd w:id="3"/>
      <w:bookmarkEnd w:id="4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5" w:name="_Toc163124649"/>
      <w:bookmarkStart w:id="6" w:name="_Toc163124886"/>
      <w:r w:rsidRPr="00DD5591">
        <w:t xml:space="preserve">2.2 </w:t>
      </w:r>
      <w:r w:rsidR="088CD180" w:rsidRPr="00DD5591">
        <w:t>A felhasznált szoftverek</w:t>
      </w:r>
      <w:bookmarkEnd w:id="5"/>
      <w:bookmarkEnd w:id="6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03A60654" w:rsidR="008A0E79" w:rsidRPr="005C6BE3" w:rsidRDefault="00352A58" w:rsidP="008A0E79">
      <w:pPr>
        <w:pStyle w:val="Alcim"/>
        <w:jc w:val="both"/>
        <w:rPr>
          <w:color w:val="auto"/>
        </w:rPr>
      </w:pPr>
      <w:bookmarkStart w:id="7" w:name="_Toc163124650"/>
      <w:bookmarkStart w:id="8" w:name="_Toc163124887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7"/>
      <w:bookmarkEnd w:id="8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240EB192" w14:textId="77777777" w:rsidR="00C01222" w:rsidRPr="005C6BE3" w:rsidRDefault="00C01222" w:rsidP="00DC4C92">
      <w:pPr>
        <w:pStyle w:val="Norml1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Pr="005C6BE3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706271A3" w14:textId="23EA06BB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9" w:name="_Toc163124651"/>
      <w:bookmarkStart w:id="10" w:name="_Toc163124888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9"/>
      <w:bookmarkEnd w:id="10"/>
    </w:p>
    <w:p w14:paraId="410D4CF0" w14:textId="017DE546" w:rsidR="00EB1AAC" w:rsidRDefault="00EB1AAC" w:rsidP="002451B0">
      <w:pPr>
        <w:pStyle w:val="Norml1"/>
        <w:ind w:firstLine="720"/>
        <w:jc w:val="both"/>
        <w:rPr>
          <w:lang w:val="en-US"/>
        </w:rPr>
      </w:pPr>
      <w:r w:rsidRPr="005C6BE3">
        <w:t>A Proxmox VE</w:t>
      </w:r>
      <w:r>
        <w:rPr>
          <w:vertAlign w:val="superscript"/>
        </w:rPr>
        <w:t>2</w:t>
      </w:r>
      <w:r w:rsidRPr="005C6BE3"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integrált webes felülettel is rendelkezik, és számos funkciót kínál, többek között: </w:t>
      </w:r>
    </w:p>
    <w:p w14:paraId="364D653C" w14:textId="55D16FFE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>KVM alapú virtualizációval készü</w:t>
      </w:r>
      <w:r>
        <w:t>l</w:t>
      </w:r>
      <w:r w:rsidRPr="005C6BE3">
        <w:t>t virtuális gépek futtatását.</w:t>
      </w:r>
    </w:p>
    <w:p w14:paraId="523184AA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 xml:space="preserve">LXC konténerek futtatását erőforrás-hatékonyabb izolációval. </w:t>
      </w:r>
    </w:p>
    <w:p w14:paraId="50BB4DBE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Tárolókezelést virtuális lemezek és hálózati adattárolók számára. </w:t>
      </w:r>
    </w:p>
    <w:p w14:paraId="3CA23FA6" w14:textId="77777777" w:rsidR="00EB1AAC" w:rsidRPr="005C6BE3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Hálózatkezelést virtuális switch-ek és VLAN-ok használatával.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11" w:name="_Toc163124652"/>
      <w:bookmarkStart w:id="12" w:name="_Toc163124889"/>
      <w:r w:rsidRPr="005C6BE3">
        <w:rPr>
          <w:color w:val="auto"/>
          <w:lang w:val="en-US"/>
        </w:rPr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11"/>
      <w:bookmarkEnd w:id="12"/>
    </w:p>
    <w:p w14:paraId="794FC1E9" w14:textId="5CB91B22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</w:t>
      </w:r>
      <w:r w:rsidRPr="005C6BE3">
        <w:rPr>
          <w:rFonts w:cs="Times New Roman"/>
          <w:shd w:val="clear" w:color="auto" w:fill="FFFFFF"/>
        </w:rPr>
        <w:lastRenderedPageBreak/>
        <w:t xml:space="preserve">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13" w:name="_Toc163124653"/>
      <w:bookmarkStart w:id="14" w:name="_Toc163124890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13"/>
      <w:bookmarkEnd w:id="14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bookmarkStart w:id="15" w:name="_Hlk162948897"/>
      <w:r w:rsidR="005660E8" w:rsidRPr="005C6BE3">
        <w:rPr>
          <w:vertAlign w:val="superscript"/>
        </w:rPr>
        <w:t>4</w:t>
      </w:r>
      <w:bookmarkEnd w:id="15"/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74E6B412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</w:t>
      </w:r>
      <w:r w:rsidR="001A4B22">
        <w:t>t</w:t>
      </w:r>
      <w:r w:rsidR="007D0979" w:rsidRPr="005C6BE3">
        <w:t xml:space="preserve">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Pr="005C6BE3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16" w:name="_Toc163124654"/>
      <w:bookmarkStart w:id="17" w:name="_Toc163124891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16"/>
      <w:bookmarkEnd w:id="17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23B86F22" w14:textId="24734EC7" w:rsidR="00AF194C" w:rsidRPr="005C6BE3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3F31A8E3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>, a Proxmox Backup Server-t. Ez a megoldás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771536DE" w14:textId="1B27EB9A" w:rsidR="00EB1AAC" w:rsidRPr="00652DB6" w:rsidRDefault="001A5C60" w:rsidP="00DC4C92">
      <w:pPr>
        <w:pStyle w:val="Norml1"/>
        <w:spacing w:after="0"/>
        <w:jc w:val="both"/>
      </w:pPr>
      <w:r w:rsidRPr="00652DB6">
        <w:t xml:space="preserve">Említésre méltó, ellenben nem nyílt forráskódú egyéb megoldások: </w:t>
      </w:r>
    </w:p>
    <w:p w14:paraId="16FFAACA" w14:textId="012F0087" w:rsidR="00400B58" w:rsidRPr="005C6BE3" w:rsidRDefault="001A5C60" w:rsidP="00EB1AAC">
      <w:pPr>
        <w:pStyle w:val="Norml1"/>
        <w:numPr>
          <w:ilvl w:val="0"/>
          <w:numId w:val="23"/>
        </w:numPr>
        <w:spacing w:before="160"/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</w:t>
      </w:r>
      <w:r w:rsidRPr="005C6BE3">
        <w:lastRenderedPageBreak/>
        <w:t xml:space="preserve">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0D5BBEF4" w14:textId="003DEEC7" w:rsidR="00EB1AAC" w:rsidRPr="005C6BE3" w:rsidRDefault="006C5468" w:rsidP="00EB1AAC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485682E" w14:textId="77777777" w:rsidR="00EB1AAC" w:rsidRDefault="00EB1AAC" w:rsidP="00EB1AAC">
      <w:pPr>
        <w:pStyle w:val="Norml1"/>
        <w:ind w:left="720"/>
        <w:jc w:val="both"/>
      </w:pPr>
    </w:p>
    <w:p w14:paraId="720E75B4" w14:textId="62FDFAA5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28B0758F" w:rsidR="009A5C59" w:rsidRPr="005C6BE3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4BD5264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lastRenderedPageBreak/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DE0D3CF" w14:textId="1C2884F2" w:rsidR="00172DDA" w:rsidRDefault="00172DDA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19BE108C">
            <wp:simplePos x="0" y="0"/>
            <wp:positionH relativeFrom="margin">
              <wp:align>left</wp:align>
            </wp:positionH>
            <wp:positionV relativeFrom="margin">
              <wp:posOffset>2266950</wp:posOffset>
            </wp:positionV>
            <wp:extent cx="5867400" cy="4395470"/>
            <wp:effectExtent l="76200" t="76200" r="133350" b="13843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B381939" w14:textId="4F982DF9" w:rsidR="00172DDA" w:rsidRDefault="00172DDA" w:rsidP="00172DDA">
      <w:pPr>
        <w:pStyle w:val="Norml1"/>
        <w:ind w:firstLine="720"/>
        <w:jc w:val="center"/>
        <w:rPr>
          <w:rFonts w:cs="Times New Roman"/>
          <w:noProof/>
          <w:szCs w:val="24"/>
          <w:shd w:val="clear" w:color="auto" w:fill="FFFFFF"/>
        </w:rPr>
      </w:pPr>
      <w:r w:rsidRPr="00AA6B3E">
        <w:rPr>
          <w:rFonts w:cs="Times New Roman"/>
          <w:i/>
          <w:iCs/>
          <w:szCs w:val="24"/>
          <w:shd w:val="clear" w:color="auto" w:fill="FFFFFF"/>
        </w:rPr>
        <w:t>5.ábra, Proxmox LXC</w:t>
      </w:r>
    </w:p>
    <w:p w14:paraId="2BA33230" w14:textId="122C8F47" w:rsidR="00172DDA" w:rsidRDefault="00172DDA">
      <w:pPr>
        <w:spacing w:line="259" w:lineRule="auto"/>
      </w:pPr>
    </w:p>
    <w:p w14:paraId="71BB124E" w14:textId="77777777" w:rsidR="00172DDA" w:rsidRDefault="00172DDA" w:rsidP="00247224">
      <w:pPr>
        <w:pStyle w:val="Norml1"/>
        <w:ind w:firstLine="720"/>
        <w:jc w:val="both"/>
      </w:pPr>
    </w:p>
    <w:p w14:paraId="5E3DDEFA" w14:textId="2B8D95DD" w:rsidR="00106B8F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</w:t>
      </w:r>
      <w:r w:rsidR="00FF204D">
        <w:rPr>
          <w:rFonts w:cs="Times New Roman"/>
          <w:szCs w:val="24"/>
          <w:shd w:val="clear" w:color="auto" w:fill="FFFFFF"/>
        </w:rPr>
        <w:t>a</w:t>
      </w:r>
      <w:r w:rsidR="00EF4070" w:rsidRPr="005C6BE3">
        <w:rPr>
          <w:rFonts w:cs="Times New Roman"/>
          <w:szCs w:val="24"/>
          <w:shd w:val="clear" w:color="auto" w:fill="FFFFFF"/>
        </w:rPr>
        <w:t>ti beállításaiban kell megadni – én a MobaXterm-et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7D9B355B" w14:textId="488D31F9" w:rsidR="00172DDA" w:rsidRPr="005C6BE3" w:rsidRDefault="00172DDA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DHCP, 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 Ez a megoldás nem állja meg a helyét egy nagyvállalati környezetben, mert ajánlatos fix IP címek használata ilyen esetben.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  <w:r>
        <w:rPr>
          <w:rFonts w:cs="Times New Roman"/>
          <w:szCs w:val="24"/>
          <w:shd w:val="clear" w:color="auto" w:fill="FFFFFF"/>
        </w:rPr>
        <w:t xml:space="preserve"> </w:t>
      </w:r>
    </w:p>
    <w:p w14:paraId="5BAE75B9" w14:textId="0948FA96" w:rsidR="000A4758" w:rsidRPr="005C6BE3" w:rsidRDefault="0065049B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415D9106">
            <wp:simplePos x="0" y="0"/>
            <wp:positionH relativeFrom="margin">
              <wp:posOffset>15240</wp:posOffset>
            </wp:positionH>
            <wp:positionV relativeFrom="margin">
              <wp:posOffset>5692140</wp:posOffset>
            </wp:positionV>
            <wp:extent cx="5934075" cy="1517015"/>
            <wp:effectExtent l="76200" t="76200" r="142875" b="1403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="00703BA7"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162E4CE7" w:rsidR="005D5CBE" w:rsidRDefault="005D5CBE" w:rsidP="005D5CB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7. ábra, Nagios NRPE</w:t>
      </w:r>
      <w:r w:rsidR="00BF71F7">
        <w:rPr>
          <w:i/>
          <w:iCs/>
        </w:rPr>
        <w:t xml:space="preserve"> </w:t>
      </w:r>
      <w:r w:rsidR="00BF71F7">
        <w:rPr>
          <w:rFonts w:cs="Times New Roman"/>
          <w:shd w:val="clear" w:color="auto" w:fill="FFFFFF"/>
          <w:vertAlign w:val="superscript"/>
        </w:rPr>
        <w:t>6</w:t>
      </w:r>
    </w:p>
    <w:p w14:paraId="519A6BBF" w14:textId="2C2462CB" w:rsidR="0065049B" w:rsidRDefault="0065049B" w:rsidP="0065049B">
      <w:pPr>
        <w:pStyle w:val="Norml1"/>
        <w:jc w:val="both"/>
        <w:rPr>
          <w:i/>
          <w:iCs/>
          <w:sz w:val="23"/>
          <w:szCs w:val="23"/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Pr="00FF204D">
        <w:rPr>
          <w:sz w:val="23"/>
          <w:szCs w:val="23"/>
        </w:rPr>
        <w:t xml:space="preserve">Kép forrása: </w:t>
      </w:r>
      <w:r w:rsidRPr="00FF204D">
        <w:rPr>
          <w:color w:val="0070C0"/>
          <w:sz w:val="23"/>
          <w:szCs w:val="23"/>
          <w:u w:val="single"/>
        </w:rPr>
        <w:t>https://exchange.nagios.org/directory/image/93</w:t>
      </w:r>
      <w:r w:rsidRPr="00FF204D">
        <w:rPr>
          <w:color w:val="0070C0"/>
          <w:sz w:val="23"/>
          <w:szCs w:val="23"/>
        </w:rPr>
        <w:t xml:space="preserve"> </w:t>
      </w:r>
      <w:r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5168C0F1" w14:textId="51A6B186" w:rsidR="002E3DF9" w:rsidRPr="00172DDA" w:rsidRDefault="002E3DF9" w:rsidP="00172DDA">
      <w:pPr>
        <w:pStyle w:val="Cimsor"/>
        <w:rPr>
          <w:i/>
          <w:iCs/>
          <w:sz w:val="23"/>
          <w:szCs w:val="23"/>
          <w:shd w:val="clear" w:color="auto" w:fill="FFFFFF"/>
        </w:rPr>
      </w:pPr>
      <w:bookmarkStart w:id="18" w:name="_Toc163124655"/>
      <w:bookmarkStart w:id="19" w:name="_Toc163124892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8"/>
      <w:bookmarkEnd w:id="19"/>
    </w:p>
    <w:p w14:paraId="1715CF0E" w14:textId="061E978A" w:rsidR="002E3DF9" w:rsidRPr="005C6BE3" w:rsidRDefault="00352A58" w:rsidP="00DB082A">
      <w:pPr>
        <w:pStyle w:val="Alcim"/>
        <w:rPr>
          <w:color w:val="auto"/>
        </w:rPr>
      </w:pPr>
      <w:bookmarkStart w:id="20" w:name="_Toc163124656"/>
      <w:bookmarkStart w:id="21" w:name="_Toc163124893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20"/>
      <w:bookmarkEnd w:id="21"/>
    </w:p>
    <w:p w14:paraId="50889D46" w14:textId="7B1DE52C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playbook-ot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22" w:name="_Toc163124657"/>
      <w:bookmarkStart w:id="23" w:name="_Toc163124894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22"/>
      <w:bookmarkEnd w:id="23"/>
    </w:p>
    <w:p w14:paraId="580F2AA4" w14:textId="77777777" w:rsidR="0065049B" w:rsidRDefault="00DB082A" w:rsidP="0065049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BF71F7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 xml:space="preserve">A projekt létrehozása után a legfontosabb lépések a következőek: </w:t>
      </w:r>
    </w:p>
    <w:p w14:paraId="2E221869" w14:textId="77777777" w:rsidR="0065049B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egy biztonságos csatlakozási lehetőség beállítása a kliens oldali gépek felé, </w:t>
      </w:r>
    </w:p>
    <w:p w14:paraId="14C36E9B" w14:textId="77777777" w:rsidR="0065049B" w:rsidRDefault="0065049B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l</w:t>
      </w:r>
      <w:r w:rsidR="00A05B95" w:rsidRPr="005C6BE3">
        <w:rPr>
          <w:rFonts w:cs="Times New Roman"/>
          <w:szCs w:val="24"/>
          <w:shd w:val="clear" w:color="auto" w:fill="FFFFFF"/>
        </w:rPr>
        <w:t xml:space="preserve">egalább egy inventory fájl készítése, </w:t>
      </w:r>
    </w:p>
    <w:p w14:paraId="2CEF5AD9" w14:textId="5CAA8529" w:rsidR="00D01BCA" w:rsidRPr="005C6BE3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playbook-ok írása, amiket lehet majd futtatni a Semaphore-on keresztül.</w:t>
      </w:r>
    </w:p>
    <w:p w14:paraId="2D7728A1" w14:textId="3D915A10" w:rsidR="00D01BCA" w:rsidRPr="005C6BE3" w:rsidRDefault="0065049B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D01BCA"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EA27790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 xml:space="preserve">, </w:t>
      </w:r>
      <w:r w:rsidR="0065049B">
        <w:rPr>
          <w:rFonts w:cs="Times New Roman"/>
          <w:szCs w:val="24"/>
          <w:shd w:val="clear" w:color="auto" w:fill="FFFFFF"/>
        </w:rPr>
        <w:t>ezt</w:t>
      </w:r>
      <w:r w:rsidR="001566FF" w:rsidRPr="005C6BE3">
        <w:rPr>
          <w:rFonts w:cs="Times New Roman"/>
          <w:szCs w:val="24"/>
          <w:shd w:val="clear" w:color="auto" w:fill="FFFFFF"/>
        </w:rPr>
        <w:t xml:space="preserve">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5836446" w:rsidR="008F1457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58468FEC">
            <wp:simplePos x="0" y="0"/>
            <wp:positionH relativeFrom="margin">
              <wp:posOffset>1196340</wp:posOffset>
            </wp:positionH>
            <wp:positionV relativeFrom="paragraph">
              <wp:posOffset>2034540</wp:posOffset>
            </wp:positionV>
            <wp:extent cx="3609975" cy="5545455"/>
            <wp:effectExtent l="76200" t="76200" r="142875" b="13144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4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0D"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D1560D"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inventory fájl elkészítésére.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="00D1560D"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="00D1560D" w:rsidRPr="005C6BE3">
        <w:rPr>
          <w:rFonts w:cs="Times New Roman"/>
          <w:szCs w:val="24"/>
          <w:shd w:val="clear" w:color="auto" w:fill="FFFFFF"/>
        </w:rPr>
        <w:t>.</w:t>
      </w:r>
    </w:p>
    <w:p w14:paraId="5363CC27" w14:textId="5D2D14CA" w:rsidR="00857CB1" w:rsidRDefault="008F1457" w:rsidP="00AA6B3E">
      <w:pPr>
        <w:pStyle w:val="Norml1"/>
        <w:jc w:val="center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</w:rPr>
        <w:t>8. ábra, Semaphore Inventory</w:t>
      </w:r>
    </w:p>
    <w:p w14:paraId="177C767F" w14:textId="531CE35B" w:rsidR="00633316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5D24D42" wp14:editId="164AEB82">
            <wp:simplePos x="0" y="0"/>
            <wp:positionH relativeFrom="margin">
              <wp:align>center</wp:align>
            </wp:positionH>
            <wp:positionV relativeFrom="paragraph">
              <wp:posOffset>3493770</wp:posOffset>
            </wp:positionV>
            <wp:extent cx="2657475" cy="2691130"/>
            <wp:effectExtent l="76200" t="76200" r="14287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="002A0F57"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="002A0F57"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3F163C87" w:rsidR="00633316" w:rsidRPr="005C6BE3" w:rsidRDefault="00633316" w:rsidP="00633316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9. ábra, Semaphore Repository</w:t>
      </w:r>
    </w:p>
    <w:p w14:paraId="08C57367" w14:textId="07B01525" w:rsidR="00633316" w:rsidRPr="005C6BE3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75F927" w:rsidR="002B24F5" w:rsidRPr="005C6BE3" w:rsidRDefault="002B24F5" w:rsidP="002B24F5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</w:p>
    <w:p w14:paraId="7ED87417" w14:textId="77777777" w:rsidR="00F32FBE" w:rsidRDefault="00DC4C92" w:rsidP="00F32FBE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6ACABD99" w:rsidR="00DC4C92" w:rsidRPr="005C6BE3" w:rsidRDefault="00024A46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330A11C" w14:textId="0005EC3D" w:rsidR="00583FE3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6411266D" w14:textId="77777777" w:rsidR="00355984" w:rsidRPr="005C6BE3" w:rsidRDefault="00355984">
      <w:pPr>
        <w:spacing w:line="259" w:lineRule="auto"/>
      </w:pP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Pr="005C6BE3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24" w:name="_Toc163124658"/>
      <w:bookmarkStart w:id="25" w:name="_Toc163124895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24"/>
      <w:bookmarkEnd w:id="25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26" w:name="_Toc163124659"/>
      <w:bookmarkStart w:id="27" w:name="_Toc163124896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26"/>
      <w:bookmarkEnd w:id="27"/>
    </w:p>
    <w:p w14:paraId="273B026B" w14:textId="7291A7EE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BF71F7">
        <w:rPr>
          <w:rFonts w:cs="Times New Roman"/>
          <w:shd w:val="clear" w:color="auto" w:fill="FFFFFF"/>
          <w:vertAlign w:val="superscript"/>
        </w:rPr>
        <w:t>9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78A9870C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playbook-ok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Pr="005C6BE3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28" w:name="_Toc163124660"/>
      <w:bookmarkStart w:id="29" w:name="_Toc163124897"/>
      <w:r w:rsidRPr="005C6BE3">
        <w:rPr>
          <w:color w:val="auto"/>
        </w:rPr>
        <w:t xml:space="preserve">5.2 </w:t>
      </w:r>
      <w:r w:rsidR="004168A1" w:rsidRPr="005C6BE3">
        <w:rPr>
          <w:color w:val="auto"/>
        </w:rPr>
        <w:t>Automatizált feladatok</w:t>
      </w:r>
      <w:bookmarkEnd w:id="28"/>
      <w:bookmarkEnd w:id="29"/>
    </w:p>
    <w:p w14:paraId="24B4F4C8" w14:textId="4DF51362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gramStart"/>
      <w:r w:rsidR="009F20FB" w:rsidRPr="005C6BE3">
        <w:rPr>
          <w:rFonts w:ascii="Arial" w:hAnsi="Arial" w:cs="Arial"/>
          <w:szCs w:val="24"/>
          <w:shd w:val="clear" w:color="auto" w:fill="FFFFFF"/>
        </w:rPr>
        <w:t>name: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gramEnd"/>
      <w:r w:rsidR="009F20FB" w:rsidRPr="005C6BE3">
        <w:rPr>
          <w:rFonts w:cs="Times New Roman"/>
          <w:szCs w:val="24"/>
          <w:shd w:val="clear" w:color="auto" w:fill="FFFFFF"/>
        </w:rPr>
        <w:t>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3F41D7BB" w14:textId="0007687E" w:rsidR="00327F68" w:rsidRPr="005C6BE3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igyekeztem a Linux rendszerekre koncentrálni, pont emiatt, mert ingyenes.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  <w:r w:rsidRPr="005C6BE3">
        <w:rPr>
          <w:i/>
          <w:iCs/>
        </w:rPr>
        <w:t>13. ábra, Ansible Update</w:t>
      </w:r>
    </w:p>
    <w:p w14:paraId="76C84896" w14:textId="4CDCB3BE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</w:t>
      </w:r>
      <w:r w:rsidR="00AA6B3E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3B709772" w:rsidR="00BA260E" w:rsidRPr="005C6BE3" w:rsidRDefault="009928C3" w:rsidP="009928C3">
      <w:pPr>
        <w:pStyle w:val="Norml1"/>
        <w:jc w:val="both"/>
      </w:pPr>
      <w:r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 xml:space="preserve">t </w:t>
      </w:r>
      <w:r w:rsidR="004277D1" w:rsidRPr="005C6BE3">
        <w:lastRenderedPageBreak/>
        <w:t>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</w:t>
      </w:r>
      <w:r w:rsidR="0065049B" w:rsidRPr="005C6BE3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6D7A1E7B">
            <wp:simplePos x="0" y="0"/>
            <wp:positionH relativeFrom="margin">
              <wp:posOffset>3962400</wp:posOffset>
            </wp:positionH>
            <wp:positionV relativeFrom="paragraph">
              <wp:posOffset>614045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1" w:rsidRPr="005C6BE3">
        <w:t xml:space="preserve">playbook-ok. </w:t>
      </w:r>
    </w:p>
    <w:p w14:paraId="59FABD09" w14:textId="696EB964" w:rsidR="0065049B" w:rsidRDefault="0065049B" w:rsidP="0065049B">
      <w:pPr>
        <w:pStyle w:val="Norml1"/>
        <w:jc w:val="both"/>
        <w:rPr>
          <w:rFonts w:ascii="Arial" w:hAnsi="Arial" w:cs="Arial"/>
        </w:rPr>
      </w:pP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3C44C9B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1" w:rsidRPr="005C6BE3">
        <w:rPr>
          <w:rFonts w:ascii="Arial" w:hAnsi="Arial" w:cs="Arial"/>
        </w:rPr>
        <w:t xml:space="preserve"> </w:t>
      </w:r>
    </w:p>
    <w:p w14:paraId="678F6F00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398D18ED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6A419EAE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76FABF1D" w14:textId="1D4ECD26" w:rsidR="0065049B" w:rsidRPr="005C6BE3" w:rsidRDefault="0065049B" w:rsidP="0065049B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</w:t>
      </w:r>
      <w:r w:rsidRPr="005C6BE3">
        <w:rPr>
          <w:i/>
          <w:iCs/>
        </w:rPr>
        <w:t>14.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 </w:t>
      </w:r>
      <w:r>
        <w:rPr>
          <w:i/>
          <w:iCs/>
        </w:rPr>
        <w:t xml:space="preserve">  </w:t>
      </w:r>
      <w:r w:rsidRPr="005C6BE3">
        <w:rPr>
          <w:i/>
          <w:iCs/>
        </w:rPr>
        <w:t>15. ábra, Ansible Shutdown</w:t>
      </w:r>
    </w:p>
    <w:p w14:paraId="022F9884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09E0A01D" w14:textId="04A248F1" w:rsidR="00A64F92" w:rsidRPr="005C6BE3" w:rsidRDefault="0065049B" w:rsidP="009928C3">
      <w:pPr>
        <w:pStyle w:val="Norml1"/>
        <w:jc w:val="both"/>
      </w:pPr>
      <w:r w:rsidRPr="005C6BE3">
        <w:t>A következő playbook-ok elég egyértelműek, viszont kiegészíteném egy-egy gondolattal. A 14. ábr</w:t>
      </w:r>
      <w:r>
        <w:t>á</w:t>
      </w:r>
      <w:r w:rsidRPr="005C6BE3">
        <w:t xml:space="preserve">n látható a </w:t>
      </w:r>
      <w:r w:rsidRPr="005C6BE3">
        <w:rPr>
          <w:rFonts w:ascii="Arial" w:hAnsi="Arial" w:cs="Arial"/>
        </w:rPr>
        <w:t>reboot_timeout:</w:t>
      </w:r>
      <w:r w:rsidR="004277D1" w:rsidRPr="005C6BE3">
        <w:rPr>
          <w:rFonts w:ascii="Arial" w:hAnsi="Arial" w:cs="Arial"/>
        </w:rPr>
        <w:t>36</w:t>
      </w:r>
      <w:r w:rsidR="004277D1" w:rsidRPr="005C6BE3">
        <w:rPr>
          <w:rFonts w:ascii="Arial" w:hAnsi="Arial" w:cs="Arial"/>
          <w:lang w:val="en-US"/>
        </w:rPr>
        <w:t>00</w:t>
      </w:r>
      <w:r w:rsidR="004277D1" w:rsidRPr="005C6BE3">
        <w:t xml:space="preserve"> részlet</w:t>
      </w:r>
      <w:r w:rsidR="00B540B4" w:rsidRPr="005C6BE3">
        <w:t>,</w:t>
      </w:r>
      <w:r w:rsidR="004277D1" w:rsidRPr="005C6BE3">
        <w:t xml:space="preserve"> </w:t>
      </w:r>
      <w:r w:rsidR="00086E8E" w:rsidRPr="005C6BE3">
        <w:t xml:space="preserve">amely </w:t>
      </w:r>
      <w:r w:rsidR="004277D1" w:rsidRPr="005C6BE3">
        <w:t>az újraindítás után eltelt maxim</w:t>
      </w:r>
      <w:r w:rsidR="00B540B4" w:rsidRPr="005C6BE3">
        <w:t>ális</w:t>
      </w:r>
      <w:r w:rsidR="004277D1"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="004277D1" w:rsidRPr="005C6BE3">
        <w:t>idő</w:t>
      </w:r>
      <w:r w:rsidR="00B540B4" w:rsidRPr="005C6BE3">
        <w:t>, melyen</w:t>
      </w:r>
      <w:r w:rsidR="004277D1"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="004277D1" w:rsidRPr="005C6BE3">
        <w:t>. ábrán látható playbook-n</w:t>
      </w:r>
      <w:r w:rsidR="00086E8E" w:rsidRPr="005C6BE3">
        <w:t>á</w:t>
      </w:r>
      <w:r w:rsidR="004277D1" w:rsidRPr="005C6BE3">
        <w:t xml:space="preserve">l a </w:t>
      </w:r>
      <w:r w:rsidR="004277D1" w:rsidRPr="005C6BE3">
        <w:rPr>
          <w:rFonts w:ascii="Arial" w:hAnsi="Arial" w:cs="Arial"/>
        </w:rPr>
        <w:t>delay: 5</w:t>
      </w:r>
      <w:r w:rsidR="004277D1"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134A57EC" w:rsidR="00BA260E" w:rsidRPr="005C6BE3" w:rsidRDefault="00BA260E" w:rsidP="009928C3">
      <w:pPr>
        <w:pStyle w:val="Norml1"/>
        <w:jc w:val="both"/>
      </w:pP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3219255B" w14:textId="421B8EB9" w:rsidR="00327F68" w:rsidRPr="005C6BE3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</w:p>
    <w:p w14:paraId="0D58AA18" w14:textId="77777777" w:rsidR="00BA260E" w:rsidRPr="005C6BE3" w:rsidRDefault="00BA260E" w:rsidP="006D0729">
      <w:pPr>
        <w:pStyle w:val="Norml1"/>
        <w:jc w:val="both"/>
      </w:pPr>
    </w:p>
    <w:p w14:paraId="380CF86E" w14:textId="70C62949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1BE9F73D">
            <wp:simplePos x="0" y="0"/>
            <wp:positionH relativeFrom="margin">
              <wp:align>left</wp:align>
            </wp:positionH>
            <wp:positionV relativeFrom="paragraph">
              <wp:posOffset>2882265</wp:posOffset>
            </wp:positionV>
            <wp:extent cx="5619750" cy="4688205"/>
            <wp:effectExtent l="76200" t="76200" r="133350" b="13144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88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Pr="005C6BE3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E20DE66" w14:textId="4E76E53B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gramStart"/>
      <w:r w:rsidRPr="005C6BE3">
        <w:rPr>
          <w:rFonts w:ascii="Arial" w:hAnsi="Arial" w:cs="Arial"/>
        </w:rPr>
        <w:t>item.status</w:t>
      </w:r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</w:t>
      </w:r>
      <w:r w:rsidR="00347CEB" w:rsidRPr="003A15D1">
        <w:rPr>
          <w:rFonts w:ascii="Arial" w:hAnsi="Arial" w:cs="Arial"/>
        </w:rPr>
        <w:t>proxmox_vm_info</w:t>
      </w:r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1170A103" w:rsidR="006C3EB2" w:rsidRPr="005C6BE3" w:rsidRDefault="003D0B17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3C413B13">
            <wp:simplePos x="0" y="0"/>
            <wp:positionH relativeFrom="margin">
              <wp:align>left</wp:align>
            </wp:positionH>
            <wp:positionV relativeFrom="paragraph">
              <wp:posOffset>846455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28F9C7BF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89BB591" w14:textId="20345B92" w:rsidR="003D0B17" w:rsidRPr="005C6BE3" w:rsidRDefault="006C3EB2" w:rsidP="00172DDA">
      <w:pPr>
        <w:pStyle w:val="Norml1"/>
        <w:jc w:val="both"/>
      </w:pPr>
      <w:r w:rsidRPr="005C6BE3">
        <w:tab/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Pr="005C6BE3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7F83D613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telepítsem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Pr="005C6BE3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4FE7CFCD" w14:textId="62C67D3B" w:rsidR="00E569FD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35B3F" w:rsidR="006C72B2" w:rsidRPr="005C6BE3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nagy különbség a felhasználó és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Pr="005C6BE3">
        <w:rPr>
          <w:rFonts w:ascii="Arial" w:hAnsi="Arial" w:cs="Arial"/>
          <w:szCs w:val="24"/>
          <w:shd w:val="clear" w:color="auto" w:fill="FFFFFF"/>
        </w:rPr>
        <w:t>sudoers</w:t>
      </w:r>
      <w:r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5C6BE3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21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User</w:t>
      </w:r>
    </w:p>
    <w:p w14:paraId="2ECA4E6D" w14:textId="793CE8E4" w:rsidR="00EE4EC5" w:rsidRPr="005C6BE3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  <w:t>Mint már eml</w:t>
      </w:r>
      <w:r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</w:t>
      </w:r>
      <w:r w:rsidRPr="005C6BE3">
        <w:rPr>
          <w:rFonts w:cs="Times New Roman"/>
          <w:szCs w:val="24"/>
          <w:shd w:val="clear" w:color="auto" w:fill="FFFFFF"/>
        </w:rPr>
        <w:lastRenderedPageBreak/>
        <w:t xml:space="preserve">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 xml:space="preserve">könyvtárjába. Minden konfigurációs fájl nevének meg kell egyeznie a kliens gép nevével, a fájl kiterjesztése </w:t>
      </w:r>
      <w:r w:rsidRPr="005C6BE3">
        <w:rPr>
          <w:rFonts w:ascii="Arial" w:hAnsi="Arial" w:cs="Arial"/>
          <w:szCs w:val="24"/>
          <w:shd w:val="clear" w:color="auto" w:fill="FFFFFF"/>
        </w:rPr>
        <w:t>.cfg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5FDE05BD" w:rsidR="00635C0A" w:rsidRPr="005C6BE3" w:rsidRDefault="00172DDA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4A88553A">
            <wp:simplePos x="0" y="0"/>
            <wp:positionH relativeFrom="margin">
              <wp:posOffset>814705</wp:posOffset>
            </wp:positionH>
            <wp:positionV relativeFrom="paragraph">
              <wp:posOffset>1575435</wp:posOffset>
            </wp:positionV>
            <wp:extent cx="4278630" cy="4857750"/>
            <wp:effectExtent l="76200" t="76200" r="140970" b="13335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4857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F1"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template-et leklónozom minden egyes gép létrehozásnál. Ehhez az Ansible </w:t>
      </w:r>
      <w:proofErr w:type="gramStart"/>
      <w:r w:rsidR="00316EF1"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="00316EF1" w:rsidRPr="005C6BE3">
        <w:rPr>
          <w:rFonts w:ascii="Arial" w:hAnsi="Arial" w:cs="Arial"/>
          <w:szCs w:val="24"/>
          <w:shd w:val="clear" w:color="auto" w:fill="FFFFFF"/>
        </w:rPr>
        <w:t xml:space="preserve">.proxmox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 w:rsidR="00316EF1"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 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77219F02" w:rsidR="00635C0A" w:rsidRPr="005C6BE3" w:rsidRDefault="00D8259A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 w:rsidRPr="005C6BE3">
        <w:rPr>
          <w:rFonts w:cs="Times New Roman"/>
          <w:i/>
          <w:iCs/>
          <w:szCs w:val="24"/>
          <w:shd w:val="clear" w:color="auto" w:fill="FFFFFF"/>
          <w:lang w:val="en-US"/>
        </w:rPr>
        <w:t>. ábra, Deploy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30" w:name="_Toc163124661"/>
      <w:bookmarkStart w:id="31" w:name="_Toc163124898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30"/>
      <w:bookmarkEnd w:id="31"/>
    </w:p>
    <w:p w14:paraId="35588117" w14:textId="0A43B37B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relevánsnak,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77EA436C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</w:t>
      </w:r>
      <w:r w:rsidR="00F32FBE">
        <w:t>.</w:t>
      </w:r>
    </w:p>
    <w:p w14:paraId="29EA7C81" w14:textId="46306F23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</w:t>
      </w:r>
      <w:r w:rsidR="00003B6A">
        <w:t xml:space="preserve"> szolgált</w:t>
      </w:r>
      <w:r w:rsidR="008A7FA9" w:rsidRPr="005C6BE3">
        <w:t>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2D4D8E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2D4D8E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32" w:name="_Toc163124662"/>
      <w:bookmarkStart w:id="33" w:name="_Toc163124899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32"/>
      <w:bookmarkEnd w:id="33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var_files: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/etc/ansible/secure_vars.yaml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45579A60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BF71F7">
        <w:rPr>
          <w:rFonts w:cs="Times New Roman"/>
          <w:shd w:val="clear" w:color="auto" w:fill="FFFFFF"/>
          <w:vertAlign w:val="superscript"/>
        </w:rPr>
        <w:t>1</w:t>
      </w:r>
      <w:r w:rsidR="00BF71F7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34" w:name="_Toc163124663"/>
      <w:bookmarkStart w:id="35" w:name="_Toc163124900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34"/>
      <w:bookmarkEnd w:id="35"/>
    </w:p>
    <w:p w14:paraId="0E9F11DA" w14:textId="3B9A30CD" w:rsidR="004861F8" w:rsidRPr="005C6BE3" w:rsidRDefault="00891191" w:rsidP="004861F8">
      <w:pPr>
        <w:pStyle w:val="Norml1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4861F8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D65D5">
      <w:pPr>
        <w:pStyle w:val="Norml1"/>
        <w:spacing w:after="0"/>
        <w:ind w:left="426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36" w:name="_Toc163124664"/>
      <w:bookmarkStart w:id="37" w:name="_Toc163124901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36"/>
      <w:bookmarkEnd w:id="37"/>
    </w:p>
    <w:p w14:paraId="6EE2EA57" w14:textId="77777777" w:rsidR="00891191" w:rsidRPr="005C6BE3" w:rsidRDefault="00D13B84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CA4FCC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D85099">
      <w:pPr>
        <w:pStyle w:val="Alcim"/>
        <w:rPr>
          <w:color w:val="auto"/>
          <w:shd w:val="clear" w:color="auto" w:fill="FFFFFF"/>
        </w:rPr>
      </w:pPr>
      <w:bookmarkStart w:id="38" w:name="_Toc163124665"/>
      <w:bookmarkStart w:id="39" w:name="_Toc163124902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38"/>
      <w:bookmarkEnd w:id="39"/>
    </w:p>
    <w:p w14:paraId="482888B8" w14:textId="77777777" w:rsidR="005C6BE3" w:rsidRPr="005C6BE3" w:rsidRDefault="00496D02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8DCE05B" w14:textId="77777777" w:rsidR="005C6BE3" w:rsidRPr="005C6BE3" w:rsidRDefault="005C6BE3" w:rsidP="00CA4FCC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6511FB71" w14:textId="77777777" w:rsidR="005C6BE3" w:rsidRDefault="005C6BE3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6CA2FF4" w14:textId="77777777" w:rsidR="003D65D5" w:rsidRPr="005C6BE3" w:rsidRDefault="003D65D5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0AEC6EE2" w14:textId="254EF44D" w:rsidR="00496D02" w:rsidRPr="005C6BE3" w:rsidRDefault="0034480D" w:rsidP="00B0430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D85099">
      <w:pPr>
        <w:pStyle w:val="Alcim"/>
        <w:rPr>
          <w:rFonts w:cs="Times New Roman"/>
          <w:color w:val="auto"/>
          <w:szCs w:val="24"/>
          <w:shd w:val="clear" w:color="auto" w:fill="FFFFFF"/>
        </w:rPr>
      </w:pPr>
      <w:bookmarkStart w:id="40" w:name="_Toc163124666"/>
      <w:bookmarkStart w:id="41" w:name="_Toc163124903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40"/>
      <w:bookmarkEnd w:id="41"/>
    </w:p>
    <w:p w14:paraId="37134F76" w14:textId="1DB14912" w:rsidR="00A53A34" w:rsidRPr="005C6BE3" w:rsidRDefault="0034480D" w:rsidP="0034480D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A53A34" w:rsidRPr="005C6BE3" w:rsidSect="000D54FD">
          <w:footerReference w:type="default" r:id="rId30"/>
          <w:pgSz w:w="12240" w:h="15840"/>
          <w:pgMar w:top="1701" w:right="1134" w:bottom="1701" w:left="1701" w:header="720" w:footer="720" w:gutter="0"/>
          <w:cols w:space="720"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</w:t>
      </w:r>
      <w:r w:rsidR="00172DDA">
        <w:rPr>
          <w:rFonts w:cs="Times New Roman"/>
          <w:szCs w:val="24"/>
          <w:shd w:val="clear" w:color="auto" w:fill="FFFFFF"/>
        </w:rPr>
        <w:t>.</w:t>
      </w:r>
    </w:p>
    <w:p w14:paraId="4310939C" w14:textId="77777777" w:rsidR="005C6BE3" w:rsidRDefault="005C6BE3" w:rsidP="00172DDA">
      <w:pPr>
        <w:spacing w:line="259" w:lineRule="auto"/>
        <w:rPr>
          <w:rFonts w:cs="Times New Roman"/>
          <w:szCs w:val="24"/>
          <w:shd w:val="clear" w:color="auto" w:fill="FFFFFF"/>
        </w:rPr>
      </w:pP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42" w:name="_Toc163124667"/>
      <w:bookmarkStart w:id="43" w:name="_Toc163124904"/>
      <w:r w:rsidRPr="005C6BE3">
        <w:rPr>
          <w:shd w:val="clear" w:color="auto" w:fill="FFFFFF"/>
        </w:rPr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42"/>
      <w:bookmarkEnd w:id="43"/>
    </w:p>
    <w:p w14:paraId="2D37FA81" w14:textId="4D89E36B" w:rsidR="005C6BE3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 szakdolgozatom elkész</w:t>
      </w:r>
      <w:r w:rsidRPr="000E5371">
        <w:rPr>
          <w:rFonts w:eastAsia="Times New Roman"/>
          <w:shd w:val="clear" w:color="auto" w:fill="FFFFFF"/>
        </w:rPr>
        <w:t>í</w:t>
      </w:r>
      <w:r>
        <w:rPr>
          <w:rFonts w:eastAsia="Times New Roman"/>
          <w:shd w:val="clear" w:color="auto" w:fill="FFFFFF"/>
        </w:rPr>
        <w:t>tése során sokat tanultam a virtualizációról</w:t>
      </w:r>
      <w:r w:rsidR="00FA60E6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A virtualizáció egy nagyon fontos témakör az IT szférában, mivel a klasszikus fizikai szerverek üzemeltetése kihalóban van, aminek a helyét a virtualizáció és felhőtechnológiák használata veszi át.</w:t>
      </w:r>
    </w:p>
    <w:p w14:paraId="4BF7CB2A" w14:textId="6673C306" w:rsidR="00FA60E6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 xml:space="preserve">Továbbá </w:t>
      </w:r>
      <w:r w:rsidR="00AA0B05">
        <w:rPr>
          <w:rFonts w:eastAsia="Times New Roman"/>
          <w:shd w:val="clear" w:color="auto" w:fill="FFFFFF"/>
        </w:rPr>
        <w:t xml:space="preserve">az Ansible automatizációs platform használatáról is sokat tanultam, hogy </w:t>
      </w:r>
      <w:r w:rsidR="00E83E68">
        <w:rPr>
          <w:rFonts w:eastAsia="Times New Roman"/>
          <w:shd w:val="clear" w:color="auto" w:fill="FFFFFF"/>
        </w:rPr>
        <w:t>azt,</w:t>
      </w:r>
      <w:r w:rsidR="00AA0B05">
        <w:rPr>
          <w:rFonts w:eastAsia="Times New Roman"/>
          <w:shd w:val="clear" w:color="auto" w:fill="FFFFFF"/>
        </w:rPr>
        <w:t xml:space="preserve"> hogy s miként lehet a legeredményesebb módon használni.</w:t>
      </w:r>
      <w:r w:rsidR="00E83E68">
        <w:rPr>
          <w:rFonts w:eastAsia="Times New Roman"/>
          <w:shd w:val="clear" w:color="auto" w:fill="FFFFFF"/>
        </w:rPr>
        <w:t xml:space="preserve"> Az általam bemutatott playbook-ok</w:t>
      </w:r>
      <w:r w:rsidR="004A45AD">
        <w:rPr>
          <w:rFonts w:eastAsia="Times New Roman"/>
          <w:shd w:val="clear" w:color="auto" w:fill="FFFFFF"/>
        </w:rPr>
        <w:t xml:space="preserve"> egytől-egyig nagyon fontos részét képzik egy automatizált környezetnek, melyek iránymutatásként szolgálnak egy ilyesfajta környezet megvalós</w:t>
      </w:r>
      <w:r w:rsidR="004A45AD" w:rsidRPr="004A45AD">
        <w:rPr>
          <w:rFonts w:eastAsia="Times New Roman"/>
          <w:shd w:val="clear" w:color="auto" w:fill="FFFFFF"/>
        </w:rPr>
        <w:t>í</w:t>
      </w:r>
      <w:r w:rsidR="004A45AD">
        <w:rPr>
          <w:rFonts w:eastAsia="Times New Roman"/>
          <w:shd w:val="clear" w:color="auto" w:fill="FFFFFF"/>
        </w:rPr>
        <w:t>tásá</w:t>
      </w:r>
      <w:r w:rsidR="00FA60E6">
        <w:rPr>
          <w:rFonts w:eastAsia="Times New Roman"/>
          <w:shd w:val="clear" w:color="auto" w:fill="FFFFFF"/>
        </w:rPr>
        <w:t>hoz. A megvalós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tható playbook-ok listája végtelen, szinte bármilyen elképzelés megoldható az Ansible automatizáció seg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tségével.</w:t>
      </w:r>
    </w:p>
    <w:p w14:paraId="5E8FAAAD" w14:textId="54BC5A6E" w:rsidR="00FA60E6" w:rsidRPr="005C6BE3" w:rsidRDefault="00FA60E6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Az elkészült környezetet továbbá is fogom használni, itthoni környezet gyanánt. A jelenleg használt e-mail küldő monitoring megoldást lecserélem az 5.3-as bekezdés 1. pontjában bemutatott Discord üzenetküldő</w:t>
      </w:r>
      <w:r w:rsidR="00865198">
        <w:rPr>
          <w:rFonts w:eastAsia="Times New Roman"/>
          <w:shd w:val="clear" w:color="auto" w:fill="FFFFFF"/>
        </w:rPr>
        <w:t xml:space="preserve"> megoldásra, mivel erre a jelzésre sokkal egyszer</w:t>
      </w:r>
      <w:r w:rsidR="00865198" w:rsidRPr="00865198">
        <w:rPr>
          <w:rFonts w:eastAsia="Times New Roman"/>
          <w:shd w:val="clear" w:color="auto" w:fill="FFFFFF"/>
        </w:rPr>
        <w:t>ű</w:t>
      </w:r>
      <w:r w:rsidR="00865198">
        <w:rPr>
          <w:rFonts w:eastAsia="Times New Roman"/>
          <w:shd w:val="clear" w:color="auto" w:fill="FFFFFF"/>
        </w:rPr>
        <w:t xml:space="preserve">bb reagálnom. Tovább fogom fejleszteni a környezetemet egyéb playbook-okkal, és nagyon hasznos lesz a munkám végzése során, mivel </w:t>
      </w:r>
      <w:r w:rsidR="00865198" w:rsidRPr="00865198">
        <w:rPr>
          <w:rFonts w:eastAsia="Times New Roman"/>
          <w:shd w:val="clear" w:color="auto" w:fill="FFFFFF"/>
        </w:rPr>
        <w:t>í</w:t>
      </w:r>
      <w:r w:rsidR="00865198">
        <w:rPr>
          <w:rFonts w:eastAsia="Times New Roman"/>
          <w:shd w:val="clear" w:color="auto" w:fill="FFFFFF"/>
        </w:rPr>
        <w:t>gy egy teljes tesztkörnyezetre tettem szert, ahol folytathatom a szkriptek fejlesztését.</w:t>
      </w:r>
    </w:p>
    <w:p w14:paraId="17D2C3D3" w14:textId="77777777" w:rsidR="005C6BE3" w:rsidRPr="007A4B74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5768716E" w14:textId="77777777" w:rsidR="00EA4085" w:rsidRDefault="00D611ED" w:rsidP="00EA4085">
      <w:pPr>
        <w:pStyle w:val="Cimsor"/>
        <w:rPr>
          <w:shd w:val="clear" w:color="auto" w:fill="FFFFFF"/>
        </w:rPr>
      </w:pPr>
      <w:bookmarkStart w:id="44" w:name="_Toc163124668"/>
      <w:bookmarkStart w:id="45" w:name="_Toc163124905"/>
      <w:r w:rsidRPr="005C6BE3">
        <w:rPr>
          <w:shd w:val="clear" w:color="auto" w:fill="FFFFFF"/>
        </w:rPr>
        <w:lastRenderedPageBreak/>
        <w:t>8</w:t>
      </w:r>
      <w:r w:rsidR="00B579E1" w:rsidRPr="005C6BE3">
        <w:rPr>
          <w:shd w:val="clear" w:color="auto" w:fill="FFFFFF"/>
        </w:rPr>
        <w:t>. Irodalomjegyzék</w:t>
      </w:r>
      <w:bookmarkEnd w:id="44"/>
      <w:bookmarkEnd w:id="45"/>
    </w:p>
    <w:p w14:paraId="4EA4BE0F" w14:textId="77777777" w:rsidR="00EA4085" w:rsidRDefault="005660E8" w:rsidP="00EA4085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="00EA4085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Ansible hivatalos dokumentáció.</w:t>
      </w:r>
      <w:r w:rsidRPr="005C6BE3">
        <w:rPr>
          <w:shd w:val="clear" w:color="auto" w:fill="FFFFFF"/>
        </w:rPr>
        <w:t xml:space="preserve"> </w:t>
      </w:r>
    </w:p>
    <w:p w14:paraId="26206FC6" w14:textId="05B41170" w:rsidR="00B579E1" w:rsidRPr="005C6BE3" w:rsidRDefault="00EA4085" w:rsidP="00EA4085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ab/>
      </w:r>
      <w:hyperlink r:id="rId31" w:history="1">
        <w:r w:rsidRPr="00216CF1">
          <w:rPr>
            <w:rStyle w:val="Hiperhivatkozs"/>
            <w:shd w:val="clear" w:color="auto" w:fill="FFFFFF"/>
          </w:rPr>
          <w:t>https://docs.ansible.com/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02163B3D" w14:textId="33DFE03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7D9FC5E3" w14:textId="632D66A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2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FCE817A" w14:textId="7B889A98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2" w:history="1">
        <w:r w:rsidRPr="00216CF1">
          <w:rPr>
            <w:rStyle w:val="Hiperhivatkozs"/>
            <w:shd w:val="clear" w:color="auto" w:fill="FFFFFF"/>
          </w:rPr>
          <w:t>https://pve.proxmox.com/pve-docs/pve-admin-guide.html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2F981188" w14:textId="62C821D6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21B6352" w14:textId="61E71257" w:rsidR="00FF204D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Semaphore hivatalos dokumentáció.</w:t>
      </w:r>
      <w:r w:rsidRPr="005C6BE3">
        <w:rPr>
          <w:shd w:val="clear" w:color="auto" w:fill="FFFFFF"/>
        </w:rPr>
        <w:t xml:space="preserve"> </w:t>
      </w:r>
    </w:p>
    <w:p w14:paraId="65AA01F6" w14:textId="6D6127FB" w:rsidR="005660E8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3" w:history="1">
        <w:r w:rsidRPr="00216CF1">
          <w:rPr>
            <w:rStyle w:val="Hiperhivatkozs"/>
            <w:shd w:val="clear" w:color="auto" w:fill="FFFFFF"/>
          </w:rPr>
          <w:t>https://docs.semui.co/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3E1212C4" w14:textId="1EBF23E3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45448B8F" w14:textId="052B469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4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Nagios Core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E594365" w14:textId="75409C0D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4" w:history="1">
        <w:r w:rsidRPr="00216CF1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5FB44F19" w14:textId="4DFA264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6D247568" w14:textId="4B978D6B" w:rsidR="00FF204D" w:rsidRPr="00FF204D" w:rsidRDefault="009D3309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5</w:t>
      </w:r>
      <w:r w:rsidR="00FF204D">
        <w:rPr>
          <w:rFonts w:cs="Times New Roman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telepítési dokumentáció.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4993FCC6" w14:textId="389E51A0" w:rsidR="009D3309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5" w:history="1">
        <w:r w:rsidRPr="00216CF1">
          <w:rPr>
            <w:rStyle w:val="Hiperhivatkozs"/>
            <w:shd w:val="clear" w:color="auto" w:fill="FFFFFF"/>
          </w:rPr>
          <w:t>https://pve.proxmox.com/pve-docs/chapter-pve-installation.html</w:t>
        </w:r>
      </w:hyperlink>
    </w:p>
    <w:p w14:paraId="4543F336" w14:textId="6FE3ED86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4108CD4" w14:textId="70F90357" w:rsidR="00E51B06" w:rsidRDefault="00BF71F7" w:rsidP="00BF71F7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Pr="00BF71F7">
        <w:rPr>
          <w:shd w:val="clear" w:color="auto" w:fill="FFFFFF"/>
        </w:rPr>
        <w:t>NRPE - Nagios Remote Plugin Executor</w:t>
      </w:r>
    </w:p>
    <w:p w14:paraId="190A9304" w14:textId="2072DA2D" w:rsidR="00E51B06" w:rsidRPr="00EA4085" w:rsidRDefault="00EA4085" w:rsidP="00EA4085">
      <w:pPr>
        <w:pStyle w:val="Norml1"/>
        <w:ind w:left="360"/>
        <w:rPr>
          <w:u w:val="single"/>
          <w:shd w:val="clear" w:color="auto" w:fill="FFFFFF"/>
        </w:rPr>
      </w:pPr>
      <w:r w:rsidRPr="00EA4085">
        <w:rPr>
          <w:color w:val="0070C0"/>
          <w:shd w:val="clear" w:color="auto" w:fill="FFFFFF"/>
        </w:rPr>
        <w:tab/>
      </w:r>
      <w:r w:rsidR="00E51B06" w:rsidRPr="00EA4085">
        <w:rPr>
          <w:color w:val="0070C0"/>
          <w:u w:val="single"/>
          <w:shd w:val="clear" w:color="auto" w:fill="FFFFFF"/>
        </w:rPr>
        <w:t>https://exchange.nagios.org/directory/image/93</w:t>
      </w:r>
    </w:p>
    <w:p w14:paraId="3EB13664" w14:textId="515B5162" w:rsidR="00BF71F7" w:rsidRPr="00BF71F7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i/>
          <w:iCs/>
          <w:sz w:val="23"/>
          <w:szCs w:val="23"/>
          <w:shd w:val="clear" w:color="auto" w:fill="FFFFFF"/>
        </w:rPr>
        <w:tab/>
      </w:r>
      <w:r w:rsidR="00BF71F7"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="00BF71F7"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="00BF71F7"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1C7F0C3F" w14:textId="2DEA71AF" w:rsidR="004369F8" w:rsidRPr="004369F8" w:rsidRDefault="00BF71F7" w:rsidP="004369F8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7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r w:rsidR="004369F8" w:rsidRPr="005C6BE3">
        <w:rPr>
          <w:shd w:val="clear" w:color="auto" w:fill="FFFFFF"/>
        </w:rPr>
        <w:t>Semaphore hivatalos telepítési dokumentáció.</w:t>
      </w:r>
      <w:r w:rsidR="004369F8"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1058F0C" w14:textId="4F3C414B" w:rsidR="004369F8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6" w:history="1">
        <w:r w:rsidRPr="00216CF1">
          <w:rPr>
            <w:rStyle w:val="Hiperhivatkozs"/>
            <w:shd w:val="clear" w:color="auto" w:fill="FFFFFF"/>
          </w:rPr>
          <w:t>https://docs.semui.co/administration-guide/installation</w:t>
        </w:r>
      </w:hyperlink>
    </w:p>
    <w:p w14:paraId="1012588B" w14:textId="5A3BE687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4369F8" w:rsidRPr="005C6BE3">
        <w:rPr>
          <w:i/>
          <w:iCs/>
          <w:shd w:val="clear" w:color="auto" w:fill="FFFFFF"/>
        </w:rPr>
        <w:t>(Utolsó megtekintés ideje: 2024. 03. 27.)</w:t>
      </w:r>
    </w:p>
    <w:p w14:paraId="5C0D05FD" w14:textId="75351277" w:rsidR="00BF71F7" w:rsidRPr="00BF71F7" w:rsidRDefault="00BF71F7" w:rsidP="00BF71F7">
      <w:pPr>
        <w:pStyle w:val="Norml1"/>
        <w:rPr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>8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r w:rsidRPr="005C6BE3">
        <w:rPr>
          <w:shd w:val="clear" w:color="auto" w:fill="FFFFFF"/>
        </w:rPr>
        <w:t>A szakdolgozatom GitHub linkje.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7F4E7F4" w14:textId="5195E021" w:rsidR="00BF71F7" w:rsidRDefault="00E51B06" w:rsidP="00BF71F7">
      <w:pPr>
        <w:pStyle w:val="Norml1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7" w:history="1">
        <w:r w:rsidRPr="00216CF1">
          <w:rPr>
            <w:rStyle w:val="Hiperhivatkozs"/>
            <w:shd w:val="clear" w:color="auto" w:fill="FFFFFF"/>
          </w:rPr>
          <w:t>https://github.com/patkosmate/szakdolgozat</w:t>
        </w:r>
      </w:hyperlink>
    </w:p>
    <w:p w14:paraId="18A6C66B" w14:textId="6CD43289" w:rsidR="00E51B06" w:rsidRPr="005C6BE3" w:rsidRDefault="00E51B06" w:rsidP="00BF71F7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</w:t>
      </w:r>
      <w:r>
        <w:rPr>
          <w:i/>
          <w:iCs/>
          <w:shd w:val="clear" w:color="auto" w:fill="FFFFFF"/>
        </w:rPr>
        <w:t>Feltöltési</w:t>
      </w:r>
      <w:r w:rsidRPr="005C6BE3">
        <w:rPr>
          <w:i/>
          <w:iCs/>
          <w:shd w:val="clear" w:color="auto" w:fill="FFFFFF"/>
        </w:rPr>
        <w:t xml:space="preserve"> ideje: 2024. 0</w:t>
      </w:r>
      <w:r>
        <w:rPr>
          <w:i/>
          <w:iCs/>
          <w:shd w:val="clear" w:color="auto" w:fill="FFFFFF"/>
        </w:rPr>
        <w:t>1</w:t>
      </w:r>
      <w:r w:rsidRPr="005C6BE3">
        <w:rPr>
          <w:i/>
          <w:iCs/>
          <w:shd w:val="clear" w:color="auto" w:fill="FFFFFF"/>
        </w:rPr>
        <w:t>. 2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>.)</w:t>
      </w:r>
    </w:p>
    <w:p w14:paraId="04BACD3C" w14:textId="3219606C" w:rsidR="004369F8" w:rsidRP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9</w:t>
      </w:r>
      <w:r w:rsidR="004369F8">
        <w:rPr>
          <w:rFonts w:cs="Times New Roman"/>
          <w:shd w:val="clear" w:color="auto" w:fill="FFFFFF"/>
          <w:vertAlign w:val="superscript"/>
        </w:rPr>
        <w:t xml:space="preserve"> </w:t>
      </w:r>
      <w:r w:rsidR="004369F8" w:rsidRPr="005C6BE3">
        <w:rPr>
          <w:shd w:val="clear" w:color="auto" w:fill="FFFFFF"/>
        </w:rPr>
        <w:t>Ansible hivatalos telepítési dokumentáció.</w:t>
      </w:r>
      <w:r w:rsidR="00A552B3" w:rsidRPr="00FF204D">
        <w:rPr>
          <w:rFonts w:cs="Times New Roman"/>
          <w:color w:val="0070C0"/>
          <w:shd w:val="clear" w:color="auto" w:fill="FFFFFF"/>
          <w:vertAlign w:val="superscript"/>
        </w:rPr>
        <w:t xml:space="preserve"> </w:t>
      </w:r>
    </w:p>
    <w:p w14:paraId="7917D677" w14:textId="26C293EE" w:rsidR="00A552B3" w:rsidRPr="00F5483C" w:rsidRDefault="00E51B06" w:rsidP="00EA0BBA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8" w:history="1">
        <w:r w:rsidRPr="00216CF1">
          <w:rPr>
            <w:rStyle w:val="Hiperhivatkozs"/>
            <w:shd w:val="clear" w:color="auto" w:fill="FFFFFF"/>
          </w:rPr>
          <w:t>https://docs.ansible.com/ansible/latest/installation_guide/intro_installation.html</w:t>
        </w:r>
      </w:hyperlink>
    </w:p>
    <w:p w14:paraId="2CC2CF5C" w14:textId="302D850A" w:rsidR="00FF204D" w:rsidRPr="00E51B06" w:rsidRDefault="00E51B06" w:rsidP="00EA0BBA">
      <w:pPr>
        <w:pStyle w:val="Norml1"/>
        <w:rPr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(Utolsó megtekintés ideje: 2024. 0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 xml:space="preserve">. </w:t>
      </w:r>
      <w:r>
        <w:rPr>
          <w:i/>
          <w:iCs/>
          <w:shd w:val="clear" w:color="auto" w:fill="FFFFFF"/>
          <w:lang w:val="en-US"/>
        </w:rPr>
        <w:t>27</w:t>
      </w:r>
      <w:r w:rsidRPr="005C6BE3">
        <w:rPr>
          <w:i/>
          <w:iCs/>
          <w:shd w:val="clear" w:color="auto" w:fill="FFFFFF"/>
        </w:rPr>
        <w:t>.)</w:t>
      </w:r>
      <w:r>
        <w:rPr>
          <w:i/>
          <w:iCs/>
          <w:shd w:val="clear" w:color="auto" w:fill="FFFFFF"/>
        </w:rPr>
        <w:tab/>
      </w:r>
    </w:p>
    <w:p w14:paraId="1AA1B6DC" w14:textId="62B6DF02" w:rsid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1</w:t>
      </w:r>
      <w:r>
        <w:rPr>
          <w:rFonts w:cs="Times New Roman"/>
          <w:shd w:val="clear" w:color="auto" w:fill="FFFFFF"/>
          <w:vertAlign w:val="superscript"/>
          <w:lang w:val="en-US"/>
        </w:rPr>
        <w:t>0</w:t>
      </w:r>
      <w:r w:rsidR="004369F8">
        <w:rPr>
          <w:rFonts w:cs="Times New Roman"/>
          <w:shd w:val="clear" w:color="auto" w:fill="FFFFFF"/>
          <w:vertAlign w:val="superscript"/>
          <w:lang w:val="en-US"/>
        </w:rPr>
        <w:t xml:space="preserve"> </w:t>
      </w:r>
      <w:r w:rsidR="004369F8" w:rsidRPr="005C6BE3">
        <w:rPr>
          <w:shd w:val="clear" w:color="auto" w:fill="FFFFFF"/>
        </w:rPr>
        <w:t>Ansible Vault hivatalos dokumentáció.</w:t>
      </w:r>
      <w:r w:rsidR="00525B46" w:rsidRPr="005C6BE3">
        <w:rPr>
          <w:shd w:val="clear" w:color="auto" w:fill="FFFFFF"/>
        </w:rPr>
        <w:t xml:space="preserve"> </w:t>
      </w:r>
    </w:p>
    <w:p w14:paraId="74AFEF82" w14:textId="7D782ACE" w:rsidR="00525B46" w:rsidRPr="005C6BE3" w:rsidRDefault="00E51B06" w:rsidP="00EA0BBA">
      <w:pPr>
        <w:pStyle w:val="Norml1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9" w:history="1">
        <w:r w:rsidRPr="00216CF1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 w:rsidR="00525B46" w:rsidRPr="00FF204D">
        <w:rPr>
          <w:color w:val="0070C0"/>
          <w:shd w:val="clear" w:color="auto" w:fill="FFFFFF"/>
        </w:rPr>
        <w:t xml:space="preserve"> </w:t>
      </w:r>
    </w:p>
    <w:p w14:paraId="077A2A28" w14:textId="307F1697" w:rsidR="00525B46" w:rsidRPr="00A5499C" w:rsidRDefault="00E51B06" w:rsidP="005660E8">
      <w:pPr>
        <w:pStyle w:val="Norml1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sectPr w:rsidR="00525B46" w:rsidRPr="00A5499C" w:rsidSect="000D54FD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5877" w14:textId="77777777" w:rsidR="000D54FD" w:rsidRDefault="000D54FD" w:rsidP="008D3E2B">
      <w:pPr>
        <w:spacing w:after="0" w:line="240" w:lineRule="auto"/>
      </w:pPr>
      <w:r>
        <w:separator/>
      </w:r>
    </w:p>
  </w:endnote>
  <w:endnote w:type="continuationSeparator" w:id="0">
    <w:p w14:paraId="577F01E5" w14:textId="77777777" w:rsidR="000D54FD" w:rsidRDefault="000D54FD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F6D7" w14:textId="77777777" w:rsidR="000D54FD" w:rsidRDefault="000D54FD" w:rsidP="008D3E2B">
      <w:pPr>
        <w:spacing w:after="0" w:line="240" w:lineRule="auto"/>
      </w:pPr>
      <w:r>
        <w:separator/>
      </w:r>
    </w:p>
  </w:footnote>
  <w:footnote w:type="continuationSeparator" w:id="0">
    <w:p w14:paraId="0FF8149E" w14:textId="77777777" w:rsidR="000D54FD" w:rsidRDefault="000D54FD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952E1"/>
    <w:multiLevelType w:val="hybridMultilevel"/>
    <w:tmpl w:val="87A43C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7B4C03"/>
    <w:multiLevelType w:val="multilevel"/>
    <w:tmpl w:val="BF7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509CF"/>
    <w:multiLevelType w:val="hybridMultilevel"/>
    <w:tmpl w:val="DB725B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021E2"/>
    <w:multiLevelType w:val="hybridMultilevel"/>
    <w:tmpl w:val="0C3E02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F1BE9"/>
    <w:multiLevelType w:val="hybridMultilevel"/>
    <w:tmpl w:val="D0888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5" w15:restartNumberingAfterBreak="0">
    <w:nsid w:val="7A915E60"/>
    <w:multiLevelType w:val="multilevel"/>
    <w:tmpl w:val="5C8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6"/>
  </w:num>
  <w:num w:numId="2" w16cid:durableId="116680786">
    <w:abstractNumId w:val="37"/>
  </w:num>
  <w:num w:numId="3" w16cid:durableId="550506391">
    <w:abstractNumId w:val="41"/>
  </w:num>
  <w:num w:numId="4" w16cid:durableId="1825513690">
    <w:abstractNumId w:val="9"/>
  </w:num>
  <w:num w:numId="5" w16cid:durableId="1070545325">
    <w:abstractNumId w:val="27"/>
  </w:num>
  <w:num w:numId="6" w16cid:durableId="734743770">
    <w:abstractNumId w:val="23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1"/>
  </w:num>
  <w:num w:numId="11" w16cid:durableId="1907493845">
    <w:abstractNumId w:val="0"/>
  </w:num>
  <w:num w:numId="12" w16cid:durableId="1325669711">
    <w:abstractNumId w:val="35"/>
  </w:num>
  <w:num w:numId="13" w16cid:durableId="1750540755">
    <w:abstractNumId w:val="42"/>
  </w:num>
  <w:num w:numId="14" w16cid:durableId="1507359353">
    <w:abstractNumId w:val="5"/>
  </w:num>
  <w:num w:numId="15" w16cid:durableId="697203178">
    <w:abstractNumId w:val="29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5"/>
  </w:num>
  <w:num w:numId="19" w16cid:durableId="1057778722">
    <w:abstractNumId w:val="14"/>
  </w:num>
  <w:num w:numId="20" w16cid:durableId="517810506">
    <w:abstractNumId w:val="22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4"/>
  </w:num>
  <w:num w:numId="25" w16cid:durableId="1466772092">
    <w:abstractNumId w:val="31"/>
  </w:num>
  <w:num w:numId="26" w16cid:durableId="1636369595">
    <w:abstractNumId w:val="13"/>
  </w:num>
  <w:num w:numId="27" w16cid:durableId="272515047">
    <w:abstractNumId w:val="26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6"/>
  </w:num>
  <w:num w:numId="31" w16cid:durableId="1959987612">
    <w:abstractNumId w:val="15"/>
  </w:num>
  <w:num w:numId="32" w16cid:durableId="1530947963">
    <w:abstractNumId w:val="39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43"/>
  </w:num>
  <w:num w:numId="36" w16cid:durableId="1235241871">
    <w:abstractNumId w:val="40"/>
  </w:num>
  <w:num w:numId="37" w16cid:durableId="199904400">
    <w:abstractNumId w:val="28"/>
  </w:num>
  <w:num w:numId="38" w16cid:durableId="115032306">
    <w:abstractNumId w:val="33"/>
  </w:num>
  <w:num w:numId="39" w16cid:durableId="814762726">
    <w:abstractNumId w:val="4"/>
  </w:num>
  <w:num w:numId="40" w16cid:durableId="1774325936">
    <w:abstractNumId w:val="44"/>
  </w:num>
  <w:num w:numId="41" w16cid:durableId="741609544">
    <w:abstractNumId w:val="10"/>
  </w:num>
  <w:num w:numId="42" w16cid:durableId="1480147883">
    <w:abstractNumId w:val="24"/>
  </w:num>
  <w:num w:numId="43" w16cid:durableId="1262564899">
    <w:abstractNumId w:val="45"/>
  </w:num>
  <w:num w:numId="44" w16cid:durableId="802427646">
    <w:abstractNumId w:val="32"/>
  </w:num>
  <w:num w:numId="45" w16cid:durableId="1830097322">
    <w:abstractNumId w:val="38"/>
  </w:num>
  <w:num w:numId="46" w16cid:durableId="1974364382">
    <w:abstractNumId w:val="30"/>
  </w:num>
  <w:num w:numId="47" w16cid:durableId="950667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03B6A"/>
    <w:rsid w:val="00024A46"/>
    <w:rsid w:val="00050012"/>
    <w:rsid w:val="0005610D"/>
    <w:rsid w:val="00056D7C"/>
    <w:rsid w:val="000668D8"/>
    <w:rsid w:val="00071B91"/>
    <w:rsid w:val="00086E8E"/>
    <w:rsid w:val="000A4758"/>
    <w:rsid w:val="000B1ED2"/>
    <w:rsid w:val="000B6A69"/>
    <w:rsid w:val="000D54FD"/>
    <w:rsid w:val="000E5371"/>
    <w:rsid w:val="00103FA1"/>
    <w:rsid w:val="00106B8F"/>
    <w:rsid w:val="00112A97"/>
    <w:rsid w:val="00123B5F"/>
    <w:rsid w:val="0013379A"/>
    <w:rsid w:val="001566FF"/>
    <w:rsid w:val="00172DDA"/>
    <w:rsid w:val="001A0332"/>
    <w:rsid w:val="001A2C83"/>
    <w:rsid w:val="001A41B2"/>
    <w:rsid w:val="001A4B22"/>
    <w:rsid w:val="001A5C60"/>
    <w:rsid w:val="001B6585"/>
    <w:rsid w:val="001C281F"/>
    <w:rsid w:val="001C5FEC"/>
    <w:rsid w:val="001F2238"/>
    <w:rsid w:val="0020578B"/>
    <w:rsid w:val="00215BFB"/>
    <w:rsid w:val="002421E2"/>
    <w:rsid w:val="00244F6C"/>
    <w:rsid w:val="00247224"/>
    <w:rsid w:val="002924BE"/>
    <w:rsid w:val="002A0F57"/>
    <w:rsid w:val="002A3503"/>
    <w:rsid w:val="002B24F5"/>
    <w:rsid w:val="002D4D8E"/>
    <w:rsid w:val="002E3DF9"/>
    <w:rsid w:val="00311666"/>
    <w:rsid w:val="0031450C"/>
    <w:rsid w:val="00316EF1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369F8"/>
    <w:rsid w:val="004861F8"/>
    <w:rsid w:val="00491A41"/>
    <w:rsid w:val="00496D02"/>
    <w:rsid w:val="004A45AD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F40F3"/>
    <w:rsid w:val="00633316"/>
    <w:rsid w:val="00635C0A"/>
    <w:rsid w:val="0065049B"/>
    <w:rsid w:val="00652DB6"/>
    <w:rsid w:val="006746C2"/>
    <w:rsid w:val="00685F8C"/>
    <w:rsid w:val="006B7641"/>
    <w:rsid w:val="006C328E"/>
    <w:rsid w:val="006C3EB2"/>
    <w:rsid w:val="006C5468"/>
    <w:rsid w:val="006C72B2"/>
    <w:rsid w:val="006D0729"/>
    <w:rsid w:val="006D4024"/>
    <w:rsid w:val="006D796E"/>
    <w:rsid w:val="006E7771"/>
    <w:rsid w:val="00700409"/>
    <w:rsid w:val="007023C7"/>
    <w:rsid w:val="00703BA7"/>
    <w:rsid w:val="007107E9"/>
    <w:rsid w:val="00752E71"/>
    <w:rsid w:val="007975E7"/>
    <w:rsid w:val="007A4B74"/>
    <w:rsid w:val="007D0979"/>
    <w:rsid w:val="00817576"/>
    <w:rsid w:val="008221C3"/>
    <w:rsid w:val="00857CB1"/>
    <w:rsid w:val="00865198"/>
    <w:rsid w:val="00875450"/>
    <w:rsid w:val="0087605E"/>
    <w:rsid w:val="00891191"/>
    <w:rsid w:val="008A0E79"/>
    <w:rsid w:val="008A4310"/>
    <w:rsid w:val="008A7693"/>
    <w:rsid w:val="008A7FA9"/>
    <w:rsid w:val="008B0043"/>
    <w:rsid w:val="008C1A17"/>
    <w:rsid w:val="008C61A3"/>
    <w:rsid w:val="008C631F"/>
    <w:rsid w:val="008C7786"/>
    <w:rsid w:val="008D3E2B"/>
    <w:rsid w:val="008D7F46"/>
    <w:rsid w:val="008F1457"/>
    <w:rsid w:val="00911CF7"/>
    <w:rsid w:val="0092429D"/>
    <w:rsid w:val="00980785"/>
    <w:rsid w:val="009928C3"/>
    <w:rsid w:val="009A2F08"/>
    <w:rsid w:val="009A5C59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3A34"/>
    <w:rsid w:val="00A5499C"/>
    <w:rsid w:val="00A552B3"/>
    <w:rsid w:val="00A64F92"/>
    <w:rsid w:val="00A70E54"/>
    <w:rsid w:val="00AA0B05"/>
    <w:rsid w:val="00AA6B3E"/>
    <w:rsid w:val="00AC7BA8"/>
    <w:rsid w:val="00AD22E7"/>
    <w:rsid w:val="00AD7AC9"/>
    <w:rsid w:val="00AF194C"/>
    <w:rsid w:val="00AF6058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520D"/>
    <w:rsid w:val="00BC0965"/>
    <w:rsid w:val="00BE64AB"/>
    <w:rsid w:val="00BF4100"/>
    <w:rsid w:val="00BF71F7"/>
    <w:rsid w:val="00C01222"/>
    <w:rsid w:val="00C0357D"/>
    <w:rsid w:val="00C07A43"/>
    <w:rsid w:val="00C2498D"/>
    <w:rsid w:val="00C27F74"/>
    <w:rsid w:val="00C30D8D"/>
    <w:rsid w:val="00C4292F"/>
    <w:rsid w:val="00C76271"/>
    <w:rsid w:val="00CA4FCC"/>
    <w:rsid w:val="00CE309D"/>
    <w:rsid w:val="00CE51DB"/>
    <w:rsid w:val="00CE6366"/>
    <w:rsid w:val="00CF16C7"/>
    <w:rsid w:val="00D01BCA"/>
    <w:rsid w:val="00D13B84"/>
    <w:rsid w:val="00D1560D"/>
    <w:rsid w:val="00D6092B"/>
    <w:rsid w:val="00D611ED"/>
    <w:rsid w:val="00D7325E"/>
    <w:rsid w:val="00D75010"/>
    <w:rsid w:val="00D8259A"/>
    <w:rsid w:val="00D85099"/>
    <w:rsid w:val="00D942AD"/>
    <w:rsid w:val="00D9659C"/>
    <w:rsid w:val="00DA7E67"/>
    <w:rsid w:val="00DB082A"/>
    <w:rsid w:val="00DB448B"/>
    <w:rsid w:val="00DC4C92"/>
    <w:rsid w:val="00DD077A"/>
    <w:rsid w:val="00DD5591"/>
    <w:rsid w:val="00DE1BFA"/>
    <w:rsid w:val="00DE2BBB"/>
    <w:rsid w:val="00DF428F"/>
    <w:rsid w:val="00E10E00"/>
    <w:rsid w:val="00E20B67"/>
    <w:rsid w:val="00E45DEB"/>
    <w:rsid w:val="00E50A2A"/>
    <w:rsid w:val="00E51B06"/>
    <w:rsid w:val="00E569FD"/>
    <w:rsid w:val="00E65957"/>
    <w:rsid w:val="00E70569"/>
    <w:rsid w:val="00E71A48"/>
    <w:rsid w:val="00E7573B"/>
    <w:rsid w:val="00E83E68"/>
    <w:rsid w:val="00EA0BBA"/>
    <w:rsid w:val="00EA3AFE"/>
    <w:rsid w:val="00EA4085"/>
    <w:rsid w:val="00EB1AAC"/>
    <w:rsid w:val="00ED7BB2"/>
    <w:rsid w:val="00EE4EC5"/>
    <w:rsid w:val="00EE785B"/>
    <w:rsid w:val="00EF079F"/>
    <w:rsid w:val="00EF4070"/>
    <w:rsid w:val="00F07FC7"/>
    <w:rsid w:val="00F17606"/>
    <w:rsid w:val="00F32FBE"/>
    <w:rsid w:val="00F44761"/>
    <w:rsid w:val="00F5483C"/>
    <w:rsid w:val="00F54A47"/>
    <w:rsid w:val="00F9752A"/>
    <w:rsid w:val="00FA60E6"/>
    <w:rsid w:val="00FA70FC"/>
    <w:rsid w:val="00FB3E06"/>
    <w:rsid w:val="00FC075E"/>
    <w:rsid w:val="00FF204D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911CF7"/>
    <w:pPr>
      <w:tabs>
        <w:tab w:val="right" w:leader="dot" w:pos="9395"/>
      </w:tabs>
      <w:spacing w:before="60" w:after="60"/>
    </w:pPr>
    <w:rPr>
      <w:rFonts w:cs="Times New Roman"/>
      <w:noProof/>
      <w:szCs w:val="24"/>
    </w:r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11CF7"/>
    <w:pPr>
      <w:tabs>
        <w:tab w:val="right" w:leader="dot" w:pos="9395"/>
      </w:tabs>
      <w:spacing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  <w:style w:type="paragraph" w:styleId="TJ4">
    <w:name w:val="toc 4"/>
    <w:basedOn w:val="Norml"/>
    <w:next w:val="Norml"/>
    <w:autoRedefine/>
    <w:uiPriority w:val="39"/>
    <w:unhideWhenUsed/>
    <w:rsid w:val="00911CF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911CF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911CF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11CF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11CF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11C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github.com/patkosmate/szakdolgoza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semui.co/administration-guide/install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docs.ansible.com/ansible/latest/installation_guide/intro_installation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36</Pages>
  <Words>6083</Words>
  <Characters>34678</Characters>
  <Application>Microsoft Office Word</Application>
  <DocSecurity>0</DocSecurity>
  <Lines>288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95</cp:revision>
  <cp:lastPrinted>2024-04-02T07:59:00Z</cp:lastPrinted>
  <dcterms:created xsi:type="dcterms:W3CDTF">2024-03-05T13:07:00Z</dcterms:created>
  <dcterms:modified xsi:type="dcterms:W3CDTF">2024-04-04T11:31:00Z</dcterms:modified>
</cp:coreProperties>
</file>