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400" w:hRule="exact"/>
        </w:trPr>
        <w:tc>
          <w:tcPr>
            <w:tcW w:type="dxa" w:w="9360"/>
            <w:shd w:fill="03529d" w:val="clear"/>
            <w:tcMar>
              <w:top w:type="dxa" w:w="200"/>
              <w:left w:type="dxa" w:w="400"/>
              <w:bottom w:type="dxa" w:w="200"/>
              <w:right w:type="dxa" w:w="400"/>
            </w:tcMar>
          </w:tcPr>
          <w:p>
            <w:pPr>
              <w:spacing w:before="0" w:after="100"/>
            </w:pPr>
            <w:r>
              <w:rPr>
                <w:rFonts w:ascii="Arial" w:cs="Arial" w:eastAsia="Arial" w:hAnsi="Arial"/>
                <w:b/>
                <w:bCs/>
                <w:color w:val="b9e8fa"/>
                <w:sz w:val="28"/>
                <w:szCs w:val="28"/>
              </w:rPr>
              <w:t xml:space="preserve">PATNA INITIATIVE</w:t>
            </w:r>
          </w:p>
          <w:p>
            <w:r>
              <w:rPr>
                <w:rFonts w:ascii="Arial" w:cs="Arial" w:eastAsia="Arial" w:hAnsi="Arial"/>
                <w:color w:val="ffffff"/>
                <w:sz w:val="20"/>
                <w:szCs w:val="20"/>
              </w:rPr>
              <w:t xml:space="preserve">Professional African Technical Network Advisory</w:t>
            </w:r>
          </w:p>
        </w:tc>
      </w:tr>
    </w:tbl>
    <w:p>
      <w:pPr>
        <w:spacing w:before="800" w:after="0"/>
      </w:pPr>
      <w:r>
        <w:t xml:space="preserve"/>
      </w:r>
    </w:p>
    <w:p>
      <w:pPr>
        <w:spacing w:before="200" w:after="200"/>
        <w:jc w:val="left"/>
      </w:pPr>
      <w:r>
        <w:rPr>
          <w:rFonts w:ascii="Arial" w:cs="Arial" w:eastAsia="Arial" w:hAnsi="Arial"/>
          <w:b/>
          <w:bCs/>
          <w:color w:val="03529d"/>
          <w:sz w:val="60"/>
          <w:szCs w:val="60"/>
        </w:rPr>
        <w:t xml:space="preserve">Data Strategy Documentation</w:t>
      </w:r>
    </w:p>
    <w:p>
      <w:pPr>
        <w:spacing w:before="0" w:after="400"/>
        <w:jc w:val="left"/>
      </w:pPr>
      <w:r>
        <w:rPr>
          <w:rFonts w:ascii="Arial" w:cs="Arial" w:eastAsia="Arial" w:hAnsi="Arial"/>
          <w:color w:val="444444"/>
          <w:sz w:val="32"/>
          <w:szCs w:val="32"/>
        </w:rPr>
        <w:t xml:space="preserve">A Business-First Framework for Decision Intelligence</w:t>
      </w:r>
    </w:p>
    <w:p>
      <w:pPr>
        <w:pBdr>
          <w:bottom w:val="single" w:color="b9e8fa" w:sz="8" w:space="1"/>
        </w:pBdr>
        <w:spacing w:before="80" w:after="160"/>
      </w:pPr>
      <w:r>
        <w:t xml:space="preserve"/>
      </w:r>
    </w:p>
    <w:p>
      <w:pPr>
        <w:spacing w:before="400" w:after="0"/>
      </w:pPr>
      <w:r>
        <w:t xml:space="preserve"/>
      </w:r>
    </w:p>
    <w:p>
      <w:pPr>
        <w:spacing w:before="0" w:after="160"/>
      </w:pPr>
      <w:r>
        <w:rPr>
          <w:rFonts w:ascii="Arial" w:cs="Arial" w:eastAsia="Arial" w:hAnsi="Arial"/>
          <w:color w:val="555555"/>
          <w:sz w:val="24"/>
          <w:szCs w:val="24"/>
        </w:rPr>
        <w:t xml:space="preserve">Framework Reference: The 6-Step Data Strategy Roadmap</w:t>
      </w:r>
    </w:p>
    <w:p>
      <w:pPr>
        <w:spacing w:before="0" w:after="160"/>
      </w:pPr>
      <w:r>
        <w:rPr>
          <w:rFonts w:ascii="Arial" w:cs="Arial" w:eastAsia="Arial" w:hAnsi="Arial"/>
          <w:color w:val="555555"/>
          <w:sz w:val="22"/>
          <w:szCs w:val="22"/>
        </w:rPr>
        <w:t xml:space="preserve">Scope: Step Zero — Value Proposition  |  Step 1 — Business Model  |  Step 2 — KPI &amp; Data Mapping</w:t>
      </w:r>
    </w:p>
    <w:p>
      <w:pPr>
        <w:spacing w:before="0" w:after="600"/>
      </w:pPr>
      <w:r>
        <w:rPr>
          <w:rFonts w:ascii="Arial" w:cs="Arial" w:eastAsia="Arial" w:hAnsi="Arial"/>
          <w:color w:val="777777"/>
          <w:sz w:val="22"/>
          <w:szCs w:val="22"/>
        </w:rPr>
        <w:t xml:space="preserve">Status: Working Document — March 2026</w:t>
      </w:r>
    </w:p>
    <w:p>
      <w:pPr>
        <w:spacing w:before="1200" w:after="0"/>
      </w:pPr>
      <w:r>
        <w:t xml:space="preserve"/>
      </w:r>
    </w:p>
    <w:p>
      <w:pPr>
        <w:spacing w:before="200" w:after="0"/>
        <w:jc w:val="left"/>
      </w:pPr>
      <w:r>
        <w:rPr>
          <w:rFonts w:ascii="Arial" w:cs="Arial" w:eastAsia="Arial" w:hAnsi="Arial"/>
          <w:color w:val="03529d"/>
          <w:sz w:val="26"/>
          <w:szCs w:val="26"/>
        </w:rPr>
        <w:t xml:space="preserve">Africa's energy transition deserves African-led intelligence.</w:t>
      </w:r>
    </w:p>
    <w:p>
      <w:pPr>
        <w:spacing w:before="60" w:after="0"/>
        <w:jc w:val="left"/>
      </w:pPr>
      <w:r>
        <w:rPr>
          <w:rFonts w:ascii="Arial" w:cs="Arial" w:eastAsia="Arial" w:hAnsi="Arial"/>
          <w:color w:val="555555"/>
          <w:sz w:val="22"/>
          <w:szCs w:val="22"/>
        </w:rPr>
        <w:t xml:space="preserve">This document builds the evidence-based foundation for PATNA's data strategy.</w:t>
      </w:r>
    </w:p>
    <w:p>
      <w:r>
        <w:br w:type="page"/>
      </w:r>
    </w:p>
    <w:p>
      <w:pPr>
        <w:sectPr>
          <w:pgSz w:w="12240" w:h="15840" w:orient="portrait"/>
          <w:pgMar w:top="1440" w:right="1440" w:bottom="1440" w:left="1440" w:header="708" w:footer="708" w:gutter="0"/>
          <w:pgNumType/>
          <w:docGrid w:linePitch="360"/>
        </w:sectPr>
      </w:pPr>
    </w:p>
    <w:p>
      <w:pPr>
        <w:spacing w:before="0" w:after="200"/>
      </w:pPr>
      <w:r>
        <w:rPr>
          <w:rFonts w:ascii="Arial" w:cs="Arial" w:eastAsia="Arial" w:hAnsi="Arial"/>
          <w:b/>
          <w:bCs/>
          <w:color w:val="03529d"/>
          <w:sz w:val="36"/>
          <w:szCs w:val="36"/>
        </w:rPr>
        <w:t xml:space="preserve">About This Document</w:t>
      </w:r>
    </w:p>
    <w:p>
      <w:pPr>
        <w:spacing w:before="80" w:after="80"/>
        <w:jc w:val="both"/>
      </w:pPr>
      <w:r>
        <w:rPr>
          <w:rFonts w:ascii="Arial" w:cs="Arial" w:eastAsia="Arial" w:hAnsi="Arial"/>
          <w:b w:val="false"/>
          <w:bCs w:val="false"/>
          <w:sz w:val="22"/>
          <w:szCs w:val="22"/>
        </w:rPr>
        <w:t xml:space="preserve">This document presents the first three steps of PATNA's data strategy, developed using the 6-Step Data Strategy Roadmap framework. It starts before the technology — with who PATNA is, why it exists, and what value it creates — and builds systematically toward a measurement and decision-making architecture that reflects PATNA's unique operational model.</w:t>
      </w:r>
    </w:p>
    <w:p>
      <w:pPr>
        <w:spacing w:before="160" w:after="0"/>
      </w:pPr>
      <w:r>
        <w:t xml:space="preserve"/>
      </w:r>
    </w:p>
    <w:p>
      <w:pPr>
        <w:spacing w:before="80" w:after="80"/>
        <w:jc w:val="both"/>
      </w:pPr>
      <w:r>
        <w:rPr>
          <w:rFonts w:ascii="Arial" w:cs="Arial" w:eastAsia="Arial" w:hAnsi="Arial"/>
          <w:b w:val="false"/>
          <w:bCs w:val="false"/>
          <w:sz w:val="22"/>
          <w:szCs w:val="22"/>
        </w:rPr>
        <w:t xml:space="preserve">Three steps are addressed in this document: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9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Primary Output</w:t>
            </w:r>
          </w:p>
        </w:tc>
      </w:tr>
      <w:tr>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Step Zero</w:t>
            </w:r>
          </w:p>
        </w:tc>
        <w:tc>
          <w:tcPr>
            <w:tcW w:type="dxa" w:w="3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Value Proposition</w:t>
            </w:r>
          </w:p>
        </w:tc>
        <w:tc>
          <w:tcPr>
            <w:tcW w:type="dxa" w:w="4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Dual VP Canvas — Organisational + Platform/Product</w:t>
            </w:r>
          </w:p>
        </w:tc>
      </w:tr>
      <w:tr>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Step 1</w:t>
            </w:r>
          </w:p>
        </w:tc>
        <w:tc>
          <w:tcPr>
            <w:tcW w:type="dxa" w:w="3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Business Model Mapping</w:t>
            </w:r>
          </w:p>
        </w:tc>
        <w:tc>
          <w:tcPr>
            <w:tcW w:type="dxa" w:w="4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Completed Business Model Canvas (9 blocks)</w:t>
            </w:r>
          </w:p>
        </w:tc>
      </w:tr>
      <w:tr>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Step 2</w:t>
            </w:r>
          </w:p>
        </w:tc>
        <w:tc>
          <w:tcPr>
            <w:tcW w:type="dxa" w:w="3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Data &amp; KPI Mapping</w:t>
            </w:r>
          </w:p>
        </w:tc>
        <w:tc>
          <w:tcPr>
            <w:tcW w:type="dxa" w:w="4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Business-aligned metrics inventory by model block</w:t>
            </w:r>
          </w:p>
        </w:tc>
      </w:tr>
    </w:tbl>
    <w:p>
      <w:pPr>
        <w:spacing w:before="400" w:after="0"/>
      </w:pPr>
      <w:r>
        <w:t xml:space="preserve"/>
      </w:r>
    </w:p>
    <w:p>
      <w:pPr>
        <w:spacing w:before="80" w:after="80"/>
        <w:jc w:val="both"/>
      </w:pPr>
      <w:r>
        <w:rPr>
          <w:rFonts w:ascii="Arial" w:cs="Arial" w:eastAsia="Arial" w:hAnsi="Arial"/>
          <w:b w:val="false"/>
          <w:bCs w:val="false"/>
          <w:sz w:val="22"/>
          <w:szCs w:val="22"/>
        </w:rPr>
        <w:t xml:space="preserve">Steps 3–6 (Maturity Assessment, Lifecycle Mapping, VP Mapping, and Data Vision) will be developed in subsequent documentation phases.</w:t>
      </w:r>
    </w:p>
    <w:p>
      <w:r>
        <w:br w:type="page"/>
      </w:r>
    </w:p>
    <w:p>
      <w:pPr>
        <w:shd w:fill="03529d" w:val="clear"/>
        <w:spacing w:before="240" w:after="80"/>
        <w:ind w:left="200" w:right="200"/>
        <w:jc w:val="left"/>
      </w:pPr>
      <w:r>
        <w:rPr>
          <w:rFonts w:ascii="Arial" w:cs="Arial" w:eastAsia="Arial" w:hAnsi="Arial"/>
          <w:b/>
          <w:bCs/>
          <w:color w:val="b9e8fa"/>
          <w:sz w:val="20"/>
          <w:szCs w:val="20"/>
        </w:rPr>
        <w:t xml:space="preserve">STEP ZERO</w:t>
      </w:r>
    </w:p>
    <w:p>
      <w:pPr>
        <w:pStyle w:val="Heading1"/>
        <w:shd w:fill="03529d" w:val="clear"/>
        <w:spacing w:before="0" w:after="160"/>
        <w:ind w:left="200" w:right="200"/>
        <w:jc w:val="left"/>
      </w:pPr>
      <w:r>
        <w:rPr>
          <w:rFonts w:ascii="Arial" w:cs="Arial" w:eastAsia="Arial" w:hAnsi="Arial"/>
          <w:b/>
          <w:bCs/>
          <w:color w:val="ffffff"/>
          <w:sz w:val="40"/>
          <w:szCs w:val="40"/>
        </w:rPr>
        <w:t xml:space="preserve">Value Proposition</w:t>
      </w:r>
    </w:p>
    <w:p>
      <w:pPr>
        <w:spacing w:before="160" w:after="0"/>
      </w:pPr>
      <w:r>
        <w:t xml:space="preserve"/>
      </w:r>
    </w:p>
    <w:p>
      <w:pPr>
        <w:spacing w:before="80" w:after="80"/>
        <w:jc w:val="both"/>
      </w:pPr>
      <w:r>
        <w:rPr>
          <w:rFonts w:ascii="Arial" w:cs="Arial" w:eastAsia="Arial" w:hAnsi="Arial"/>
          <w:b w:val="false"/>
          <w:bCs w:val="false"/>
          <w:sz w:val="22"/>
          <w:szCs w:val="22"/>
        </w:rPr>
        <w:t xml:space="preserve">A data strategy that does not begin with value will not survive contact with reality. Before mapping the business model or identifying KPIs, we must be clear on the fundamental question: what problem does PATNA exist to solve, and for whom?</w:t>
      </w:r>
    </w:p>
    <w:p>
      <w:pPr>
        <w:spacing w:before="80" w:after="0"/>
      </w:pPr>
      <w:r>
        <w:t xml:space="preserve"/>
      </w:r>
    </w:p>
    <w:p>
      <w:pPr>
        <w:spacing w:before="80" w:after="80"/>
        <w:jc w:val="both"/>
      </w:pPr>
      <w:r>
        <w:rPr>
          <w:rFonts w:ascii="Arial" w:cs="Arial" w:eastAsia="Arial" w:hAnsi="Arial"/>
          <w:b w:val="false"/>
          <w:bCs w:val="false"/>
          <w:sz w:val="22"/>
          <w:szCs w:val="22"/>
        </w:rPr>
        <w:t xml:space="preserve">Step Zero introduces two distinct but connected value propositions: the organisational value proposition (what PATNA as an institution offers to Africa and the world) and the product/platform value proposition (what the PATNA digital platform delivers to its specific users). Both are necessary — and both must be understood before any data initiative can be meaningfully designed.</w:t>
      </w:r>
    </w:p>
    <w:p>
      <w:pPr>
        <w:spacing w:before="20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Why Value Proposition Comes First</w:t>
      </w:r>
    </w:p>
    <w:p>
      <w:pPr>
        <w:spacing w:before="80" w:after="80"/>
        <w:jc w:val="both"/>
      </w:pPr>
      <w:r>
        <w:rPr>
          <w:rFonts w:ascii="Arial" w:cs="Arial" w:eastAsia="Arial" w:hAnsi="Arial"/>
          <w:b w:val="false"/>
          <w:bCs w:val="false"/>
          <w:sz w:val="22"/>
          <w:szCs w:val="22"/>
        </w:rPr>
        <w:t xml:space="preserve">Most data strategies fail because they start with solutions — a dashboard, a data lake, an AI model — without first establishing what value they are creating and for whom. This step disciplines the entire strategy by naming the jobs customers hire PATNA to do, the pains they experience without PATNA, and the gains they seek to achieve through PATNA's work.</w:t>
      </w:r>
    </w:p>
    <w:p>
      <w:pPr>
        <w:spacing w:before="80" w:after="0"/>
      </w:pPr>
      <w:r>
        <w:t xml:space="preserve"/>
      </w:r>
    </w:p>
    <w:p>
      <w:pPr>
        <w:spacing w:before="80" w:after="80"/>
        <w:jc w:val="both"/>
      </w:pPr>
      <w:r>
        <w:rPr>
          <w:rFonts w:ascii="Arial" w:cs="Arial" w:eastAsia="Arial" w:hAnsi="Arial"/>
          <w:b w:val="false"/>
          <w:bCs w:val="false"/>
          <w:sz w:val="22"/>
          <w:szCs w:val="22"/>
        </w:rPr>
        <w:t xml:space="preserve">The Value Proposition Canvas approach used here distinguishes between:</w:t>
      </w:r>
    </w:p>
    <w:p>
      <w:pPr>
        <w:pStyle w:val="ListParagraph"/>
        <w:numPr>
          <w:ilvl w:val="0"/>
          <w:numId w:val="2"/>
        </w:numPr>
        <w:spacing w:before="60" w:after="60"/>
      </w:pPr>
      <w:r>
        <w:rPr>
          <w:rFonts w:ascii="Arial" w:cs="Arial" w:eastAsia="Arial" w:hAnsi="Arial"/>
          <w:b w:val="false"/>
          <w:bCs w:val="false"/>
          <w:sz w:val="22"/>
          <w:szCs w:val="22"/>
        </w:rPr>
        <w:t xml:space="preserve">Customer Profile — who experiences the problem and what they need</w:t>
      </w:r>
    </w:p>
    <w:p>
      <w:pPr>
        <w:pStyle w:val="ListParagraph"/>
        <w:numPr>
          <w:ilvl w:val="0"/>
          <w:numId w:val="2"/>
        </w:numPr>
        <w:spacing w:before="60" w:after="60"/>
      </w:pPr>
      <w:r>
        <w:rPr>
          <w:rFonts w:ascii="Arial" w:cs="Arial" w:eastAsia="Arial" w:hAnsi="Arial"/>
          <w:b w:val="false"/>
          <w:bCs w:val="false"/>
          <w:sz w:val="22"/>
          <w:szCs w:val="22"/>
        </w:rPr>
        <w:t xml:space="preserve">Value Map — what PATNA creates to address that experience</w:t>
      </w:r>
    </w:p>
    <w:p>
      <w:pPr>
        <w:spacing w:before="160" w:after="0"/>
      </w:pPr>
      <w:r>
        <w:t xml:space="preserve"/>
      </w:r>
    </w:p>
    <w:p>
      <w:pPr>
        <w:spacing w:before="80" w:after="80"/>
        <w:jc w:val="both"/>
      </w:pPr>
      <w:r>
        <w:rPr>
          <w:rFonts w:ascii="Arial" w:cs="Arial" w:eastAsia="Arial" w:hAnsi="Arial"/>
          <w:b w:val="false"/>
          <w:bCs w:val="false"/>
          <w:sz w:val="22"/>
          <w:szCs w:val="22"/>
        </w:rPr>
        <w:t xml:space="preserve">PATNA operates at two levels. The first is institutional — PATNA as a coordinating body serving African states, negotiators, and experts in navigating global energy transition processes. The second is product — the digital platform that operationalises PATNA's coordination function. These must be treated distinctly because they serve different immediate users, even though they share a strategic purpose.</w:t>
      </w:r>
    </w:p>
    <w:p>
      <w:pPr>
        <w:spacing w:before="20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VP-A: Organisational Value Proposition</w:t>
      </w:r>
    </w:p>
    <w:p>
      <w:pPr>
        <w:pStyle w:val="Heading3"/>
        <w:spacing w:before="220" w:after="80"/>
      </w:pPr>
      <w:r>
        <w:rPr>
          <w:rFonts w:ascii="Arial" w:cs="Arial" w:eastAsia="Arial" w:hAnsi="Arial"/>
          <w:b/>
          <w:bCs/>
          <w:color w:val="03529d"/>
          <w:sz w:val="24"/>
          <w:szCs w:val="24"/>
        </w:rPr>
        <w:t xml:space="preserve">Context</w:t>
      </w:r>
    </w:p>
    <w:p>
      <w:pPr>
        <w:spacing w:before="80" w:after="80"/>
        <w:jc w:val="both"/>
      </w:pPr>
      <w:r>
        <w:rPr>
          <w:rFonts w:ascii="Arial" w:cs="Arial" w:eastAsia="Arial" w:hAnsi="Arial"/>
          <w:b w:val="false"/>
          <w:bCs w:val="false"/>
          <w:sz w:val="22"/>
          <w:szCs w:val="22"/>
        </w:rPr>
        <w:t xml:space="preserve">PATNA was established to address a documented gap: African countries are disproportionately affected by global climate and energy transition decisions but historically under-represented in the processes that shape them. The organisation bridges expertise, coordination, and institutional capacity to change that.</w:t>
      </w:r>
    </w:p>
    <w:p>
      <w:pPr>
        <w:spacing w:before="160" w:after="0"/>
      </w:pPr>
      <w:r>
        <w:t xml:space="preserve"/>
      </w:r>
    </w:p>
    <w:p>
      <w:pPr>
        <w:pStyle w:val="Heading3"/>
        <w:spacing w:before="220" w:after="80"/>
      </w:pPr>
      <w:r>
        <w:rPr>
          <w:rFonts w:ascii="Arial" w:cs="Arial" w:eastAsia="Arial" w:hAnsi="Arial"/>
          <w:b/>
          <w:bCs/>
          <w:color w:val="03529d"/>
          <w:sz w:val="24"/>
          <w:szCs w:val="24"/>
        </w:rPr>
        <w:t xml:space="preserve">Layer 1: Customer Profile — African Policymakers, Negotiators &amp; Technical Experts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2"/>
              <w:left w:val="single" w:color="03529d" w:sz="2"/>
              <w:bottom w:val="single" w:color="03529d" w:sz="2"/>
              <w:right w:val="single" w:color="03529d" w:sz="2"/>
            </w:tcBorders>
            <w:shd w:fill="b9e8fa" w:val="clear"/>
            <w:tcMar>
              <w:top w:type="dxa" w:w="80"/>
              <w:left w:type="dxa" w:w="180"/>
              <w:bottom w:type="dxa" w:w="80"/>
              <w:right w:type="dxa" w:w="180"/>
            </w:tcMar>
          </w:tcPr>
          <w:p>
            <w:r>
              <w:rPr>
                <w:rFonts w:ascii="Arial" w:cs="Arial" w:eastAsia="Arial" w:hAnsi="Arial"/>
                <w:b/>
                <w:bCs/>
                <w:color w:val="03529d"/>
                <w:sz w:val="24"/>
                <w:szCs w:val="24"/>
              </w:rPr>
              <w:t xml:space="preserve">Layer 1: </w:t>
            </w:r>
            <w:r>
              <w:rPr>
                <w:rFonts w:ascii="Arial" w:cs="Arial" w:eastAsia="Arial" w:hAnsi="Arial"/>
                <w:b/>
                <w:bCs/>
                <w:color w:val="03529d"/>
                <w:sz w:val="24"/>
                <w:szCs w:val="24"/>
              </w:rPr>
              <w:t xml:space="preserve">Customer Reality</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after="60"/>
            </w:pPr>
            <w:r>
              <w:rPr>
                <w:rFonts w:ascii="Arial" w:cs="Arial" w:eastAsia="Arial" w:hAnsi="Arial"/>
                <w:b/>
                <w:bCs/>
                <w:color w:val="03529d"/>
                <w:sz w:val="22"/>
                <w:szCs w:val="22"/>
              </w:rPr>
              <w:t xml:space="preserve">Jobs to Be Done</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after="60"/>
              <w:jc w:val="both"/>
            </w:pPr>
            <w:r>
              <w:rPr>
                <w:rFonts w:ascii="Arial" w:cs="Arial" w:eastAsia="Arial" w:hAnsi="Arial"/>
                <w:sz w:val="21"/>
                <w:szCs w:val="21"/>
              </w:rPr>
              <w:t xml:space="preserve">Functional: Represent their countries in complex international climate and maritime processes (IMO, UNFCCC, etc.); develop technically credible national positions; implement international frameworks at the domestic level.</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after="60"/>
              <w:jc w:val="both"/>
            </w:pPr>
            <w:r>
              <w:rPr>
                <w:rFonts w:ascii="Arial" w:cs="Arial" w:eastAsia="Arial" w:hAnsi="Arial"/>
                <w:sz w:val="21"/>
                <w:szCs w:val="21"/>
              </w:rPr>
              <w:t xml:space="preserve">Emotional: Feel equipped, credible, and confident when engaging global counterparts; not feel disadvantaged or marginalised in technical or political negotiations.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jc w:val="both"/>
            </w:pPr>
            <w:r>
              <w:rPr>
                <w:rFonts w:ascii="Arial" w:cs="Arial" w:eastAsia="Arial" w:hAnsi="Arial"/>
                <w:sz w:val="21"/>
                <w:szCs w:val="21"/>
              </w:rPr>
              <w:t xml:space="preserve">Strategic: Ensure that international policy outcomes reflect African realities, support just transitions, and do not impose disproportionate economic burdens on developing African economies.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2"/>
              <w:left w:val="single" w:color="03529d" w:sz="2"/>
              <w:bottom w:val="single" w:color="03529d" w:sz="2"/>
              <w:right w:val="single" w:color="03529d" w:sz="2"/>
            </w:tcBorders>
            <w:shd w:fill="b9e8fa" w:val="clear"/>
            <w:tcMar>
              <w:top w:type="dxa" w:w="80"/>
              <w:left w:type="dxa" w:w="180"/>
              <w:bottom w:type="dxa" w:w="80"/>
              <w:right w:type="dxa" w:w="180"/>
            </w:tcMar>
          </w:tcPr>
          <w:p>
            <w:r>
              <w:rPr>
                <w:rFonts w:ascii="Arial" w:cs="Arial" w:eastAsia="Arial" w:hAnsi="Arial"/>
                <w:b/>
                <w:bCs/>
                <w:color w:val="03529d"/>
                <w:sz w:val="24"/>
                <w:szCs w:val="24"/>
              </w:rPr>
              <w:t xml:space="preserve">Layer 1a: </w:t>
            </w:r>
            <w:r>
              <w:rPr>
                <w:rFonts w:ascii="Arial" w:cs="Arial" w:eastAsia="Arial" w:hAnsi="Arial"/>
                <w:b/>
                <w:bCs/>
                <w:color w:val="03529d"/>
                <w:sz w:val="24"/>
                <w:szCs w:val="24"/>
              </w:rPr>
              <w:t xml:space="preserve">Pains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after="60"/>
            </w:pPr>
            <w:r>
              <w:rPr>
                <w:rFonts w:ascii="Arial" w:cs="Arial" w:eastAsia="Arial" w:hAnsi="Arial"/>
                <w:sz w:val="21"/>
                <w:szCs w:val="21"/>
              </w:rPr>
              <w:t xml:space="preserve">African negotiators and policymakers face structurally constrained participation:</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Limited technical capacity to engage complex climate and maritime negotiations on equal footing with well-resourced delegations.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Fragmented institutional memory: each transition of personnel risks losing accumulated expertise and relationships.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Absence of coordinated continental positions, weakening African bargaining power in multilateral settings.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Evidence gaps: insufficient context-specific research to ground African positions in data rather than aspiration.</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0"/>
            </w:pPr>
            <w:r>
              <w:rPr>
                <w:rFonts w:ascii="Arial" w:cs="Arial" w:eastAsia="Arial" w:hAnsi="Arial"/>
                <w:sz w:val="21"/>
                <w:szCs w:val="21"/>
              </w:rPr>
              <w:t xml:space="preserve">Disconnection between academic research, policy processes, and industry implementation — siloed knowledge that does not translate into action.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2"/>
              <w:left w:val="single" w:color="03529d" w:sz="2"/>
              <w:bottom w:val="single" w:color="03529d" w:sz="2"/>
              <w:right w:val="single" w:color="03529d" w:sz="2"/>
            </w:tcBorders>
            <w:shd w:fill="b9e8fa" w:val="clear"/>
            <w:tcMar>
              <w:top w:type="dxa" w:w="80"/>
              <w:left w:type="dxa" w:w="180"/>
              <w:bottom w:type="dxa" w:w="80"/>
              <w:right w:type="dxa" w:w="180"/>
            </w:tcMar>
          </w:tcPr>
          <w:p>
            <w:r>
              <w:rPr>
                <w:rFonts w:ascii="Arial" w:cs="Arial" w:eastAsia="Arial" w:hAnsi="Arial"/>
                <w:b/>
                <w:bCs/>
                <w:color w:val="03529d"/>
                <w:sz w:val="24"/>
                <w:szCs w:val="24"/>
              </w:rPr>
              <w:t xml:space="preserve">Layer 1b: </w:t>
            </w:r>
            <w:r>
              <w:rPr>
                <w:rFonts w:ascii="Arial" w:cs="Arial" w:eastAsia="Arial" w:hAnsi="Arial"/>
                <w:b/>
                <w:bCs/>
                <w:color w:val="03529d"/>
                <w:sz w:val="24"/>
                <w:szCs w:val="24"/>
              </w:rPr>
              <w:t xml:space="preserve">Gains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Access to a network of trusted African technical peers across Academic, Policy, Industry, and Civil Society cohorts.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Coordinated, evidence-based positions that carry weight in international negotiations.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Institutional continuity: knowledge preserved and accessible beyond individual tenures.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Reduced duplication of effort through shared research, briefs, and analytical tools.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0"/>
            </w:pPr>
            <w:r>
              <w:rPr>
                <w:rFonts w:ascii="Arial" w:cs="Arial" w:eastAsia="Arial" w:hAnsi="Arial"/>
                <w:sz w:val="21"/>
                <w:szCs w:val="21"/>
              </w:rPr>
              <w:t xml:space="preserve">Increased confidence and credibility in international settings.</w:t>
            </w:r>
          </w:p>
        </w:tc>
      </w:tr>
    </w:tbl>
    <w:p>
      <w:pPr>
        <w:spacing w:before="200" w:after="0"/>
      </w:pPr>
      <w:r>
        <w:t xml:space="preserve"/>
      </w:r>
    </w:p>
    <w:p>
      <w:pPr>
        <w:pStyle w:val="Heading3"/>
        <w:spacing w:before="220" w:after="80"/>
      </w:pPr>
      <w:r>
        <w:rPr>
          <w:rFonts w:ascii="Arial" w:cs="Arial" w:eastAsia="Arial" w:hAnsi="Arial"/>
          <w:b/>
          <w:bCs/>
          <w:color w:val="03529d"/>
          <w:sz w:val="24"/>
          <w:szCs w:val="24"/>
        </w:rPr>
        <w:t xml:space="preserve">Layer 2: Value Map — What PATNA Creates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2"/>
              <w:left w:val="single" w:color="03529d" w:sz="2"/>
              <w:bottom w:val="single" w:color="03529d" w:sz="2"/>
              <w:right w:val="single" w:color="03529d" w:sz="2"/>
            </w:tcBorders>
            <w:shd w:fill="b9e8fa" w:val="clear"/>
            <w:tcMar>
              <w:top w:type="dxa" w:w="80"/>
              <w:left w:type="dxa" w:w="180"/>
              <w:bottom w:type="dxa" w:w="80"/>
              <w:right w:type="dxa" w:w="180"/>
            </w:tcMar>
          </w:tcPr>
          <w:p>
            <w:r>
              <w:rPr>
                <w:rFonts w:ascii="Arial" w:cs="Arial" w:eastAsia="Arial" w:hAnsi="Arial"/>
                <w:b/>
                <w:bCs/>
                <w:color w:val="03529d"/>
                <w:sz w:val="24"/>
                <w:szCs w:val="24"/>
              </w:rPr>
              <w:t xml:space="preserve">Layer 2: </w:t>
            </w:r>
            <w:r>
              <w:rPr>
                <w:rFonts w:ascii="Arial" w:cs="Arial" w:eastAsia="Arial" w:hAnsi="Arial"/>
                <w:b/>
                <w:bCs/>
                <w:color w:val="03529d"/>
                <w:sz w:val="24"/>
                <w:szCs w:val="24"/>
              </w:rPr>
              <w:t xml:space="preserve">Value Map</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before="80" w:after="80"/>
              <w:jc w:val="both"/>
            </w:pPr>
            <w:r>
              <w:rPr>
                <w:rFonts w:ascii="Arial" w:cs="Arial" w:eastAsia="Arial" w:hAnsi="Arial"/>
                <w:b/>
                <w:bCs/>
                <w:color w:val="03529d"/>
                <w:sz w:val="22"/>
                <w:szCs w:val="22"/>
              </w:rPr>
              <w:t xml:space="preserve">Proposed Initiative: </w:t>
            </w:r>
            <w:r>
              <w:rPr>
                <w:rFonts w:ascii="Arial" w:cs="Arial" w:eastAsia="Arial" w:hAnsi="Arial"/>
                <w:sz w:val="22"/>
                <w:szCs w:val="22"/>
              </w:rPr>
              <w:t xml:space="preserve">A pan-African coordination and decision-intelligence platform that enables African experts to collaborate, synthesise knowledge, and act with shared purpose on energy transition and climate governance.</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before="80" w:after="0"/>
            </w:pPr>
            <w:r>
              <w:t xml:space="preserve"/>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before="80" w:after="60"/>
            </w:pPr>
            <w:r>
              <w:rPr>
                <w:rFonts w:ascii="Arial" w:cs="Arial" w:eastAsia="Arial" w:hAnsi="Arial"/>
                <w:b/>
                <w:bCs/>
                <w:color w:val="03529d"/>
                <w:sz w:val="22"/>
                <w:szCs w:val="22"/>
              </w:rPr>
              <w:t xml:space="preserve">Pain Relievers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Bridges the technical capacity gap by curating expertise across cohorts and enabling peer learning.</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Creates institutional memory through a structured knowledge system that survives personnel transitions.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Facilitates coordinated continental positions through structured deliberation across constituencies (SIDS, LDCs, oil-producing states).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60"/>
            </w:pPr>
            <w:r>
              <w:rPr>
                <w:rFonts w:ascii="Arial" w:cs="Arial" w:eastAsia="Arial" w:hAnsi="Arial"/>
                <w:sz w:val="21"/>
                <w:szCs w:val="21"/>
              </w:rPr>
              <w:t xml:space="preserve">Provides access to curated, context-appropriate research grounded in African realities.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before="80" w:after="60"/>
            </w:pPr>
            <w:r>
              <w:rPr>
                <w:rFonts w:ascii="Arial" w:cs="Arial" w:eastAsia="Arial" w:hAnsi="Arial"/>
                <w:b/>
                <w:bCs/>
                <w:color w:val="03529d"/>
                <w:sz w:val="22"/>
                <w:szCs w:val="22"/>
              </w:rPr>
              <w:t xml:space="preserve">Gain Creators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Establishes PATNA as the trusted home for African technical expertise on climate and energy — an institutional identity that strengthens over time.</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Amplifies African voices in global processes by ensuring members engage with coordinated, evidence-based positions.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Unlocks peer-to-peer knowledge exchange that reduces duplication and raises the quality of African participation.</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0"/>
            </w:pPr>
            <w:r>
              <w:rPr>
                <w:rFonts w:ascii="Arial" w:cs="Arial" w:eastAsia="Arial" w:hAnsi="Arial"/>
                <w:sz w:val="21"/>
                <w:szCs w:val="21"/>
              </w:rPr>
              <w:t xml:space="preserve">Creates a reputational platform that increases access to funding, partnerships, and convening opportunities.</w:t>
            </w:r>
          </w:p>
        </w:tc>
      </w:tr>
    </w:tbl>
    <w:p>
      <w:pPr>
        <w:spacing w:before="200" w:after="0"/>
      </w:pPr>
      <w:r>
        <w:t xml:space="preserve"/>
      </w:r>
    </w:p>
    <w:p>
      <w:pPr>
        <w:pStyle w:val="Heading3"/>
        <w:spacing w:before="220" w:after="80"/>
      </w:pPr>
      <w:r>
        <w:rPr>
          <w:rFonts w:ascii="Arial" w:cs="Arial" w:eastAsia="Arial" w:hAnsi="Arial"/>
          <w:b/>
          <w:bCs/>
          <w:color w:val="03529d"/>
          <w:sz w:val="24"/>
          <w:szCs w:val="24"/>
        </w:rPr>
        <w:t xml:space="preserve">Integrated Organisational VP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7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Customer</w:t>
            </w:r>
          </w:p>
        </w:tc>
        <w:tc>
          <w:tcPr>
            <w:tcW w:type="dxa" w:w="6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African governments, policymakers, negotiators, technical experts, civil society</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Jobs to Be Done</w:t>
            </w:r>
          </w:p>
        </w:tc>
        <w:tc>
          <w:tcPr>
            <w:tcW w:type="dxa" w:w="6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Represent Africa credibly in global energy transition processes; develop coordinated positions; build institutional capacity</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Pains</w:t>
            </w:r>
          </w:p>
        </w:tc>
        <w:tc>
          <w:tcPr>
            <w:tcW w:type="dxa" w:w="6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Capacity gaps; fragmented knowledge; weak coordination; evidence deficits; siloed disciplines</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Gains</w:t>
            </w:r>
          </w:p>
        </w:tc>
        <w:tc>
          <w:tcPr>
            <w:tcW w:type="dxa" w:w="6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Trusted network; coordinated positions; institutional continuity; credibility; reduced duplication</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Proposed Solution</w:t>
            </w:r>
          </w:p>
        </w:tc>
        <w:tc>
          <w:tcPr>
            <w:tcW w:type="dxa" w:w="6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Pan-African coordination and decision-intelligence platform</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Pain Relievers</w:t>
            </w:r>
          </w:p>
        </w:tc>
        <w:tc>
          <w:tcPr>
            <w:tcW w:type="dxa" w:w="6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Technical capacity building; structured knowledge; coordinated deliberation; context-grounded research</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Gain Creators</w:t>
            </w:r>
          </w:p>
        </w:tc>
        <w:tc>
          <w:tcPr>
            <w:tcW w:type="dxa" w:w="6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Institutional identity; amplified voice; peer exchange; reputational platform; funding access</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Delivery Mechanism</w:t>
            </w:r>
          </w:p>
        </w:tc>
        <w:tc>
          <w:tcPr>
            <w:tcW w:type="dxa" w:w="6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PATNA Initiative — community platform, knowledge hub, event convening, advisory outputs</w:t>
            </w:r>
          </w:p>
        </w:tc>
      </w:tr>
    </w:tbl>
    <w:p>
      <w:pPr>
        <w:spacing w:before="400" w:after="0"/>
      </w:pPr>
      <w:r>
        <w:t xml:space="preserve"/>
      </w:r>
    </w:p>
    <w:p>
      <w:pPr>
        <w:pBdr>
          <w:bottom w:val="single" w:color="03529d" w:sz="8" w:space="1"/>
        </w:pBdr>
        <w:spacing w:before="80" w:after="16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VP-B: Product/Platform Value Proposition</w:t>
      </w:r>
    </w:p>
    <w:p>
      <w:pPr>
        <w:pStyle w:val="Heading3"/>
        <w:spacing w:before="220" w:after="80"/>
      </w:pPr>
      <w:r>
        <w:rPr>
          <w:rFonts w:ascii="Arial" w:cs="Arial" w:eastAsia="Arial" w:hAnsi="Arial"/>
          <w:b/>
          <w:bCs/>
          <w:color w:val="03529d"/>
          <w:sz w:val="24"/>
          <w:szCs w:val="24"/>
        </w:rPr>
        <w:t xml:space="preserve">Context</w:t>
      </w:r>
    </w:p>
    <w:p>
      <w:pPr>
        <w:spacing w:before="80" w:after="80"/>
        <w:jc w:val="both"/>
      </w:pPr>
      <w:r>
        <w:rPr>
          <w:rFonts w:ascii="Arial" w:cs="Arial" w:eastAsia="Arial" w:hAnsi="Arial"/>
          <w:b w:val="false"/>
          <w:bCs w:val="false"/>
          <w:sz w:val="22"/>
          <w:szCs w:val="22"/>
        </w:rPr>
        <w:t xml:space="preserve">The PATNA digital platform is a distinct product with its own users, jobs to be done, pains, and gains. While its ultimate purpose is to advance PATNA's mission, its immediate customers are the platform's direct users: community members, Secretariat staff, cohort leads, and content editors. These users have specific operational needs that must be understood independently of the broader organisational mission.</w:t>
      </w:r>
    </w:p>
    <w:p>
      <w:pPr>
        <w:spacing w:before="80" w:after="0"/>
      </w:pPr>
      <w:r>
        <w:t xml:space="preserve"/>
      </w:r>
    </w:p>
    <w:p>
      <w:pPr>
        <w:spacing w:before="80" w:after="80"/>
        <w:jc w:val="both"/>
      </w:pPr>
      <w:r>
        <w:rPr>
          <w:rFonts w:ascii="Arial" w:cs="Arial" w:eastAsia="Arial" w:hAnsi="Arial"/>
          <w:b w:val="false"/>
          <w:bCs w:val="false"/>
          <w:sz w:val="22"/>
          <w:szCs w:val="22"/>
        </w:rPr>
        <w:t xml:space="preserve">PATNA's platform serves two user groups with distinct but connected needs: internal operators (Secretariat, Cohort Leads, Editors) who manage community and content, and external participants (members, applicants, visitors) who engage through the platform.</w:t>
      </w:r>
    </w:p>
    <w:p>
      <w:pPr>
        <w:spacing w:before="200" w:after="0"/>
      </w:pPr>
      <w:r>
        <w:t xml:space="preserve"/>
      </w:r>
    </w:p>
    <w:p>
      <w:pPr>
        <w:pStyle w:val="Heading3"/>
        <w:spacing w:before="220" w:after="80"/>
      </w:pPr>
      <w:r>
        <w:rPr>
          <w:rFonts w:ascii="Arial" w:cs="Arial" w:eastAsia="Arial" w:hAnsi="Arial"/>
          <w:b/>
          <w:bCs/>
          <w:color w:val="03529d"/>
          <w:sz w:val="24"/>
          <w:szCs w:val="24"/>
        </w:rPr>
        <w:t xml:space="preserve">Layer 1: Customer Profiles — Platform Users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60"/>
      </w:tblGrid>
      <w:tr>
        <w:tc>
          <w:tcPr>
            <w:tcW w:type="dxa" w:w="4680"/>
            <w:tcBorders>
              <w:top w:val="single" w:color="03529d" w:sz="1"/>
              <w:left w:val="single" w:color="03529d" w:sz="1"/>
              <w:bottom w:val="single" w:color="03529d" w:sz="1"/>
              <w:right w:val="single" w:color="03529d" w:sz="1"/>
            </w:tcBorders>
            <w:shd w:fill="b9e8fa" w:val="clear"/>
            <w:tcMar>
              <w:top w:type="dxa" w:w="120"/>
              <w:left w:type="dxa" w:w="180"/>
              <w:bottom w:type="dxa" w:w="120"/>
              <w:right w:type="dxa" w:w="180"/>
            </w:tcMar>
          </w:tcPr>
          <w:p>
            <w:pPr>
              <w:spacing w:after="80"/>
            </w:pPr>
            <w:r>
              <w:rPr>
                <w:rFonts w:ascii="Arial" w:cs="Arial" w:eastAsia="Arial" w:hAnsi="Arial"/>
                <w:b/>
                <w:bCs/>
                <w:color w:val="03529d"/>
                <w:sz w:val="22"/>
                <w:szCs w:val="22"/>
              </w:rPr>
              <w:t xml:space="preserve">User Group A: Community Members &amp; Applicants</w:t>
            </w:r>
          </w:p>
          <w:p>
            <w:pPr>
              <w:jc w:val="both"/>
            </w:pPr>
            <w:r>
              <w:rPr>
                <w:rFonts w:ascii="Arial" w:cs="Arial" w:eastAsia="Arial" w:hAnsi="Arial"/>
                <w:sz w:val="21"/>
                <w:szCs w:val="21"/>
              </w:rPr>
              <w:t xml:space="preserve">African experts, policymakers, researchers, and practitioners seeking to engage with the PATNA network, access knowledge, and contribute to energy transition and climate work.</w:t>
            </w:r>
          </w:p>
        </w:tc>
        <w:tc>
          <w:tcPr>
            <w:tcW w:type="dxa" w:w="4660"/>
            <w:tcBorders>
              <w:top w:val="single" w:color="03529d" w:sz="1"/>
              <w:left w:val="single" w:color="03529d" w:sz="1"/>
              <w:bottom w:val="single" w:color="03529d" w:sz="1"/>
              <w:right w:val="single" w:color="03529d" w:sz="1"/>
            </w:tcBorders>
            <w:shd w:fill="f5f7fa" w:val="clear"/>
            <w:tcMar>
              <w:top w:type="dxa" w:w="120"/>
              <w:left w:type="dxa" w:w="180"/>
              <w:bottom w:type="dxa" w:w="120"/>
              <w:right w:type="dxa" w:w="180"/>
            </w:tcMar>
          </w:tcPr>
          <w:p>
            <w:pPr>
              <w:spacing w:after="80"/>
            </w:pPr>
            <w:r>
              <w:rPr>
                <w:rFonts w:ascii="Arial" w:cs="Arial" w:eastAsia="Arial" w:hAnsi="Arial"/>
                <w:b/>
                <w:bCs/>
                <w:color w:val="03529d"/>
                <w:sz w:val="22"/>
                <w:szCs w:val="22"/>
              </w:rPr>
              <w:t xml:space="preserve">User Group B: Secretariat, Cohort Leads &amp; Editors</w:t>
            </w:r>
          </w:p>
          <w:p>
            <w:pPr>
              <w:jc w:val="both"/>
            </w:pPr>
            <w:r>
              <w:rPr>
                <w:rFonts w:ascii="Arial" w:cs="Arial" w:eastAsia="Arial" w:hAnsi="Arial"/>
                <w:sz w:val="21"/>
                <w:szCs w:val="21"/>
              </w:rPr>
              <w:t xml:space="preserve">PATNA operational staff responsible for managing community onboarding, moderating discussions, publishing content, and reporting on platform performance.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2"/>
              <w:left w:val="single" w:color="03529d" w:sz="2"/>
              <w:bottom w:val="single" w:color="03529d" w:sz="2"/>
              <w:right w:val="single" w:color="03529d" w:sz="2"/>
            </w:tcBorders>
            <w:shd w:fill="b9e8fa" w:val="clear"/>
            <w:tcMar>
              <w:top w:type="dxa" w:w="80"/>
              <w:left w:type="dxa" w:w="180"/>
              <w:bottom w:type="dxa" w:w="80"/>
              <w:right w:type="dxa" w:w="180"/>
            </w:tcMar>
          </w:tcPr>
          <w:p>
            <w:r>
              <w:rPr>
                <w:rFonts w:ascii="Arial" w:cs="Arial" w:eastAsia="Arial" w:hAnsi="Arial"/>
                <w:b/>
                <w:bCs/>
                <w:color w:val="03529d"/>
                <w:sz w:val="24"/>
                <w:szCs w:val="24"/>
              </w:rPr>
              <w:t xml:space="preserve">Layer 1: </w:t>
            </w:r>
            <w:r>
              <w:rPr>
                <w:rFonts w:ascii="Arial" w:cs="Arial" w:eastAsia="Arial" w:hAnsi="Arial"/>
                <w:b/>
                <w:bCs/>
                <w:color w:val="03529d"/>
                <w:sz w:val="24"/>
                <w:szCs w:val="24"/>
              </w:rPr>
              <w:t xml:space="preserve">Pains — Community Members &amp; Applicants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No structured pathway to join PATNA — unclear how to apply, what cohort means, what participation looks like.</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Fragmented knowledge: PATNA's outputs scattered across different formats and locations, difficult to find and use.</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No visibility into other members: cannot discover peers, identify collaborators, or find relevant expertise.</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0"/>
            </w:pPr>
            <w:r>
              <w:rPr>
                <w:rFonts w:ascii="Arial" w:cs="Arial" w:eastAsia="Arial" w:hAnsi="Arial"/>
                <w:sz w:val="21"/>
                <w:szCs w:val="21"/>
              </w:rPr>
              <w:t xml:space="preserve">No space for structured peer discussion connected to PATNA's thematic work.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2"/>
              <w:left w:val="single" w:color="03529d" w:sz="2"/>
              <w:bottom w:val="single" w:color="03529d" w:sz="2"/>
              <w:right w:val="single" w:color="03529d" w:sz="2"/>
            </w:tcBorders>
            <w:shd w:fill="b9e8fa" w:val="clear"/>
            <w:tcMar>
              <w:top w:type="dxa" w:w="80"/>
              <w:left w:type="dxa" w:w="180"/>
              <w:bottom w:type="dxa" w:w="80"/>
              <w:right w:type="dxa" w:w="180"/>
            </w:tcMar>
          </w:tcPr>
          <w:p>
            <w:r>
              <w:rPr>
                <w:rFonts w:ascii="Arial" w:cs="Arial" w:eastAsia="Arial" w:hAnsi="Arial"/>
                <w:b/>
                <w:bCs/>
                <w:color w:val="03529d"/>
                <w:sz w:val="24"/>
                <w:szCs w:val="24"/>
              </w:rPr>
              <w:t xml:space="preserve">Layer 1a: </w:t>
            </w:r>
            <w:r>
              <w:rPr>
                <w:rFonts w:ascii="Arial" w:cs="Arial" w:eastAsia="Arial" w:hAnsi="Arial"/>
                <w:b/>
                <w:bCs/>
                <w:color w:val="03529d"/>
                <w:sz w:val="24"/>
                <w:szCs w:val="24"/>
              </w:rPr>
              <w:t xml:space="preserve">Gains — Community Members &amp; Applicants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Clear, credible onboarding process that validates expertise and establishes cohort identity.</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Single, organised knowledge hub where all PATNA outputs are discoverable and tagged for relevance.</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Member directory enabling peer discovery across cohorts, geographies, and expertise areas.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0"/>
            </w:pPr>
            <w:r>
              <w:rPr>
                <w:rFonts w:ascii="Arial" w:cs="Arial" w:eastAsia="Arial" w:hAnsi="Arial"/>
                <w:sz w:val="21"/>
                <w:szCs w:val="21"/>
              </w:rPr>
              <w:t xml:space="preserve">Structured spaces for discussion, collaboration, and engagement tied to PATNA's work.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2"/>
              <w:left w:val="single" w:color="03529d" w:sz="2"/>
              <w:bottom w:val="single" w:color="03529d" w:sz="2"/>
              <w:right w:val="single" w:color="03529d" w:sz="2"/>
            </w:tcBorders>
            <w:shd w:fill="b9e8fa" w:val="clear"/>
            <w:tcMar>
              <w:top w:type="dxa" w:w="80"/>
              <w:left w:type="dxa" w:w="180"/>
              <w:bottom w:type="dxa" w:w="80"/>
              <w:right w:type="dxa" w:w="180"/>
            </w:tcMar>
          </w:tcPr>
          <w:p>
            <w:r>
              <w:rPr>
                <w:rFonts w:ascii="Arial" w:cs="Arial" w:eastAsia="Arial" w:hAnsi="Arial"/>
                <w:b/>
                <w:bCs/>
                <w:color w:val="03529d"/>
                <w:sz w:val="24"/>
                <w:szCs w:val="24"/>
              </w:rPr>
              <w:t xml:space="preserve">Layer 1b: </w:t>
            </w:r>
            <w:r>
              <w:rPr>
                <w:rFonts w:ascii="Arial" w:cs="Arial" w:eastAsia="Arial" w:hAnsi="Arial"/>
                <w:b/>
                <w:bCs/>
                <w:color w:val="03529d"/>
                <w:sz w:val="24"/>
                <w:szCs w:val="24"/>
              </w:rPr>
              <w:t xml:space="preserve">Pains — Secretariat &amp; Cohort Leads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Manual and fragmented onboarding process with no structured workflow, causing inefficiency and inconsistency.</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Publishing scattered across multiple tools with no tagging, versioning, or reuse architecture.</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No visibility into community health: who is active, who is disengaged, what content resonates.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0"/>
            </w:pPr>
            <w:r>
              <w:rPr>
                <w:rFonts w:ascii="Arial" w:cs="Arial" w:eastAsia="Arial" w:hAnsi="Arial"/>
                <w:sz w:val="21"/>
                <w:szCs w:val="21"/>
              </w:rPr>
              <w:t xml:space="preserve">No data foundation for reporting impact to funders or partners.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2"/>
              <w:left w:val="single" w:color="03529d" w:sz="2"/>
              <w:bottom w:val="single" w:color="03529d" w:sz="2"/>
              <w:right w:val="single" w:color="03529d" w:sz="2"/>
            </w:tcBorders>
            <w:shd w:fill="b9e8fa" w:val="clear"/>
            <w:tcMar>
              <w:top w:type="dxa" w:w="80"/>
              <w:left w:type="dxa" w:w="180"/>
              <w:bottom w:type="dxa" w:w="80"/>
              <w:right w:type="dxa" w:w="180"/>
            </w:tcMar>
          </w:tcPr>
          <w:p>
            <w:r>
              <w:rPr>
                <w:rFonts w:ascii="Arial" w:cs="Arial" w:eastAsia="Arial" w:hAnsi="Arial"/>
                <w:b/>
                <w:bCs/>
                <w:color w:val="03529d"/>
                <w:sz w:val="24"/>
                <w:szCs w:val="24"/>
              </w:rPr>
              <w:t xml:space="preserve">Layer 1c: </w:t>
            </w:r>
            <w:r>
              <w:rPr>
                <w:rFonts w:ascii="Arial" w:cs="Arial" w:eastAsia="Arial" w:hAnsi="Arial"/>
                <w:b/>
                <w:bCs/>
                <w:color w:val="03529d"/>
                <w:sz w:val="24"/>
                <w:szCs w:val="24"/>
              </w:rPr>
              <w:t xml:space="preserve">Gains — Secretariat &amp; Cohort Leads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Structured, governed onboarding workflow (expression of interest → interview → approval → activation).</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Unified Insights publishing system with consistent tagging for theme, geography, cohort, and process.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Real-time visibility into community engagement, content usage, and member activity.</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0"/>
            </w:pPr>
            <w:r>
              <w:rPr>
                <w:rFonts w:ascii="Arial" w:cs="Arial" w:eastAsia="Arial" w:hAnsi="Arial"/>
                <w:sz w:val="21"/>
                <w:szCs w:val="21"/>
              </w:rPr>
              <w:t xml:space="preserve">Credible, data-backed impact narrative for funders and institutional partners.</w:t>
            </w:r>
          </w:p>
        </w:tc>
      </w:tr>
    </w:tbl>
    <w:p>
      <w:pPr>
        <w:spacing w:before="200" w:after="0"/>
      </w:pPr>
      <w:r>
        <w:t xml:space="preserve"/>
      </w:r>
    </w:p>
    <w:p>
      <w:pPr>
        <w:pStyle w:val="Heading3"/>
        <w:spacing w:before="220" w:after="80"/>
      </w:pPr>
      <w:r>
        <w:rPr>
          <w:rFonts w:ascii="Arial" w:cs="Arial" w:eastAsia="Arial" w:hAnsi="Arial"/>
          <w:b/>
          <w:bCs/>
          <w:color w:val="03529d"/>
          <w:sz w:val="24"/>
          <w:szCs w:val="24"/>
        </w:rPr>
        <w:t xml:space="preserve">Layer 2: Value Map — What the Platform Creates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2"/>
              <w:left w:val="single" w:color="03529d" w:sz="2"/>
              <w:bottom w:val="single" w:color="03529d" w:sz="2"/>
              <w:right w:val="single" w:color="03529d" w:sz="2"/>
            </w:tcBorders>
            <w:shd w:fill="b9e8fa" w:val="clear"/>
            <w:tcMar>
              <w:top w:type="dxa" w:w="80"/>
              <w:left w:type="dxa" w:w="180"/>
              <w:bottom w:type="dxa" w:w="80"/>
              <w:right w:type="dxa" w:w="180"/>
            </w:tcMar>
          </w:tcPr>
          <w:p>
            <w:r>
              <w:rPr>
                <w:rFonts w:ascii="Arial" w:cs="Arial" w:eastAsia="Arial" w:hAnsi="Arial"/>
                <w:b/>
                <w:bCs/>
                <w:color w:val="03529d"/>
                <w:sz w:val="24"/>
                <w:szCs w:val="24"/>
              </w:rPr>
              <w:t xml:space="preserve">Layer 2: </w:t>
            </w:r>
            <w:r>
              <w:rPr>
                <w:rFonts w:ascii="Arial" w:cs="Arial" w:eastAsia="Arial" w:hAnsi="Arial"/>
                <w:b/>
                <w:bCs/>
                <w:color w:val="03529d"/>
                <w:sz w:val="24"/>
                <w:szCs w:val="24"/>
              </w:rPr>
              <w:t xml:space="preserve">Value Map</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before="80" w:after="80"/>
              <w:jc w:val="both"/>
            </w:pPr>
            <w:r>
              <w:rPr>
                <w:rFonts w:ascii="Arial" w:cs="Arial" w:eastAsia="Arial" w:hAnsi="Arial"/>
                <w:b/>
                <w:bCs/>
                <w:color w:val="03529d"/>
                <w:sz w:val="22"/>
                <w:szCs w:val="22"/>
              </w:rPr>
              <w:t xml:space="preserve">Proposed Initiative: </w:t>
            </w:r>
            <w:r>
              <w:rPr>
                <w:rFonts w:ascii="Arial" w:cs="Arial" w:eastAsia="Arial" w:hAnsi="Arial"/>
                <w:sz w:val="22"/>
                <w:szCs w:val="22"/>
              </w:rPr>
              <w:t xml:space="preserve">Community-driven decision intelligence platform: a governed, purposeful digital environment that structures PATNA's community, organises its knowledge, and establishes the data foundation for future AI-enabled decision support.</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before="80" w:after="0"/>
            </w:pPr>
            <w:r>
              <w:t xml:space="preserve"/>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before="80" w:after="60"/>
            </w:pPr>
            <w:r>
              <w:rPr>
                <w:rFonts w:ascii="Arial" w:cs="Arial" w:eastAsia="Arial" w:hAnsi="Arial"/>
                <w:b/>
                <w:bCs/>
                <w:color w:val="03529d"/>
                <w:sz w:val="22"/>
                <w:szCs w:val="22"/>
              </w:rPr>
              <w:t xml:space="preserve">Pain Relievers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Interview-gated, cohort-structured onboarding replaces ad-hoc engagement with a credible, governed pathway.</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Unified Insights Hub with structured tagging eliminates content fragmentation and enables discovery and reuse.</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Member directory with cohort, geography, and expertise filters makes the community visible and navigable.</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Role-based governance model clarifies responsibilities for Secretariat, Cohort Leads, and Members.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60"/>
            </w:pPr>
            <w:r>
              <w:rPr>
                <w:rFonts w:ascii="Arial" w:cs="Arial" w:eastAsia="Arial" w:hAnsi="Arial"/>
                <w:sz w:val="21"/>
                <w:szCs w:val="21"/>
              </w:rPr>
              <w:t xml:space="preserve">Platform analytics provide real-time visibility into engagement, content performance, and community health.</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spacing w:before="80" w:after="60"/>
            </w:pPr>
            <w:r>
              <w:rPr>
                <w:rFonts w:ascii="Arial" w:cs="Arial" w:eastAsia="Arial" w:hAnsi="Arial"/>
                <w:b/>
                <w:bCs/>
                <w:color w:val="03529d"/>
                <w:sz w:val="22"/>
                <w:szCs w:val="22"/>
              </w:rPr>
              <w:t xml:space="preserve">Gain Creators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Structured onboarding creates a trusted, credible community with clear identity and purpose.</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Organised knowledge becomes a durable institutional asset, not a transient output.</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Peer discovery accelerates collaboration, knowledge exchange, and cross-cohort connection.</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40"/>
            </w:pPr>
            <w:r>
              <w:rPr>
                <w:rFonts w:ascii="Arial" w:cs="Arial" w:eastAsia="Arial" w:hAnsi="Arial"/>
                <w:sz w:val="21"/>
                <w:szCs w:val="21"/>
              </w:rPr>
              <w:t xml:space="preserve">AI-ready data architecture positions PATNA for decision intelligence capabilities as the platform matures.</w:t>
            </w:r>
          </w:p>
        </w:tc>
      </w:tr>
      <w:tr>
        <w:tc>
          <w:tcPr>
            <w:tcW w:type="dxa" w:w="9360"/>
            <w:tcBorders>
              <w:top w:val="single" w:color="03529d" w:sz="2"/>
              <w:left w:val="single" w:color="03529d" w:sz="2"/>
              <w:bottom w:val="single" w:color="03529d" w:sz="2"/>
              <w:right w:val="single" w:color="03529d" w:sz="2"/>
            </w:tcBorders>
            <w:shd w:fill="ffffff" w:val="clear"/>
            <w:tcMar>
              <w:top w:type="dxa" w:w="80"/>
              <w:left w:type="dxa" w:w="180"/>
              <w:bottom w:type="dxa" w:w="80"/>
              <w:right w:type="dxa" w:w="180"/>
            </w:tcMar>
          </w:tcPr>
          <w:p>
            <w:pPr>
              <w:pStyle w:val="ListParagraph"/>
              <w:numPr>
                <w:ilvl w:val="0"/>
                <w:numId w:val="2"/>
              </w:numPr>
              <w:spacing w:after="0"/>
            </w:pPr>
            <w:r>
              <w:rPr>
                <w:rFonts w:ascii="Arial" w:cs="Arial" w:eastAsia="Arial" w:hAnsi="Arial"/>
                <w:sz w:val="21"/>
                <w:szCs w:val="21"/>
              </w:rPr>
              <w:t xml:space="preserve">Impact visibility strengthens funder confidence and opens new partnership opportunities.</w:t>
            </w:r>
          </w:p>
        </w:tc>
      </w:tr>
    </w:tbl>
    <w:p>
      <w:pPr>
        <w:spacing w:before="200" w:after="0"/>
      </w:pPr>
      <w:r>
        <w:t xml:space="preserve"/>
      </w:r>
    </w:p>
    <w:p>
      <w:pPr>
        <w:pStyle w:val="Heading3"/>
        <w:spacing w:before="220" w:after="80"/>
      </w:pPr>
      <w:r>
        <w:rPr>
          <w:rFonts w:ascii="Arial" w:cs="Arial" w:eastAsia="Arial" w:hAnsi="Arial"/>
          <w:b/>
          <w:bCs/>
          <w:color w:val="03529d"/>
          <w:sz w:val="24"/>
          <w:szCs w:val="24"/>
        </w:rPr>
        <w:t xml:space="preserve">Integrated Platform VP Summary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38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Community Members / Applicants</w:t>
            </w:r>
          </w:p>
        </w:tc>
        <w:tc>
          <w:tcPr>
            <w:tcW w:type="dxa" w:w="338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Secretariat / Cohort Leads</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Customer</w:t>
            </w:r>
          </w:p>
        </w:tc>
        <w:tc>
          <w:tcPr>
            <w:tcW w:type="dxa" w:w="338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African experts, policymakers, researchers, practitioners</w:t>
            </w:r>
          </w:p>
        </w:tc>
        <w:tc>
          <w:tcPr>
            <w:tcW w:type="dxa" w:w="338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PATNA Secretariat, Cohort Leads, Content Editors</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Jobs to Be Done</w:t>
            </w:r>
          </w:p>
        </w:tc>
        <w:tc>
          <w:tcPr>
            <w:tcW w:type="dxa" w:w="338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Engage with PATNA; access knowledge; connect with peers</w:t>
            </w:r>
          </w:p>
        </w:tc>
        <w:tc>
          <w:tcPr>
            <w:tcW w:type="dxa" w:w="338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Manage community; publish knowledge; report impact</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Pains</w:t>
            </w:r>
          </w:p>
        </w:tc>
        <w:tc>
          <w:tcPr>
            <w:tcW w:type="dxa" w:w="338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Unclear onboarding; fragmented knowledge; no peer visibility</w:t>
            </w:r>
          </w:p>
        </w:tc>
        <w:tc>
          <w:tcPr>
            <w:tcW w:type="dxa" w:w="338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Manual workflows; scattered content; no engagement data</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Gains</w:t>
            </w:r>
          </w:p>
        </w:tc>
        <w:tc>
          <w:tcPr>
            <w:tcW w:type="dxa" w:w="338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Credible onboarding; organised knowledge; member directory; discussion spaces</w:t>
            </w:r>
          </w:p>
        </w:tc>
        <w:tc>
          <w:tcPr>
            <w:tcW w:type="dxa" w:w="338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Structured workflows; unified publishing; real-time analytics</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Pain Relievers</w:t>
            </w:r>
          </w:p>
        </w:tc>
        <w:tc>
          <w:tcPr>
            <w:tcW w:type="dxa" w:w="338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Gated onboarding; Insights Hub; member directory; community spaces</w:t>
            </w:r>
          </w:p>
        </w:tc>
        <w:tc>
          <w:tcPr>
            <w:tcW w:type="dxa" w:w="338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Governed workflows; tagging system; role-based permissions; analytics</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Gain Creators</w:t>
            </w:r>
          </w:p>
        </w:tc>
        <w:tc>
          <w:tcPr>
            <w:tcW w:type="dxa" w:w="338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Trusted community identity; durable knowledge asset; peer connection</w:t>
            </w:r>
          </w:p>
        </w:tc>
        <w:tc>
          <w:tcPr>
            <w:tcW w:type="dxa" w:w="338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Operational efficiency; AI-ready architecture; funder-ready impact data</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Delivery Mechanism</w:t>
            </w:r>
          </w:p>
        </w:tc>
        <w:tc>
          <w:tcPr>
            <w:tcW w:type="dxa" w:w="338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PATNA Digital Platform — website, community app, Insights Hub, AI layer (Phase 2)</w:t>
            </w:r>
          </w:p>
        </w:tc>
        <w:tc>
          <w:tcPr>
            <w:tcW w:type="dxa" w:w="338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Same platform with admin tools, moderation, and analytics</w:t>
            </w:r>
          </w:p>
        </w:tc>
      </w:tr>
    </w:tbl>
    <w:p>
      <w:r>
        <w:br w:type="page"/>
      </w:r>
    </w:p>
    <w:p>
      <w:pPr>
        <w:shd w:fill="03529d" w:val="clear"/>
        <w:spacing w:before="240" w:after="80"/>
        <w:ind w:left="200" w:right="200"/>
        <w:jc w:val="left"/>
      </w:pPr>
      <w:r>
        <w:rPr>
          <w:rFonts w:ascii="Arial" w:cs="Arial" w:eastAsia="Arial" w:hAnsi="Arial"/>
          <w:b/>
          <w:bCs/>
          <w:color w:val="b9e8fa"/>
          <w:sz w:val="20"/>
          <w:szCs w:val="20"/>
        </w:rPr>
        <w:t xml:space="preserve">STEP 1</w:t>
      </w:r>
    </w:p>
    <w:p>
      <w:pPr>
        <w:pStyle w:val="Heading1"/>
        <w:shd w:fill="03529d" w:val="clear"/>
        <w:spacing w:before="0" w:after="160"/>
        <w:ind w:left="200" w:right="200"/>
        <w:jc w:val="left"/>
      </w:pPr>
      <w:r>
        <w:rPr>
          <w:rFonts w:ascii="Arial" w:cs="Arial" w:eastAsia="Arial" w:hAnsi="Arial"/>
          <w:b/>
          <w:bCs/>
          <w:color w:val="ffffff"/>
          <w:sz w:val="40"/>
          <w:szCs w:val="40"/>
        </w:rPr>
        <w:t xml:space="preserve">Business Model Mapping</w:t>
      </w:r>
    </w:p>
    <w:p>
      <w:pPr>
        <w:spacing w:before="160" w:after="0"/>
      </w:pPr>
      <w:r>
        <w:t xml:space="preserve"/>
      </w:r>
    </w:p>
    <w:p>
      <w:pPr>
        <w:spacing w:before="80" w:after="80"/>
        <w:jc w:val="both"/>
      </w:pPr>
      <w:r>
        <w:rPr>
          <w:rFonts w:ascii="Arial" w:cs="Arial" w:eastAsia="Arial" w:hAnsi="Arial"/>
          <w:b w:val="false"/>
          <w:bCs w:val="false"/>
          <w:sz w:val="22"/>
          <w:szCs w:val="22"/>
        </w:rPr>
        <w:t xml:space="preserve">The Business Model Canvas maps how PATNA creates, delivers, and captures value today. It is not aspirational — it reflects the current operational reality, including the tensions and constraints that a data strategy must work within. Every data initiative that follows will be traceable back to a specific block of this canvas.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1"/>
              <w:left w:val="single" w:color="03529d" w:sz="1"/>
              <w:bottom w:val="single" w:color="03529d" w:sz="1"/>
              <w:right w:val="single" w:color="03529d" w:sz="1"/>
            </w:tcBorders>
            <w:shd w:fill="b9e8fa" w:val="clear"/>
            <w:tcMar>
              <w:top w:type="dxa" w:w="120"/>
              <w:left w:type="dxa" w:w="200"/>
              <w:bottom w:type="dxa" w:w="120"/>
              <w:right w:type="dxa" w:w="200"/>
            </w:tcMar>
          </w:tcPr>
          <w:p>
            <w:pPr>
              <w:spacing w:before="0" w:after="80"/>
            </w:pPr>
            <w:r>
              <w:rPr>
                <w:rFonts w:ascii="Arial" w:cs="Arial" w:eastAsia="Arial" w:hAnsi="Arial"/>
                <w:b/>
                <w:bCs/>
                <w:color w:val="03529d"/>
                <w:sz w:val="22"/>
                <w:szCs w:val="22"/>
              </w:rPr>
              <w:t xml:space="preserve">Core Principle</w:t>
            </w:r>
          </w:p>
          <w:p>
            <w:pPr>
              <w:jc w:val="both"/>
            </w:pPr>
            <w:r>
              <w:rPr>
                <w:rFonts w:ascii="Arial" w:cs="Arial" w:eastAsia="Arial" w:hAnsi="Arial"/>
                <w:color w:val="1a1a1a"/>
                <w:sz w:val="21"/>
                <w:szCs w:val="21"/>
              </w:rPr>
              <w:t xml:space="preserve">If the business model is unclear, the data strategy will be disconnected. This canvas ensures that every metric, every data initiative, and every insight can be tied to how PATNA actually operates.</w:t>
            </w:r>
          </w:p>
        </w:tc>
      </w:tr>
    </w:tbl>
    <w:p>
      <w:pPr>
        <w:spacing w:before="24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Block 1: Customer Segments</w:t>
      </w:r>
    </w:p>
    <w:p>
      <w:pPr>
        <w:spacing w:before="80" w:after="80"/>
        <w:jc w:val="both"/>
      </w:pPr>
      <w:r>
        <w:rPr>
          <w:rFonts w:ascii="Arial" w:cs="Arial" w:eastAsia="Arial" w:hAnsi="Arial"/>
          <w:b w:val="false"/>
          <w:bCs w:val="false"/>
          <w:sz w:val="22"/>
          <w:szCs w:val="22"/>
        </w:rPr>
        <w:t xml:space="preserve">PATNA serves distinct groups with different relationships to the organisation. Understanding who pays, who uses, and who benefits is essential.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8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9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Relationship to PATNA</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African Governments &amp; Ministries</w:t>
            </w:r>
          </w:p>
        </w:tc>
        <w:tc>
          <w:tcPr>
            <w:tcW w:type="dxa" w:w="2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Primary beneficiary and legitimacy anchor</w:t>
            </w:r>
          </w:p>
        </w:tc>
        <w:tc>
          <w:tcPr>
            <w:tcW w:type="dxa" w:w="3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Partners, advisees, convening participants</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Policymakers &amp; Negotiators</w:t>
            </w:r>
          </w:p>
        </w:tc>
        <w:tc>
          <w:tcPr>
            <w:tcW w:type="dxa" w:w="2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Direct service recipients</w:t>
            </w:r>
          </w:p>
        </w:tc>
        <w:tc>
          <w:tcPr>
            <w:tcW w:type="dxa" w:w="3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Active network members, event participants</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Technical Experts (Academic, Industry, CSO)</w:t>
            </w:r>
          </w:p>
        </w:tc>
        <w:tc>
          <w:tcPr>
            <w:tcW w:type="dxa" w:w="2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Knowledge contributors and co-producers</w:t>
            </w:r>
          </w:p>
        </w:tc>
        <w:tc>
          <w:tcPr>
            <w:tcW w:type="dxa" w:w="3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Cohort members — Academic, Industry, Civil Society</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Institutional Partners (AU, IMO, MOWCA)</w:t>
            </w:r>
          </w:p>
        </w:tc>
        <w:tc>
          <w:tcPr>
            <w:tcW w:type="dxa" w:w="2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Co-conveners and credibility multipliers</w:t>
            </w:r>
          </w:p>
        </w:tc>
        <w:tc>
          <w:tcPr>
            <w:tcW w:type="dxa" w:w="3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Strategic partnerships and collaboration</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Funders &amp; Donors</w:t>
            </w:r>
          </w:p>
        </w:tc>
        <w:tc>
          <w:tcPr>
            <w:tcW w:type="dxa" w:w="2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Revenue enablers</w:t>
            </w:r>
          </w:p>
        </w:tc>
        <w:tc>
          <w:tcPr>
            <w:tcW w:type="dxa" w:w="3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Grant-makers; programme-funders; institutional sponsors</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Governments &amp; Agencies Seeking Support</w:t>
            </w:r>
          </w:p>
        </w:tc>
        <w:tc>
          <w:tcPr>
            <w:tcW w:type="dxa" w:w="2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Clients for advisory and coordination services</w:t>
            </w:r>
          </w:p>
        </w:tc>
        <w:tc>
          <w:tcPr>
            <w:tcW w:type="dxa" w:w="3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Work With Us pipeline — governments, agencies, regional bodies</w:t>
            </w:r>
          </w:p>
        </w:tc>
      </w:tr>
    </w:tbl>
    <w:p>
      <w:pPr>
        <w:spacing w:before="20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Block 2: Value Propositions</w:t>
      </w:r>
    </w:p>
    <w:p>
      <w:pPr>
        <w:spacing w:before="80" w:after="80"/>
        <w:jc w:val="both"/>
      </w:pPr>
      <w:r>
        <w:rPr>
          <w:rFonts w:ascii="Arial" w:cs="Arial" w:eastAsia="Arial" w:hAnsi="Arial"/>
          <w:b w:val="false"/>
          <w:bCs w:val="false"/>
          <w:sz w:val="22"/>
          <w:szCs w:val="22"/>
        </w:rPr>
        <w:t xml:space="preserve">PATNA's value propositions differ by segment. The overall purpose is to strengthen Africa's agency in global energy transition and climate processes through coordination, evidence, and institutional capacity.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61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Value Delivered</w:t>
            </w:r>
          </w:p>
        </w:tc>
      </w:tr>
      <w:tr>
        <w:tc>
          <w:tcPr>
            <w:tcW w:type="dxa" w:w="3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Policymakers &amp; Negotiators</w:t>
            </w:r>
          </w:p>
        </w:tc>
        <w:tc>
          <w:tcPr>
            <w:tcW w:type="dxa" w:w="6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Coordinated, evidence-based positions for international processes; trusted peer network; technical briefing and analysis</w:t>
            </w:r>
          </w:p>
        </w:tc>
      </w:tr>
      <w:tr>
        <w:tc>
          <w:tcPr>
            <w:tcW w:type="dxa" w:w="3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Technical Experts</w:t>
            </w:r>
          </w:p>
        </w:tc>
        <w:tc>
          <w:tcPr>
            <w:tcW w:type="dxa" w:w="61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Professional community with cohort identity; access to cross-disciplinary knowledge; visibility and credibility on Africa's transition agenda</w:t>
            </w:r>
          </w:p>
        </w:tc>
      </w:tr>
      <w:tr>
        <w:tc>
          <w:tcPr>
            <w:tcW w:type="dxa" w:w="3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Governments &amp; State Institutions</w:t>
            </w:r>
          </w:p>
        </w:tc>
        <w:tc>
          <w:tcPr>
            <w:tcW w:type="dxa" w:w="6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Strategic advisory and coordination support; access to PATNA expertise across policy, academic, and industry cohorts</w:t>
            </w:r>
          </w:p>
        </w:tc>
      </w:tr>
      <w:tr>
        <w:tc>
          <w:tcPr>
            <w:tcW w:type="dxa" w:w="3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Funders</w:t>
            </w:r>
          </w:p>
        </w:tc>
        <w:tc>
          <w:tcPr>
            <w:tcW w:type="dxa" w:w="61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Credible, impact-oriented grantee; measurable outcomes; Africa-centred leadership narrative; capacity building and institutional legacy</w:t>
            </w:r>
          </w:p>
        </w:tc>
      </w:tr>
      <w:tr>
        <w:tc>
          <w:tcPr>
            <w:tcW w:type="dxa" w:w="3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Partners (AU, IMO, Regional Bodies)</w:t>
            </w:r>
          </w:p>
        </w:tc>
        <w:tc>
          <w:tcPr>
            <w:tcW w:type="dxa" w:w="6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Trusted convener and knowledge synthesiser for African perspectives in multilateral processes</w:t>
            </w:r>
          </w:p>
        </w:tc>
      </w:tr>
    </w:tbl>
    <w:p>
      <w:pPr>
        <w:spacing w:before="20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Block 3: Channels</w:t>
      </w:r>
    </w:p>
    <w:p>
      <w:pPr>
        <w:spacing w:before="80" w:after="80"/>
        <w:jc w:val="both"/>
      </w:pPr>
      <w:r>
        <w:rPr>
          <w:rFonts w:ascii="Arial" w:cs="Arial" w:eastAsia="Arial" w:hAnsi="Arial"/>
          <w:b w:val="false"/>
          <w:bCs w:val="false"/>
          <w:sz w:val="22"/>
          <w:szCs w:val="22"/>
        </w:rPr>
        <w:t xml:space="preserve">PATNA reaches its audiences and delivers value through a combination of digital infrastructure, convening, and network relationships.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41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Public Website</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Digital</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Functional but limited</w:t>
            </w:r>
          </w:p>
        </w:tc>
        <w:tc>
          <w:tcPr>
            <w:tcW w:type="dxa" w:w="4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Primary awareness; limited interactive features</w:t>
            </w:r>
          </w:p>
        </w:tc>
      </w:tr>
      <w:tr>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Events (Summits, Workshops)</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Physical/Hybrid</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Active</w:t>
            </w:r>
          </w:p>
        </w:tc>
        <w:tc>
          <w:tcPr>
            <w:tcW w:type="dxa" w:w="41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LEAP summits; Dakar workshop; Abuja summit — high-value convening</w:t>
            </w:r>
          </w:p>
        </w:tc>
      </w:tr>
      <w:tr>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Email &amp; Direct Outreach</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Digital</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Ad-hoc</w:t>
            </w:r>
          </w:p>
        </w:tc>
        <w:tc>
          <w:tcPr>
            <w:tcW w:type="dxa" w:w="4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Primary engagement channel; no CRM structure</w:t>
            </w:r>
          </w:p>
        </w:tc>
      </w:tr>
      <w:tr>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Partner Networks</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Relationship</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Active</w:t>
            </w:r>
          </w:p>
        </w:tc>
        <w:tc>
          <w:tcPr>
            <w:tcW w:type="dxa" w:w="41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 IMO, MOWCA, national agencies</w:t>
            </w:r>
          </w:p>
        </w:tc>
      </w:tr>
      <w:tr>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Publications &amp; Reports</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Digital</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Inconsistent</w:t>
            </w:r>
          </w:p>
        </w:tc>
        <w:tc>
          <w:tcPr>
            <w:tcW w:type="dxa" w:w="4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Distributed across email, website, external hosting</w:t>
            </w:r>
          </w:p>
        </w:tc>
      </w:tr>
      <w:tr>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Social Media</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Digital</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Nascent</w:t>
            </w:r>
          </w:p>
        </w:tc>
        <w:tc>
          <w:tcPr>
            <w:tcW w:type="dxa" w:w="41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Limited systematic presence</w:t>
            </w:r>
          </w:p>
        </w:tc>
      </w:tr>
      <w:tr>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Future: Community Platform</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Digital</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In development</w:t>
            </w:r>
          </w:p>
        </w:tc>
        <w:tc>
          <w:tcPr>
            <w:tcW w:type="dxa" w:w="4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Phase 1 MVP — structured member community and knowledge hub</w:t>
            </w:r>
          </w:p>
        </w:tc>
      </w:tr>
    </w:tbl>
    <w:p>
      <w:pPr>
        <w:spacing w:before="20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Block 4: Customer Relationships</w:t>
      </w:r>
    </w:p>
    <w:p>
      <w:pPr>
        <w:spacing w:before="80" w:after="80"/>
        <w:jc w:val="both"/>
      </w:pPr>
      <w:r>
        <w:rPr>
          <w:rFonts w:ascii="Arial" w:cs="Arial" w:eastAsia="Arial" w:hAnsi="Arial"/>
          <w:b w:val="false"/>
          <w:bCs w:val="false"/>
          <w:sz w:val="22"/>
          <w:szCs w:val="22"/>
        </w:rPr>
        <w:t xml:space="preserve">PATNA's relationships are predominantly personal and high-trust, built through face-to-face convening and expert credibility. The absence of structured digital relationship management is a current constraint.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Relationship Type</w:t>
            </w:r>
          </w:p>
        </w:tc>
        <w:tc>
          <w:tcPr>
            <w:tcW w:type="dxa" w:w="20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Current Mechanism</w:t>
            </w:r>
          </w:p>
        </w:tc>
        <w:tc>
          <w:tcPr>
            <w:tcW w:type="dxa" w:w="31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High-trust personal</w:t>
            </w:r>
          </w:p>
        </w:tc>
        <w:tc>
          <w:tcPr>
            <w:tcW w:type="dxa" w:w="2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Policymakers, negotiators</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Events, direct communication</w:t>
            </w:r>
          </w:p>
        </w:tc>
        <w:tc>
          <w:tcPr>
            <w:tcW w:type="dxa" w:w="3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No systematic follow-up or engagement tracking</w:t>
            </w:r>
          </w:p>
        </w:tc>
      </w:tr>
      <w:tr>
        <w:tc>
          <w:tcPr>
            <w:tcW w:type="dxa" w:w="2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Cohort-based peer</w:t>
            </w:r>
          </w:p>
        </w:tc>
        <w:tc>
          <w:tcPr>
            <w:tcW w:type="dxa" w:w="2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Technical experts (members)</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Informal network; email lists</w:t>
            </w:r>
          </w:p>
        </w:tc>
        <w:tc>
          <w:tcPr>
            <w:tcW w:type="dxa" w:w="31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governed digital community space</w:t>
            </w:r>
          </w:p>
        </w:tc>
      </w:tr>
      <w:tr>
        <w:tc>
          <w:tcPr>
            <w:tcW w:type="dxa" w:w="2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Institutional</w:t>
            </w:r>
          </w:p>
        </w:tc>
        <w:tc>
          <w:tcPr>
            <w:tcW w:type="dxa" w:w="2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Partners and funders</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MOUs, programme agreements</w:t>
            </w:r>
          </w:p>
        </w:tc>
        <w:tc>
          <w:tcPr>
            <w:tcW w:type="dxa" w:w="3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Limited digital touchpoint between events</w:t>
            </w:r>
          </w:p>
        </w:tc>
      </w:tr>
      <w:tr>
        <w:tc>
          <w:tcPr>
            <w:tcW w:type="dxa" w:w="2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Advisory/transactional</w:t>
            </w:r>
          </w:p>
        </w:tc>
        <w:tc>
          <w:tcPr>
            <w:tcW w:type="dxa" w:w="2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Governments seeking support</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Work With Us — email-based</w:t>
            </w:r>
          </w:p>
        </w:tc>
        <w:tc>
          <w:tcPr>
            <w:tcW w:type="dxa" w:w="31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structured pipeline or status tracking</w:t>
            </w:r>
          </w:p>
        </w:tc>
      </w:tr>
      <w:tr>
        <w:tc>
          <w:tcPr>
            <w:tcW w:type="dxa" w:w="2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Public awareness</w:t>
            </w:r>
          </w:p>
        </w:tc>
        <w:tc>
          <w:tcPr>
            <w:tcW w:type="dxa" w:w="2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General/visitors</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Website, social media</w:t>
            </w:r>
          </w:p>
        </w:tc>
        <w:tc>
          <w:tcPr>
            <w:tcW w:type="dxa" w:w="3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Limited personalisation or return engagement</w:t>
            </w:r>
          </w:p>
        </w:tc>
      </w:tr>
    </w:tbl>
    <w:p>
      <w:pPr>
        <w:spacing w:before="20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Block 5: Revenue Streams</w:t>
      </w:r>
    </w:p>
    <w:p>
      <w:pPr>
        <w:spacing w:before="80" w:after="80"/>
        <w:jc w:val="both"/>
      </w:pPr>
      <w:r>
        <w:rPr>
          <w:rFonts w:ascii="Arial" w:cs="Arial" w:eastAsia="Arial" w:hAnsi="Arial"/>
          <w:b w:val="false"/>
          <w:bCs w:val="false"/>
          <w:sz w:val="22"/>
          <w:szCs w:val="22"/>
        </w:rPr>
        <w:t xml:space="preserve">PATNA is a non-profit organisation. Its revenue is grant and programme-based, supplemented by institutional partnerships. Financial sustainability requires diversified income streams and the ability to demonstrate measurable impact to funders.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400"/>
        <w:gridCol w:w="2560"/>
      </w:tblGrid>
      <w:tr>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0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Predictability</w:t>
            </w:r>
          </w:p>
        </w:tc>
        <w:tc>
          <w:tcPr>
            <w:tcW w:type="dxa" w:w="25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Grant Funding</w:t>
            </w:r>
          </w:p>
        </w:tc>
        <w:tc>
          <w:tcPr>
            <w:tcW w:type="dxa" w:w="3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Project-specific grants from climate funds, foundations, bilateral donors</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Low–Medium</w:t>
            </w:r>
          </w:p>
        </w:tc>
        <w:tc>
          <w:tcPr>
            <w:tcW w:type="dxa" w:w="2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Core revenue; tied to defined deliverables</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Programme Funding</w:t>
            </w:r>
          </w:p>
        </w:tc>
        <w:tc>
          <w:tcPr>
            <w:tcW w:type="dxa" w:w="3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Multi-year institutional funding for LEAP and similar programmes</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25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Growing; dependent on funder relationships</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Institutional Partnerships</w:t>
            </w:r>
          </w:p>
        </w:tc>
        <w:tc>
          <w:tcPr>
            <w:tcW w:type="dxa" w:w="3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Co-funding and in-kind from partners (AU, IMO, regional bodies)</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2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Credibility-dependent; not cash-generating</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Advisory &amp; Capacity Services</w:t>
            </w:r>
          </w:p>
        </w:tc>
        <w:tc>
          <w:tcPr>
            <w:tcW w:type="dxa" w:w="3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Government/agency support services via Work With Us</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 (early stage)</w:t>
            </w:r>
          </w:p>
        </w:tc>
        <w:tc>
          <w:tcPr>
            <w:tcW w:type="dxa" w:w="25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Emerging revenue; requires formalisation</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Events &amp; Convenings</w:t>
            </w:r>
          </w:p>
        </w:tc>
        <w:tc>
          <w:tcPr>
            <w:tcW w:type="dxa" w:w="3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Event-linked funding; co-hosting fees; participant contributions</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Low–Medium</w:t>
            </w:r>
          </w:p>
        </w:tc>
        <w:tc>
          <w:tcPr>
            <w:tcW w:type="dxa" w:w="2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Project-tied; not standalone revenue</w:t>
            </w:r>
          </w:p>
        </w:tc>
      </w:tr>
    </w:tbl>
    <w:p>
      <w:pPr>
        <w:spacing w:before="20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Block 6: Key Resources</w:t>
      </w:r>
    </w:p>
    <w:p>
      <w:pPr>
        <w:spacing w:before="80" w:after="80"/>
        <w:jc w:val="both"/>
      </w:pPr>
      <w:r>
        <w:rPr>
          <w:rFonts w:ascii="Arial" w:cs="Arial" w:eastAsia="Arial" w:hAnsi="Arial"/>
          <w:b w:val="false"/>
          <w:bCs w:val="false"/>
          <w:sz w:val="22"/>
          <w:szCs w:val="22"/>
        </w:rPr>
        <w:t xml:space="preserve">PATNA's value depends on a small set of critical assets. The most important are human — the credibility, expertise, and relationships of the Secretariat and cohort network. Data and knowledge infrastructure is an emerging resource that underpins future scalability.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3360"/>
      </w:tblGrid>
      <w:tr>
        <w:tc>
          <w:tcPr>
            <w:tcW w:type="dxa" w:w="1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Resource Type</w:t>
            </w:r>
          </w:p>
        </w:tc>
        <w:tc>
          <w:tcPr>
            <w:tcW w:type="dxa" w:w="30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1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Criticality</w:t>
            </w:r>
          </w:p>
        </w:tc>
        <w:tc>
          <w:tcPr>
            <w:tcW w:type="dxa" w:w="33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r>
      <w:tr>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Human</w:t>
            </w:r>
          </w:p>
        </w:tc>
        <w:tc>
          <w:tcPr>
            <w:tcW w:type="dxa" w:w="3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team — coordination, partnerships, delivery</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Critical</w:t>
            </w:r>
          </w:p>
        </w:tc>
        <w:tc>
          <w:tcPr>
            <w:tcW w:type="dxa" w:w="33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Small, high-capability team</w:t>
            </w:r>
          </w:p>
        </w:tc>
      </w:tr>
      <w:tr>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Human</w:t>
            </w:r>
          </w:p>
        </w:tc>
        <w:tc>
          <w:tcPr>
            <w:tcW w:type="dxa" w:w="3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Cohort network — 4 cohorts: Academic, Policy, Industry, CSO</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Critical</w:t>
            </w:r>
          </w:p>
        </w:tc>
        <w:tc>
          <w:tcPr>
            <w:tcW w:type="dxa" w:w="33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Active but unstructured digitally</w:t>
            </w:r>
          </w:p>
        </w:tc>
      </w:tr>
      <w:tr>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Human</w:t>
            </w:r>
          </w:p>
        </w:tc>
        <w:tc>
          <w:tcPr>
            <w:tcW w:type="dxa" w:w="3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Cohort Leads — subject-matter leadership</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33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Identified; roles under development</w:t>
            </w:r>
          </w:p>
        </w:tc>
      </w:tr>
      <w:tr>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Intellectual</w:t>
            </w:r>
          </w:p>
        </w:tc>
        <w:tc>
          <w:tcPr>
            <w:tcW w:type="dxa" w:w="3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PATNA brand and institutional credibility</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Critical</w:t>
            </w:r>
          </w:p>
        </w:tc>
        <w:tc>
          <w:tcPr>
            <w:tcW w:type="dxa" w:w="33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Strong in maritime/energy transition circles</w:t>
            </w:r>
          </w:p>
        </w:tc>
      </w:tr>
      <w:tr>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Intellectual</w:t>
            </w:r>
          </w:p>
        </w:tc>
        <w:tc>
          <w:tcPr>
            <w:tcW w:type="dxa" w:w="3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Knowledge outputs — reports, briefs, analysis, event outputs</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33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Accumulated but fragmented; not systematically tagged</w:t>
            </w:r>
          </w:p>
        </w:tc>
      </w:tr>
      <w:tr>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w:t>
            </w:r>
          </w:p>
        </w:tc>
        <w:tc>
          <w:tcPr>
            <w:tcW w:type="dxa" w:w="3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Member/partner data, engagement records, event records</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33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Ad-hoc; no centralised system</w:t>
            </w:r>
          </w:p>
        </w:tc>
      </w:tr>
      <w:tr>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Technology</w:t>
            </w:r>
          </w:p>
        </w:tc>
        <w:tc>
          <w:tcPr>
            <w:tcW w:type="dxa" w:w="3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Website, CMS, email tools</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33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Functional; not yet platform-grade</w:t>
            </w:r>
          </w:p>
        </w:tc>
      </w:tr>
      <w:tr>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Financial</w:t>
            </w:r>
          </w:p>
        </w:tc>
        <w:tc>
          <w:tcPr>
            <w:tcW w:type="dxa" w:w="3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Active grant portfolio</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Critical</w:t>
            </w:r>
          </w:p>
        </w:tc>
        <w:tc>
          <w:tcPr>
            <w:tcW w:type="dxa" w:w="33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Healthy but project-dependent</w:t>
            </w:r>
          </w:p>
        </w:tc>
      </w:tr>
    </w:tbl>
    <w:p>
      <w:pPr>
        <w:spacing w:before="20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Block 7: Key Activities</w:t>
      </w:r>
    </w:p>
    <w:p>
      <w:pPr>
        <w:spacing w:before="80" w:after="80"/>
        <w:jc w:val="both"/>
      </w:pPr>
      <w:r>
        <w:rPr>
          <w:rFonts w:ascii="Arial" w:cs="Arial" w:eastAsia="Arial" w:hAnsi="Arial"/>
          <w:b w:val="false"/>
          <w:bCs w:val="false"/>
          <w:sz w:val="22"/>
          <w:szCs w:val="22"/>
        </w:rPr>
        <w:t xml:space="preserve">These are the recurring activities that directly produce PATNA's value. Without them, PATNA does not function. Each represents a process that data can monitor, improve, or scale.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Data Dependency</w:t>
            </w:r>
          </w:p>
        </w:tc>
        <w:tc>
          <w:tcPr>
            <w:tcW w:type="dxa" w:w="23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Current Maturity</w:t>
            </w:r>
          </w:p>
        </w:tc>
      </w:tr>
      <w:tr>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 Convening</w:t>
            </w:r>
          </w:p>
        </w:tc>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Designing and running summits, workshops, dialogues (e.g. LEAP, Dakar, Abuja)</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Attendee data, outcome tracking, follow-up records</w:t>
            </w:r>
          </w:p>
        </w:tc>
        <w:tc>
          <w:tcPr>
            <w:tcW w:type="dxa" w:w="23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High operational; low data capture</w:t>
            </w:r>
          </w:p>
        </w:tc>
      </w:tr>
      <w:tr>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Knowledge Production</w:t>
            </w:r>
          </w:p>
        </w:tc>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Authoring, curating, and publishing research briefs, reports, and insights</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taxonomy, publication workflow, version control</w:t>
            </w:r>
          </w:p>
        </w:tc>
        <w:tc>
          <w:tcPr>
            <w:tcW w:type="dxa" w:w="23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Active; fragmented publishing</w:t>
            </w:r>
          </w:p>
        </w:tc>
      </w:tr>
      <w:tr>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Community Management</w:t>
            </w:r>
          </w:p>
        </w:tc>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Onboarding, moderating, and sustaining the expert network</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Member profiles, cohort records, engagement data</w:t>
            </w:r>
          </w:p>
        </w:tc>
        <w:tc>
          <w:tcPr>
            <w:tcW w:type="dxa" w:w="23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Manual; ad-hoc; no platform</w:t>
            </w:r>
          </w:p>
        </w:tc>
      </w:tr>
      <w:tr>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Policy Engagement &amp; Advisory</w:t>
            </w:r>
          </w:p>
        </w:tc>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Technical inputs to international processes (IMO, UNFCCC); government advisory</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Policy process calendar, member contributions, outcome data</w:t>
            </w:r>
          </w:p>
        </w:tc>
        <w:tc>
          <w:tcPr>
            <w:tcW w:type="dxa" w:w="23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Active; limited documentation</w:t>
            </w:r>
          </w:p>
        </w:tc>
      </w:tr>
      <w:tr>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Partnerships &amp; Funding</w:t>
            </w:r>
          </w:p>
        </w:tc>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Maintaining funder relationships, developing proposals, reporting impact</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Grant pipeline, activity logs, impact metrics</w:t>
            </w:r>
          </w:p>
        </w:tc>
        <w:tc>
          <w:tcPr>
            <w:tcW w:type="dxa" w:w="23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Operational; manual reporting</w:t>
            </w:r>
          </w:p>
        </w:tc>
      </w:tr>
      <w:tr>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&amp; Communications</w:t>
            </w:r>
          </w:p>
        </w:tc>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Managing website, publications, and external communications</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Web analytics, engagement data, campaign performance</w:t>
            </w:r>
          </w:p>
        </w:tc>
        <w:tc>
          <w:tcPr>
            <w:tcW w:type="dxa" w:w="23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Basic; no structured tracking</w:t>
            </w:r>
          </w:p>
        </w:tc>
      </w:tr>
    </w:tbl>
    <w:p>
      <w:pPr>
        <w:spacing w:before="20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Block 8: Key Partnerships</w:t>
      </w:r>
    </w:p>
    <w:p>
      <w:pPr>
        <w:spacing w:before="80" w:after="80"/>
        <w:jc w:val="both"/>
      </w:pPr>
      <w:r>
        <w:rPr>
          <w:rFonts w:ascii="Arial" w:cs="Arial" w:eastAsia="Arial" w:hAnsi="Arial"/>
          <w:b w:val="false"/>
          <w:bCs w:val="false"/>
          <w:sz w:val="22"/>
          <w:szCs w:val="22"/>
        </w:rPr>
        <w:t xml:space="preserve">PATNA's partnerships are force multipliers. They extend reach, add credibility, and open doors to funding and convening opportunities. Some are operationally critical; others are strategic.</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800"/>
        <w:gridCol w:w="2360"/>
      </w:tblGrid>
      <w:tr>
        <w:tc>
          <w:tcPr>
            <w:tcW w:type="dxa" w:w="2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Partner</w:t>
            </w:r>
          </w:p>
        </w:tc>
        <w:tc>
          <w:tcPr>
            <w:tcW w:type="dxa" w:w="1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Contribution</w:t>
            </w:r>
          </w:p>
        </w:tc>
        <w:tc>
          <w:tcPr>
            <w:tcW w:type="dxa" w:w="23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Dependency Level</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African Union (AU)</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Institutional/Strategic</w:t>
            </w:r>
          </w:p>
        </w:tc>
        <w:tc>
          <w:tcPr>
            <w:tcW w:type="dxa" w:w="2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Continental legitimacy and reach; co-convening</w:t>
            </w:r>
          </w:p>
        </w:tc>
        <w:tc>
          <w:tcPr>
            <w:tcW w:type="dxa" w:w="23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International Maritime Organization (IMO)</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Regulatory/Strategic</w:t>
            </w:r>
          </w:p>
        </w:tc>
        <w:tc>
          <w:tcPr>
            <w:tcW w:type="dxa" w:w="2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Process access; global credibility; LEAP anchor</w:t>
            </w:r>
          </w:p>
        </w:tc>
        <w:tc>
          <w:tcPr>
            <w:tcW w:type="dxa" w:w="23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MOWCA / MOESNA</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Regional body</w:t>
            </w:r>
          </w:p>
        </w:tc>
        <w:tc>
          <w:tcPr>
            <w:tcW w:type="dxa" w:w="2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West &amp; East African maritime coordination</w:t>
            </w:r>
          </w:p>
        </w:tc>
        <w:tc>
          <w:tcPr>
            <w:tcW w:type="dxa" w:w="23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University partners (UCL, Nairobi, Lagos, etc.)</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Academic</w:t>
            </w:r>
          </w:p>
        </w:tc>
        <w:tc>
          <w:tcPr>
            <w:tcW w:type="dxa" w:w="2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Research capacity; academic credibility; PATNA Academic Cohort pipeline</w:t>
            </w:r>
          </w:p>
        </w:tc>
        <w:tc>
          <w:tcPr>
            <w:tcW w:type="dxa" w:w="23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National agencies (NIMASA, Ghana Maritime Authority, ANAM)</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Government</w:t>
            </w:r>
          </w:p>
        </w:tc>
        <w:tc>
          <w:tcPr>
            <w:tcW w:type="dxa" w:w="2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State-level engagement; implementation pathways</w:t>
            </w:r>
          </w:p>
        </w:tc>
        <w:tc>
          <w:tcPr>
            <w:tcW w:type="dxa" w:w="23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Climate/energy funders</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Financial</w:t>
            </w:r>
          </w:p>
        </w:tc>
        <w:tc>
          <w:tcPr>
            <w:tcW w:type="dxa" w:w="2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Grants and programme funding</w:t>
            </w:r>
          </w:p>
        </w:tc>
        <w:tc>
          <w:tcPr>
            <w:tcW w:type="dxa" w:w="23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Critical</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AGNES / AMAG</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Technical network</w:t>
            </w:r>
          </w:p>
        </w:tc>
        <w:tc>
          <w:tcPr>
            <w:tcW w:type="dxa" w:w="2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Negotiator community; expertise access</w:t>
            </w:r>
          </w:p>
        </w:tc>
        <w:tc>
          <w:tcPr>
            <w:tcW w:type="dxa" w:w="23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Technology partners (platform development)</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Operational</w:t>
            </w:r>
          </w:p>
        </w:tc>
        <w:tc>
          <w:tcPr>
            <w:tcW w:type="dxa" w:w="2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Platform build and maintenance capability</w:t>
            </w:r>
          </w:p>
        </w:tc>
        <w:tc>
          <w:tcPr>
            <w:tcW w:type="dxa" w:w="23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 (growing)</w:t>
            </w:r>
          </w:p>
        </w:tc>
      </w:tr>
    </w:tbl>
    <w:p>
      <w:pPr>
        <w:spacing w:before="20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Block 9: Cost Structure</w:t>
      </w:r>
    </w:p>
    <w:p>
      <w:pPr>
        <w:spacing w:before="80" w:after="80"/>
        <w:jc w:val="both"/>
      </w:pPr>
      <w:r>
        <w:rPr>
          <w:rFonts w:ascii="Arial" w:cs="Arial" w:eastAsia="Arial" w:hAnsi="Arial"/>
          <w:b w:val="false"/>
          <w:bCs w:val="false"/>
          <w:sz w:val="22"/>
          <w:szCs w:val="22"/>
        </w:rPr>
        <w:t xml:space="preserve">PATNA's costs are primarily people-driven (Secretariat, expertise) and activity-driven (events, programmes). Technology is currently a modest cost centre but will grow as the digital platform matures.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gridCol w:w="2560"/>
      </w:tblGrid>
      <w:tr>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28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Fixed/Variable</w:t>
            </w:r>
          </w:p>
        </w:tc>
        <w:tc>
          <w:tcPr>
            <w:tcW w:type="dxa" w:w="25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People — Secretariat</w:t>
            </w:r>
          </w:p>
        </w:tc>
        <w:tc>
          <w:tcPr>
            <w:tcW w:type="dxa" w:w="2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Core team salaries, coordination, leadership</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Fixed</w:t>
            </w:r>
          </w:p>
        </w:tc>
        <w:tc>
          <w:tcPr>
            <w:tcW w:type="dxa" w:w="2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Largest cost driver; essential</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People — Expert Fees</w:t>
            </w:r>
          </w:p>
        </w:tc>
        <w:tc>
          <w:tcPr>
            <w:tcW w:type="dxa" w:w="2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Cohort experts, advisory fees, consultants</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Variable</w:t>
            </w:r>
          </w:p>
        </w:tc>
        <w:tc>
          <w:tcPr>
            <w:tcW w:type="dxa" w:w="25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Project-tied; grows with activity</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Events &amp; Convenings</w:t>
            </w:r>
          </w:p>
        </w:tc>
        <w:tc>
          <w:tcPr>
            <w:tcW w:type="dxa" w:w="2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Venue, logistics, travel, facilitation</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Variable</w:t>
            </w:r>
          </w:p>
        </w:tc>
        <w:tc>
          <w:tcPr>
            <w:tcW w:type="dxa" w:w="2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High per-event cost; funded through programmes</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Technology &amp; Platform</w:t>
            </w:r>
          </w:p>
        </w:tc>
        <w:tc>
          <w:tcPr>
            <w:tcW w:type="dxa" w:w="2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Website hosting, CMS, tools; growing with platform development</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Mixed</w:t>
            </w:r>
          </w:p>
        </w:tc>
        <w:tc>
          <w:tcPr>
            <w:tcW w:type="dxa" w:w="25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Currently low; increasing with Phase 1/2 build</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Knowledge Production</w:t>
            </w:r>
          </w:p>
        </w:tc>
        <w:tc>
          <w:tcPr>
            <w:tcW w:type="dxa" w:w="2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Research, publications, translations</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Variable</w:t>
            </w:r>
          </w:p>
        </w:tc>
        <w:tc>
          <w:tcPr>
            <w:tcW w:type="dxa" w:w="2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Multilingual costs increasing (EN/FR/PT/AR)</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Programme Delivery</w:t>
            </w:r>
          </w:p>
        </w:tc>
        <w:tc>
          <w:tcPr>
            <w:tcW w:type="dxa" w:w="2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LEAP and other programme costs</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Variable</w:t>
            </w:r>
          </w:p>
        </w:tc>
        <w:tc>
          <w:tcPr>
            <w:tcW w:type="dxa" w:w="25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Grant-funded; tied to funder timelines</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Overhead &amp; Operations</w:t>
            </w:r>
          </w:p>
        </w:tc>
        <w:tc>
          <w:tcPr>
            <w:tcW w:type="dxa" w:w="2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Finance, legal, communications, administration</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Fixed</w:t>
            </w:r>
          </w:p>
        </w:tc>
        <w:tc>
          <w:tcPr>
            <w:tcW w:type="dxa" w:w="2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Lean; proportionate to team size</w:t>
            </w:r>
          </w:p>
        </w:tc>
      </w:tr>
    </w:tbl>
    <w:p>
      <w:pPr>
        <w:spacing w:before="200" w:after="0"/>
      </w:pPr>
      <w:r>
        <w:t xml:space="preserve"/>
      </w:r>
    </w:p>
    <w:p>
      <w:pPr>
        <w:pStyle w:val="Heading3"/>
        <w:spacing w:before="220" w:after="80"/>
      </w:pPr>
      <w:r>
        <w:rPr>
          <w:rFonts w:ascii="Arial" w:cs="Arial" w:eastAsia="Arial" w:hAnsi="Arial"/>
          <w:b/>
          <w:bCs/>
          <w:color w:val="03529d"/>
          <w:sz w:val="24"/>
          <w:szCs w:val="24"/>
        </w:rPr>
        <w:t xml:space="preserve">Business Model Canvas — Summary View</w:t>
      </w:r>
    </w:p>
    <w:p>
      <w:pPr>
        <w:spacing w:before="80" w:after="0"/>
      </w:pPr>
      <w:r>
        <w:t xml:space="preserve"/>
      </w:r>
    </w:p>
    <w:p>
      <w:pPr>
        <w:spacing w:before="80" w:after="80"/>
        <w:jc w:val="both"/>
      </w:pPr>
      <w:r>
        <w:rPr>
          <w:rFonts w:ascii="Arial" w:cs="Arial" w:eastAsia="Arial" w:hAnsi="Arial"/>
          <w:b w:val="false"/>
          <w:bCs w:val="false"/>
          <w:sz w:val="22"/>
          <w:szCs w:val="22"/>
        </w:rPr>
        <w:t xml:space="preserve">The canvas below provides a consolidated view of the nine blocks, highlighting how PATNA creates value from its current capabilities and relationships.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50"/>
        <w:gridCol w:w="1885"/>
        <w:gridCol w:w="1885"/>
      </w:tblGrid>
      <w:tr>
        <w:tc>
          <w:tcPr>
            <w:tcW w:type="dxa" w:w="1870"/>
            <w:tcBorders>
              <w:top w:val="single" w:color="03529d" w:sz="2"/>
              <w:left w:val="single" w:color="03529d" w:sz="2"/>
              <w:bottom w:val="single" w:color="03529d" w:sz="2"/>
              <w:right w:val="single" w:color="03529d" w:sz="2"/>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Key Partnerships</w:t>
            </w:r>
          </w:p>
        </w:tc>
        <w:tc>
          <w:tcPr>
            <w:tcW w:type="dxa" w:w="1870"/>
            <w:tcBorders>
              <w:top w:val="single" w:color="03529d" w:sz="2"/>
              <w:left w:val="single" w:color="03529d" w:sz="2"/>
              <w:bottom w:val="single" w:color="03529d" w:sz="2"/>
              <w:right w:val="single" w:color="03529d" w:sz="2"/>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1850"/>
            <w:tcBorders>
              <w:top w:val="single" w:color="03529d" w:sz="2"/>
              <w:left w:val="single" w:color="03529d" w:sz="2"/>
              <w:bottom w:val="single" w:color="03529d" w:sz="2"/>
              <w:right w:val="single" w:color="03529d" w:sz="2"/>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Value Propositions</w:t>
            </w:r>
          </w:p>
        </w:tc>
        <w:tc>
          <w:tcPr>
            <w:tcW w:type="dxa" w:w="1885"/>
            <w:tcBorders>
              <w:top w:val="single" w:color="03529d" w:sz="2"/>
              <w:left w:val="single" w:color="03529d" w:sz="2"/>
              <w:bottom w:val="single" w:color="03529d" w:sz="2"/>
              <w:right w:val="single" w:color="03529d" w:sz="2"/>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Customer Relationships</w:t>
            </w:r>
          </w:p>
        </w:tc>
        <w:tc>
          <w:tcPr>
            <w:tcW w:type="dxa" w:w="1885"/>
            <w:tcBorders>
              <w:top w:val="single" w:color="03529d" w:sz="2"/>
              <w:left w:val="single" w:color="03529d" w:sz="2"/>
              <w:bottom w:val="single" w:color="03529d" w:sz="2"/>
              <w:right w:val="single" w:color="03529d" w:sz="2"/>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Customer Segments</w:t>
            </w:r>
          </w:p>
        </w:tc>
      </w:tr>
      <w:tr>
        <w:tc>
          <w:tcPr>
            <w:tcW w:type="dxa" w:w="1870"/>
            <w:tcBorders>
              <w:top w:val="single" w:color="03529d" w:sz="2"/>
              <w:left w:val="single" w:color="03529d" w:sz="2"/>
              <w:bottom w:val="single" w:color="03529d" w:sz="2"/>
              <w:right w:val="single" w:color="03529d" w:sz="2"/>
            </w:tcBorders>
            <w:shd w:fill="b9e8fa" w:val="clear"/>
            <w:tcMar>
              <w:top w:type="dxa" w:w="80"/>
              <w:left w:type="dxa" w:w="120"/>
              <w:bottom w:type="dxa" w:w="80"/>
              <w:right w:type="dxa" w:w="120"/>
            </w:tcMar>
          </w:tcPr>
          <w:p>
            <w:pPr>
              <w:jc w:val="left"/>
            </w:pPr>
            <w:r>
              <w:rPr>
                <w:rFonts w:ascii="Arial" w:cs="Arial" w:eastAsia="Arial" w:hAnsi="Arial"/>
                <w:sz w:val="19"/>
                <w:szCs w:val="19"/>
              </w:rPr>
              <w:t xml:space="preserve">AU, IMO, MOWCA, University partners, National agencies, Climate funders</w:t>
            </w:r>
          </w:p>
        </w:tc>
        <w:tc>
          <w:tcPr>
            <w:tcW w:type="dxa" w:w="1870"/>
            <w:tcBorders>
              <w:top w:val="single" w:color="03529d" w:sz="2"/>
              <w:left w:val="single" w:color="03529d" w:sz="2"/>
              <w:bottom w:val="single" w:color="03529d" w:sz="2"/>
              <w:right w:val="single" w:color="03529d" w:sz="2"/>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Event convening, Knowledge production, Community management, Policy engagement, Partnerships &amp; funding</w:t>
            </w:r>
          </w:p>
        </w:tc>
        <w:tc>
          <w:tcPr>
            <w:tcW w:type="dxa" w:w="1850"/>
            <w:tcBorders>
              <w:top w:val="single" w:color="03529d" w:sz="2"/>
              <w:left w:val="single" w:color="03529d" w:sz="2"/>
              <w:bottom w:val="single" w:color="03529d" w:sz="2"/>
              <w:right w:val="single" w:color="03529d" w:sz="2"/>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Coordinated African positions; institutional capacity; evidence-based decision support; trusted expert network</w:t>
            </w:r>
          </w:p>
        </w:tc>
        <w:tc>
          <w:tcPr>
            <w:tcW w:type="dxa" w:w="1885"/>
            <w:tcBorders>
              <w:top w:val="single" w:color="03529d" w:sz="2"/>
              <w:left w:val="single" w:color="03529d" w:sz="2"/>
              <w:bottom w:val="single" w:color="03529d" w:sz="2"/>
              <w:right w:val="single" w:color="03529d" w:sz="2"/>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High-trust personal; cohort-based peer; institutional; advisory; public awareness</w:t>
            </w:r>
          </w:p>
        </w:tc>
        <w:tc>
          <w:tcPr>
            <w:tcW w:type="dxa" w:w="1885"/>
            <w:tcBorders>
              <w:top w:val="single" w:color="03529d" w:sz="2"/>
              <w:left w:val="single" w:color="03529d" w:sz="2"/>
              <w:bottom w:val="single" w:color="03529d" w:sz="2"/>
              <w:right w:val="single" w:color="03529d" w:sz="2"/>
            </w:tcBorders>
            <w:shd w:fill="b9e8fa" w:val="clear"/>
            <w:tcMar>
              <w:top w:type="dxa" w:w="80"/>
              <w:left w:type="dxa" w:w="120"/>
              <w:bottom w:type="dxa" w:w="80"/>
              <w:right w:type="dxa" w:w="120"/>
            </w:tcMar>
          </w:tcPr>
          <w:p>
            <w:pPr>
              <w:jc w:val="left"/>
            </w:pPr>
            <w:r>
              <w:rPr>
                <w:rFonts w:ascii="Arial" w:cs="Arial" w:eastAsia="Arial" w:hAnsi="Arial"/>
                <w:sz w:val="19"/>
                <w:szCs w:val="19"/>
              </w:rPr>
              <w:t xml:space="preserve">African governments, Policymakers, Technical experts (4 cohorts), Funders, Institutional partners</w:t>
            </w:r>
          </w:p>
        </w:tc>
      </w:tr>
      <w:tr>
        <w:tc>
          <w:tcPr>
            <w:tcW w:type="dxa" w:w="1870"/>
            <w:tcBorders>
              <w:top w:val="single" w:color="03529d" w:sz="2"/>
              <w:left w:val="single" w:color="03529d" w:sz="2"/>
              <w:bottom w:val="single" w:color="03529d" w:sz="2"/>
              <w:right w:val="single" w:color="03529d" w:sz="2"/>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870"/>
            <w:tcBorders>
              <w:top w:val="single" w:color="03529d" w:sz="2"/>
              <w:left w:val="single" w:color="03529d" w:sz="2"/>
              <w:bottom w:val="single" w:color="03529d" w:sz="2"/>
              <w:right w:val="single" w:color="03529d" w:sz="2"/>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Key Resources</w:t>
            </w:r>
          </w:p>
        </w:tc>
        <w:tc>
          <w:tcPr>
            <w:tcW w:type="dxa" w:w="1850"/>
            <w:tcBorders>
              <w:top w:val="single" w:color="03529d" w:sz="2"/>
              <w:left w:val="single" w:color="03529d" w:sz="2"/>
              <w:bottom w:val="single" w:color="03529d" w:sz="2"/>
              <w:right w:val="single" w:color="03529d" w:sz="2"/>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885"/>
            <w:tcBorders>
              <w:top w:val="single" w:color="03529d" w:sz="2"/>
              <w:left w:val="single" w:color="03529d" w:sz="2"/>
              <w:bottom w:val="single" w:color="03529d" w:sz="2"/>
              <w:right w:val="single" w:color="03529d" w:sz="2"/>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Channels</w:t>
            </w:r>
          </w:p>
        </w:tc>
        <w:tc>
          <w:tcPr>
            <w:tcW w:type="dxa" w:w="1885"/>
            <w:tcBorders>
              <w:top w:val="single" w:color="03529d" w:sz="2"/>
              <w:left w:val="single" w:color="03529d" w:sz="2"/>
              <w:bottom w:val="single" w:color="03529d" w:sz="2"/>
              <w:right w:val="single" w:color="03529d" w:sz="2"/>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1870"/>
            <w:tcBorders>
              <w:top w:val="single" w:color="03529d" w:sz="2"/>
              <w:left w:val="single" w:color="03529d" w:sz="2"/>
              <w:bottom w:val="single" w:color="03529d" w:sz="2"/>
              <w:right w:val="single" w:color="03529d" w:sz="2"/>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870"/>
            <w:tcBorders>
              <w:top w:val="single" w:color="03529d" w:sz="2"/>
              <w:left w:val="single" w:color="03529d" w:sz="2"/>
              <w:bottom w:val="single" w:color="03529d" w:sz="2"/>
              <w:right w:val="single" w:color="03529d" w:sz="2"/>
            </w:tcBorders>
            <w:shd w:fill="b9e8fa" w:val="clear"/>
            <w:tcMar>
              <w:top w:type="dxa" w:w="80"/>
              <w:left w:type="dxa" w:w="120"/>
              <w:bottom w:type="dxa" w:w="80"/>
              <w:right w:type="dxa" w:w="120"/>
            </w:tcMar>
          </w:tcPr>
          <w:p>
            <w:pPr>
              <w:jc w:val="left"/>
            </w:pPr>
            <w:r>
              <w:rPr>
                <w:rFonts w:ascii="Arial" w:cs="Arial" w:eastAsia="Arial" w:hAnsi="Arial"/>
                <w:sz w:val="19"/>
                <w:szCs w:val="19"/>
              </w:rPr>
              <w:t xml:space="preserve">Secretariat team, Cohort network (4 cohorts), PATNA brand &amp; credibility, Knowledge outputs, Grant portfolio</w:t>
            </w:r>
          </w:p>
        </w:tc>
        <w:tc>
          <w:tcPr>
            <w:tcW w:type="dxa" w:w="1850"/>
            <w:tcBorders>
              <w:top w:val="single" w:color="03529d" w:sz="2"/>
              <w:left w:val="single" w:color="03529d" w:sz="2"/>
              <w:bottom w:val="single" w:color="03529d" w:sz="2"/>
              <w:right w:val="single" w:color="03529d" w:sz="2"/>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c>
          <w:tcPr>
            <w:tcW w:type="dxa" w:w="1885"/>
            <w:tcBorders>
              <w:top w:val="single" w:color="03529d" w:sz="2"/>
              <w:left w:val="single" w:color="03529d" w:sz="2"/>
              <w:bottom w:val="single" w:color="03529d" w:sz="2"/>
              <w:right w:val="single" w:color="03529d" w:sz="2"/>
            </w:tcBorders>
            <w:shd w:fill="b9e8fa" w:val="clear"/>
            <w:tcMar>
              <w:top w:type="dxa" w:w="80"/>
              <w:left w:type="dxa" w:w="120"/>
              <w:bottom w:type="dxa" w:w="80"/>
              <w:right w:type="dxa" w:w="120"/>
            </w:tcMar>
          </w:tcPr>
          <w:p>
            <w:pPr>
              <w:jc w:val="left"/>
            </w:pPr>
            <w:r>
              <w:rPr>
                <w:rFonts w:ascii="Arial" w:cs="Arial" w:eastAsia="Arial" w:hAnsi="Arial"/>
                <w:sz w:val="19"/>
                <w:szCs w:val="19"/>
              </w:rPr>
              <w:t xml:space="preserve">Events &amp; Summits, Public Website, Email outreach, Partner networks, Community Platform (in dev)</w:t>
            </w:r>
          </w:p>
        </w:tc>
        <w:tc>
          <w:tcPr>
            <w:tcW w:type="dxa" w:w="1885"/>
            <w:tcBorders>
              <w:top w:val="single" w:color="03529d" w:sz="2"/>
              <w:left w:val="single" w:color="03529d" w:sz="2"/>
              <w:bottom w:val="single" w:color="03529d" w:sz="2"/>
              <w:right w:val="single" w:color="03529d" w:sz="2"/>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
            </w:r>
          </w:p>
        </w:tc>
      </w:tr>
      <w:tr>
        <w:tc>
          <w:tcPr>
            <w:tcW w:type="dxa" w:w="3740"/>
            <w:tcBorders>
              <w:top w:val="single" w:color="03529d" w:sz="2"/>
              <w:left w:val="single" w:color="03529d" w:sz="2"/>
              <w:bottom w:val="single" w:color="03529d" w:sz="2"/>
              <w:right w:val="single" w:color="03529d" w:sz="2"/>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Cost Structure</w:t>
            </w:r>
          </w:p>
        </w:tc>
        <w:tc>
          <w:tcPr>
            <w:tcW w:type="dxa" w:w="5620"/>
            <w:tcBorders>
              <w:top w:val="single" w:color="03529d" w:sz="2"/>
              <w:left w:val="single" w:color="03529d" w:sz="2"/>
              <w:bottom w:val="single" w:color="03529d" w:sz="2"/>
              <w:right w:val="single" w:color="03529d" w:sz="2"/>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Revenue Streams</w:t>
            </w:r>
          </w:p>
        </w:tc>
      </w:tr>
      <w:tr>
        <w:tc>
          <w:tcPr>
            <w:tcW w:type="dxa" w:w="3740"/>
            <w:tcBorders>
              <w:top w:val="single" w:color="03529d" w:sz="2"/>
              <w:left w:val="single" w:color="03529d" w:sz="2"/>
              <w:bottom w:val="single" w:color="03529d" w:sz="2"/>
              <w:right w:val="single" w:color="03529d" w:sz="2"/>
            </w:tcBorders>
            <w:shd w:fill="b9e8fa" w:val="clear"/>
            <w:tcMar>
              <w:top w:type="dxa" w:w="80"/>
              <w:left w:type="dxa" w:w="120"/>
              <w:bottom w:type="dxa" w:w="80"/>
              <w:right w:type="dxa" w:w="120"/>
            </w:tcMar>
          </w:tcPr>
          <w:p>
            <w:pPr>
              <w:jc w:val="left"/>
            </w:pPr>
            <w:r>
              <w:rPr>
                <w:rFonts w:ascii="Arial" w:cs="Arial" w:eastAsia="Arial" w:hAnsi="Arial"/>
                <w:sz w:val="19"/>
                <w:szCs w:val="19"/>
              </w:rPr>
              <w:t xml:space="preserve">People (Secretariat + expert fees) | Events &amp; convenings | Technology &amp; platform | Knowledge production | Programme delivery | Overhead</w:t>
            </w:r>
          </w:p>
        </w:tc>
        <w:tc>
          <w:tcPr>
            <w:tcW w:type="dxa" w:w="5620"/>
            <w:tcBorders>
              <w:top w:val="single" w:color="03529d" w:sz="2"/>
              <w:left w:val="single" w:color="03529d" w:sz="2"/>
              <w:bottom w:val="single" w:color="03529d" w:sz="2"/>
              <w:right w:val="single" w:color="03529d" w:sz="2"/>
            </w:tcBorders>
            <w:shd w:fill="ffffff" w:val="clear"/>
            <w:tcMar>
              <w:top w:type="dxa" w:w="80"/>
              <w:left w:type="dxa" w:w="120"/>
              <w:bottom w:type="dxa" w:w="80"/>
              <w:right w:type="dxa" w:w="120"/>
            </w:tcMar>
          </w:tcPr>
          <w:p>
            <w:pPr>
              <w:jc w:val="left"/>
            </w:pPr>
            <w:r>
              <w:rPr>
                <w:rFonts w:ascii="Arial" w:cs="Arial" w:eastAsia="Arial" w:hAnsi="Arial"/>
                <w:sz w:val="19"/>
                <w:szCs w:val="19"/>
              </w:rPr>
              <w:t xml:space="preserve">Grant funding | Programme funding (LEAP) | Institutional partnerships | Advisory &amp; capacity services | Event-linked funding</w:t>
            </w:r>
          </w:p>
        </w:tc>
      </w:tr>
    </w:tbl>
    <w:p>
      <w:r>
        <w:br w:type="page"/>
      </w:r>
    </w:p>
    <w:p>
      <w:pPr>
        <w:shd w:fill="03529d" w:val="clear"/>
        <w:spacing w:before="240" w:after="80"/>
        <w:ind w:left="200" w:right="200"/>
        <w:jc w:val="left"/>
      </w:pPr>
      <w:r>
        <w:rPr>
          <w:rFonts w:ascii="Arial" w:cs="Arial" w:eastAsia="Arial" w:hAnsi="Arial"/>
          <w:b/>
          <w:bCs/>
          <w:color w:val="b9e8fa"/>
          <w:sz w:val="20"/>
          <w:szCs w:val="20"/>
        </w:rPr>
        <w:t xml:space="preserve">STEP 2</w:t>
      </w:r>
    </w:p>
    <w:p>
      <w:pPr>
        <w:pStyle w:val="Heading1"/>
        <w:shd w:fill="03529d" w:val="clear"/>
        <w:spacing w:before="0" w:after="160"/>
        <w:ind w:left="200" w:right="200"/>
        <w:jc w:val="left"/>
      </w:pPr>
      <w:r>
        <w:rPr>
          <w:rFonts w:ascii="Arial" w:cs="Arial" w:eastAsia="Arial" w:hAnsi="Arial"/>
          <w:b/>
          <w:bCs/>
          <w:color w:val="ffffff"/>
          <w:sz w:val="40"/>
          <w:szCs w:val="40"/>
        </w:rPr>
        <w:t xml:space="preserve">Data &amp; KPI Mapping</w:t>
      </w:r>
    </w:p>
    <w:p>
      <w:pPr>
        <w:spacing w:before="160" w:after="0"/>
      </w:pPr>
      <w:r>
        <w:t xml:space="preserve"/>
      </w:r>
    </w:p>
    <w:p>
      <w:pPr>
        <w:spacing w:before="80" w:after="80"/>
        <w:jc w:val="both"/>
      </w:pPr>
      <w:r>
        <w:rPr>
          <w:rFonts w:ascii="Arial" w:cs="Arial" w:eastAsia="Arial" w:hAnsi="Arial"/>
          <w:b w:val="false"/>
          <w:bCs w:val="false"/>
          <w:sz w:val="22"/>
          <w:szCs w:val="22"/>
        </w:rPr>
        <w:t xml:space="preserve">Now that the business model is mapped, we can answer the critical question: how do we know each part is working? This step translates every block of the Business Model Canvas into specific data requirements and key performance indicators (KPIs) that inform real decisions.</w:t>
      </w:r>
    </w:p>
    <w:p>
      <w:pPr>
        <w:spacing w:before="80" w:after="0"/>
      </w:pPr>
      <w:r>
        <w:t xml:space="preserve"/>
      </w:r>
    </w:p>
    <w:p>
      <w:pPr>
        <w:spacing w:before="80" w:after="80"/>
        <w:jc w:val="both"/>
      </w:pPr>
      <w:r>
        <w:rPr>
          <w:rFonts w:ascii="Arial" w:cs="Arial" w:eastAsia="Arial" w:hAnsi="Arial"/>
          <w:b w:val="false"/>
          <w:bCs w:val="false"/>
          <w:sz w:val="22"/>
          <w:szCs w:val="22"/>
        </w:rPr>
        <w:t xml:space="preserve">The core rule of this step is that every KPI must answer a business question. If a metric does not inform a decision, it does not belong here. This discipline prevents the accumulation of vanity metrics and ensures PATNA's reporting focuses on what creates and sustains value.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1"/>
              <w:left w:val="single" w:color="03529d" w:sz="1"/>
              <w:bottom w:val="single" w:color="03529d" w:sz="1"/>
              <w:right w:val="single" w:color="03529d" w:sz="1"/>
            </w:tcBorders>
            <w:shd w:fill="b9e8fa" w:val="clear"/>
            <w:tcMar>
              <w:top w:type="dxa" w:w="120"/>
              <w:left w:type="dxa" w:w="200"/>
              <w:bottom w:type="dxa" w:w="120"/>
              <w:right w:type="dxa" w:w="200"/>
            </w:tcMar>
          </w:tcPr>
          <w:p>
            <w:pPr>
              <w:spacing w:before="0" w:after="80"/>
            </w:pPr>
            <w:r>
              <w:rPr>
                <w:rFonts w:ascii="Arial" w:cs="Arial" w:eastAsia="Arial" w:hAnsi="Arial"/>
                <w:b/>
                <w:bCs/>
                <w:color w:val="03529d"/>
                <w:sz w:val="22"/>
                <w:szCs w:val="22"/>
              </w:rPr>
              <w:t xml:space="preserve">Design Principle</w:t>
            </w:r>
          </w:p>
          <w:p>
            <w:pPr>
              <w:jc w:val="both"/>
            </w:pPr>
            <w:r>
              <w:rPr>
                <w:rFonts w:ascii="Arial" w:cs="Arial" w:eastAsia="Arial" w:hAnsi="Arial"/>
                <w:color w:val="1a1a1a"/>
                <w:sz w:val="21"/>
                <w:szCs w:val="21"/>
              </w:rPr>
              <w:t xml:space="preserve">PATNA operates as a non-profit with mission-driven value creation. Its KPIs therefore reflect both operational health (efficiency, reach, engagement) and mission impact (policy influence, knowledge uptake, African representation). Both dimensions must be tracked.</w:t>
            </w:r>
          </w:p>
        </w:tc>
      </w:tr>
    </w:tbl>
    <w:p>
      <w:pPr>
        <w:spacing w:before="24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KPI Block 1: Customer Segments</w:t>
      </w:r>
    </w:p>
    <w:p>
      <w:pPr>
        <w:spacing w:before="80" w:after="80"/>
        <w:jc w:val="both"/>
      </w:pPr>
      <w:r>
        <w:rPr>
          <w:rFonts w:ascii="Arial" w:cs="Arial" w:eastAsia="Arial" w:hAnsi="Arial"/>
          <w:b w:val="false"/>
          <w:bCs w:val="false"/>
          <w:sz w:val="22"/>
          <w:szCs w:val="22"/>
        </w:rPr>
        <w:t xml:space="preserve">Business Intent: Understand who PATNA actually serves and whether the community is growing, active, and representative.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1200"/>
        <w:gridCol w:w="1960"/>
      </w:tblGrid>
      <w:tr>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KPI / Metric</w:t>
            </w:r>
          </w:p>
        </w:tc>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Data Required</w:t>
            </w:r>
          </w:p>
        </w:tc>
        <w:tc>
          <w:tcPr>
            <w:tcW w:type="dxa" w:w="1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Decision Supported</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Active members by cohort</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User activity logs; last login; engagement events</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Community health; cohort balance assessment</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Member retention rate (12-month)</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Join date; last active date; churn events</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Platform value assessment; intervention triggers</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Application conversion rate</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Applications submitted vs. approved vs. active</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Onboarding effectiveness; screening quality</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Geographic representation</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Country of residence in member profiles</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Inclusion assessment; outreach targeting</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Cohort composition balance</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Members per cohort (Academic/Policy/Industry/CSO)</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Cohort Leads</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Balance strategy; targeted recruitment</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New member growth rate</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New user accounts per period</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Community growth tracking; recruitment ROI</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Partner/institutional engagement rate</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 interactions, event participation, content contributions</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Partnership value assessment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1"/>
              <w:left w:val="single" w:color="03529d" w:sz="1"/>
              <w:bottom w:val="single" w:color="03529d" w:sz="1"/>
              <w:right w:val="single" w:color="03529d" w:sz="1"/>
            </w:tcBorders>
            <w:shd w:fill="fff3cd" w:val="clear"/>
            <w:tcMar>
              <w:top w:type="dxa" w:w="120"/>
              <w:left w:type="dxa" w:w="200"/>
              <w:bottom w:type="dxa" w:w="120"/>
              <w:right w:type="dxa" w:w="200"/>
            </w:tcMar>
          </w:tcPr>
          <w:p>
            <w:pPr>
              <w:spacing w:before="0" w:after="80"/>
            </w:pPr>
            <w:r>
              <w:rPr>
                <w:rFonts w:ascii="Arial" w:cs="Arial" w:eastAsia="Arial" w:hAnsi="Arial"/>
                <w:b/>
                <w:bCs/>
                <w:color w:val="03529d"/>
                <w:sz w:val="22"/>
                <w:szCs w:val="22"/>
              </w:rPr>
              <w:t xml:space="preserve">Current Data Gap</w:t>
            </w:r>
          </w:p>
          <w:p>
            <w:pPr>
              <w:jc w:val="both"/>
            </w:pPr>
            <w:r>
              <w:rPr>
                <w:rFonts w:ascii="Arial" w:cs="Arial" w:eastAsia="Arial" w:hAnsi="Arial"/>
                <w:color w:val="1a1a1a"/>
                <w:sz w:val="21"/>
                <w:szCs w:val="21"/>
              </w:rPr>
              <w:t xml:space="preserve">No centralised member database exists. Member records are held in email lists, spreadsheets, and informal records. A core outcome of the platform MVP must be establishing a single source of truth for member data.</w:t>
            </w:r>
          </w:p>
        </w:tc>
      </w:tr>
    </w:tbl>
    <w:p>
      <w:pPr>
        <w:spacing w:before="24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KPI Block 2: Value Proposition Delivery</w:t>
      </w:r>
    </w:p>
    <w:p>
      <w:pPr>
        <w:spacing w:before="80" w:after="80"/>
        <w:jc w:val="both"/>
      </w:pPr>
      <w:r>
        <w:rPr>
          <w:rFonts w:ascii="Arial" w:cs="Arial" w:eastAsia="Arial" w:hAnsi="Arial"/>
          <w:b w:val="false"/>
          <w:bCs w:val="false"/>
          <w:sz w:val="22"/>
          <w:szCs w:val="22"/>
        </w:rPr>
        <w:t xml:space="preserve">Business Intent: Measure whether PATNA is actually delivering the value it promises — coordinated positions, knowledge access, capacity building, and credibility in global processes.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1600"/>
        <w:gridCol w:w="1760"/>
      </w:tblGrid>
      <w:tr>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KPI / Metric</w:t>
            </w:r>
          </w:p>
        </w:tc>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Data Required</w:t>
            </w:r>
          </w:p>
        </w:tc>
        <w:tc>
          <w:tcPr>
            <w:tcW w:type="dxa" w:w="1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7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Decision Supported</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Knowledge content published (by type)</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item records in Insights Hub; type classification</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Editor</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strategy; resource allocation</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downloads/views by cohort relevance</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View counts; download events; cohort tag engagement</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Editor</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resonance; tagging effectiveness</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Policy process contributions made</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Policy submission records; member participation logs</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Per event/process</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Policy engagement effectiveness</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Member NPS / satisfaction score</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Periodic survey; in-platform feedback mechanism</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Bi-annual</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Value perception; platform iteration priorities</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Events held and participants reached</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 records; attendance logs; geographic distribution</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Per event + quarterly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Convening impact; reach measurement</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AI/Knowledge tool adoption (Phase 2)</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RAG query logs; AI interaction events</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 (Phase 2)</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Decision intelligence usage; AI maturity readiness</w:t>
            </w:r>
          </w:p>
        </w:tc>
      </w:tr>
    </w:tbl>
    <w:p>
      <w:pPr>
        <w:spacing w:before="24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KPI Block 3: Channels</w:t>
      </w:r>
    </w:p>
    <w:p>
      <w:pPr>
        <w:spacing w:before="80" w:after="80"/>
        <w:jc w:val="both"/>
      </w:pPr>
      <w:r>
        <w:rPr>
          <w:rFonts w:ascii="Arial" w:cs="Arial" w:eastAsia="Arial" w:hAnsi="Arial"/>
          <w:b w:val="false"/>
          <w:bCs w:val="false"/>
          <w:sz w:val="22"/>
          <w:szCs w:val="22"/>
        </w:rPr>
        <w:t xml:space="preserve">Business Intent: Understand which channels actually bring people to PATNA, which convert to membership or engagement, and where the drop-offs occur.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1400"/>
        <w:gridCol w:w="2160"/>
      </w:tblGrid>
      <w:tr>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KPI / Metric</w:t>
            </w:r>
          </w:p>
        </w:tc>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Data Required</w:t>
            </w:r>
          </w:p>
        </w:tc>
        <w:tc>
          <w:tcPr>
            <w:tcW w:type="dxa" w:w="1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1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Decision Supported</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Website traffic by source</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Google Analytics 4 — referral, organic, social, direct</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Editor</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Weekly</w:t>
            </w:r>
          </w:p>
        </w:tc>
        <w:tc>
          <w:tcPr>
            <w:tcW w:type="dxa" w:w="2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Channel investment decisions; SEO priorities</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Application source attribution</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Application form — 'How did you hear about us?' field</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21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Recruitment channel effectiveness</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 registration to attendance ratio</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 registrations vs. actual attendance</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Per event</w:t>
            </w:r>
          </w:p>
        </w:tc>
        <w:tc>
          <w:tcPr>
            <w:tcW w:type="dxa" w:w="2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 communication effectiveness</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Work With Us enquiry conversion</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Enquiry submissions; follow-up; partnership progress</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21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Advisory pipeline management</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engagement by channel</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Social shares, email click-through, web referrals to Insights</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Editor</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21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distribution strategy</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Multilingual reach (post Phase 2)</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Language preference in profiles; content views by language</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Editor</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21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Language investment prioritisation</w:t>
            </w:r>
          </w:p>
        </w:tc>
      </w:tr>
    </w:tbl>
    <w:p>
      <w:pPr>
        <w:spacing w:before="24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KPI Block 4: Customer Relationships</w:t>
      </w:r>
    </w:p>
    <w:p>
      <w:pPr>
        <w:spacing w:before="80" w:after="80"/>
        <w:jc w:val="both"/>
      </w:pPr>
      <w:r>
        <w:rPr>
          <w:rFonts w:ascii="Arial" w:cs="Arial" w:eastAsia="Arial" w:hAnsi="Arial"/>
          <w:b w:val="false"/>
          <w:bCs w:val="false"/>
          <w:sz w:val="22"/>
          <w:szCs w:val="22"/>
        </w:rPr>
        <w:t xml:space="preserve">Business Intent: Measure whether PATNA's relationships with members, partners, and funders are healthy, responsive, and deepening over time.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1400"/>
        <w:gridCol w:w="1960"/>
      </w:tblGrid>
      <w:tr>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KPI / Metric</w:t>
            </w:r>
          </w:p>
        </w:tc>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Data Required</w:t>
            </w:r>
          </w:p>
        </w:tc>
        <w:tc>
          <w:tcPr>
            <w:tcW w:type="dxa" w:w="1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9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Decision Supported</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Discussion thread activity per space</w:t>
            </w:r>
          </w:p>
        </w:tc>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Thread and comment counts per community space</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Cohort Leads</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Weekly</w:t>
            </w:r>
          </w:p>
        </w:tc>
        <w:tc>
          <w:tcPr>
            <w:tcW w:type="dxa" w:w="1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Community health; space relevance assessment</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Member engagement depth (lurker vs. contributor)</w:t>
            </w:r>
          </w:p>
        </w:tc>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Login events vs. post/comment actions; engagement tier classification</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Re-engagement strategy; community activation</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Onboarding completion rate</w:t>
            </w:r>
          </w:p>
        </w:tc>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Application → interview → approval → activation step completion</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Onboarding process health; drop-off identification</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Repeat event participation rate</w:t>
            </w:r>
          </w:p>
        </w:tc>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Member attendance across multiple PATNA events</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 event series</w:t>
            </w:r>
          </w:p>
        </w:tc>
        <w:tc>
          <w:tcPr>
            <w:tcW w:type="dxa" w:w="1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Member loyalty; network depth</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Enquiry response time (Work With Us)</w:t>
            </w:r>
          </w:p>
        </w:tc>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Submission timestamp vs. first response timestamp</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Continuous</w:t>
            </w:r>
          </w:p>
        </w:tc>
        <w:tc>
          <w:tcPr>
            <w:tcW w:type="dxa" w:w="1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Responsiveness; professionalism</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Partner interaction frequency</w:t>
            </w:r>
          </w:p>
        </w:tc>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Partner-related events, communications, collaborative outputs</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Partnership health; relationship investment</w:t>
            </w:r>
          </w:p>
        </w:tc>
      </w:tr>
    </w:tbl>
    <w:p>
      <w:pPr>
        <w:spacing w:before="24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KPI Block 5: Revenue Streams</w:t>
      </w:r>
    </w:p>
    <w:p>
      <w:pPr>
        <w:spacing w:before="80" w:after="80"/>
        <w:jc w:val="both"/>
      </w:pPr>
      <w:r>
        <w:rPr>
          <w:rFonts w:ascii="Arial" w:cs="Arial" w:eastAsia="Arial" w:hAnsi="Arial"/>
          <w:b w:val="false"/>
          <w:bCs w:val="false"/>
          <w:sz w:val="22"/>
          <w:szCs w:val="22"/>
        </w:rPr>
        <w:t xml:space="preserve">Business Intent: Track financial sustainability, predict revenue shortfalls, and ensure income is diversifying over time to reduce grant dependency.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1200"/>
        <w:gridCol w:w="1760"/>
      </w:tblGrid>
      <w:tr>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KPI / Metric</w:t>
            </w:r>
          </w:p>
        </w:tc>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Data Required</w:t>
            </w:r>
          </w:p>
        </w:tc>
        <w:tc>
          <w:tcPr>
            <w:tcW w:type="dxa" w:w="18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7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Decision Supported</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Grant income by programme</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Grant records; receipts; programme allocation</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 Finance</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Financial planning; programme sustainability</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Grant pipeline coverage (next 12 months)</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Active proposals; funding stage; likelihood estimates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Funding security; bridge planning</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Revenue by stream (grant vs. advisory vs. events)</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Financial records categorised by stream</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 Finance</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Diversification strategy; advisory growth tracking</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Cost per programme outcome delivered</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Programme costs vs. outputs (events, publications, participants)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 Finance</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Cost-efficiency; value-for-money reporting</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Funder retention rate</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Returning funders vs. first-time funders across grant cycles</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Annual</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Funder relationship health; dependency risk</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Advisory services revenue growth</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Advisory enquiries; conversion; fee income</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Revenue diversification tracking</w:t>
            </w:r>
          </w:p>
        </w:tc>
      </w:tr>
    </w:tbl>
    <w:p>
      <w:pPr>
        <w:spacing w:before="24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KPI Block 6: Key Resources</w:t>
      </w:r>
    </w:p>
    <w:p>
      <w:pPr>
        <w:spacing w:before="80" w:after="80"/>
        <w:jc w:val="both"/>
      </w:pPr>
      <w:r>
        <w:rPr>
          <w:rFonts w:ascii="Arial" w:cs="Arial" w:eastAsia="Arial" w:hAnsi="Arial"/>
          <w:b w:val="false"/>
          <w:bCs w:val="false"/>
          <w:sz w:val="22"/>
          <w:szCs w:val="22"/>
        </w:rPr>
        <w:t xml:space="preserve">Business Intent: Ensure PATNA's critical assets — team, community, knowledge, and brand — are sufficient, well-utilised, and not at risk.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1200"/>
        <w:gridCol w:w="1760"/>
      </w:tblGrid>
      <w:tr>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KPI / Metric</w:t>
            </w:r>
          </w:p>
        </w:tc>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Data Required</w:t>
            </w:r>
          </w:p>
        </w:tc>
        <w:tc>
          <w:tcPr>
            <w:tcW w:type="dxa" w:w="18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7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Decision Supported</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capacity utilisation</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Activity logs; task tracking; self-reported workload data</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Lead</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Capacity planning; hiring decisions</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Cohort lead activity rate</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Cohort lead posts, moderation actions, event contributions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Cohort governance health; lead support needs</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Knowledge asset coverage by theme</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Insights Hub content tagged by theme; gap analysis</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Editor</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strategy; knowledge gap identification</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Platform uptime and performance</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Hosting/CMS monitoring; page load times; error rates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Tech/Admin</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Continuous</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Technical stability; performance investment</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Brand mention and visibility</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Media monitoring; citation tracking; social mention volume</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Awareness growth; reputation management</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Skills coverage in expert network</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Member profile expertise tags; cohort skills inventory</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Cohort Leads</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Recruitment targeting; cohort gap filling</w:t>
            </w:r>
          </w:p>
        </w:tc>
      </w:tr>
    </w:tbl>
    <w:p>
      <w:pPr>
        <w:spacing w:before="24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KPI Block 7: Key Activities</w:t>
      </w:r>
    </w:p>
    <w:p>
      <w:pPr>
        <w:spacing w:before="80" w:after="80"/>
        <w:jc w:val="both"/>
      </w:pPr>
      <w:r>
        <w:rPr>
          <w:rFonts w:ascii="Arial" w:cs="Arial" w:eastAsia="Arial" w:hAnsi="Arial"/>
          <w:b w:val="false"/>
          <w:bCs w:val="false"/>
          <w:sz w:val="22"/>
          <w:szCs w:val="22"/>
        </w:rPr>
        <w:t xml:space="preserve">Business Intent: Measure operational performance across PATNA's most important recurring activities — ensuring efficiency and outcome quality.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1200"/>
        <w:gridCol w:w="1760"/>
      </w:tblGrid>
      <w:tr>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KPI / Metric</w:t>
            </w:r>
          </w:p>
        </w:tc>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Data Required</w:t>
            </w:r>
          </w:p>
        </w:tc>
        <w:tc>
          <w:tcPr>
            <w:tcW w:type="dxa" w:w="18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7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Decision Supported</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Events held per quarter (vs. target)</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 records; planned vs. delivered</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Programme delivery health</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published per month (by type)</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Insights Hub publication records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Editor</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Publishing cadence management</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Onboarding cycle time (application to activation)</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Application timestamps at each stage</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Process efficiency; backlog management</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Policy submissions / contributions made</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Policy engagement log; submission records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 process cycle</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Policy impact measurement</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Grant proposal submission rate</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Proposals submitted; success rate; time-to-submission</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Funding pipeline management</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Website content freshness</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Last-updated timestamps on pages and Insights content</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Editor</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maintenance priority</w:t>
            </w:r>
          </w:p>
        </w:tc>
      </w:tr>
    </w:tbl>
    <w:p>
      <w:pPr>
        <w:spacing w:before="24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KPI Block 8: Key Partnerships</w:t>
      </w:r>
    </w:p>
    <w:p>
      <w:pPr>
        <w:spacing w:before="80" w:after="80"/>
        <w:jc w:val="both"/>
      </w:pPr>
      <w:r>
        <w:rPr>
          <w:rFonts w:ascii="Arial" w:cs="Arial" w:eastAsia="Arial" w:hAnsi="Arial"/>
          <w:b w:val="false"/>
          <w:bCs w:val="false"/>
          <w:sz w:val="22"/>
          <w:szCs w:val="22"/>
        </w:rPr>
        <w:t xml:space="preserve">Business Intent: Manage both the value and the risk of PATNA's partner network — ensuring dependencies are understood and partnerships are delivering.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1200"/>
        <w:gridCol w:w="1760"/>
      </w:tblGrid>
      <w:tr>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KPI / Metric</w:t>
            </w:r>
          </w:p>
        </w:tc>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Data Required</w:t>
            </w:r>
          </w:p>
        </w:tc>
        <w:tc>
          <w:tcPr>
            <w:tcW w:type="dxa" w:w="18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7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Decision Supported</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Active partner engagements (vs. target)</w:t>
            </w:r>
          </w:p>
        </w:tc>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Partnership log; interactions per partner per period</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Partnership investment decisions</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Partner-enabled opportunities generated</w:t>
            </w:r>
          </w:p>
        </w:tc>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Events, grants, or introductions attributable to partner</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Partner ROI assessment</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 contribution to content</w:t>
            </w:r>
          </w:p>
        </w:tc>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items co-authored, reviewed, or endorsed by partners</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Editor</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Knowledge partnership health</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Partner platform participation</w:t>
            </w:r>
          </w:p>
        </w:tc>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Partner members or observers registered on community platform</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Digital partnership integration</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Dependency risk score</w:t>
            </w:r>
          </w:p>
        </w:tc>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Number of activities reliant on single partner; contingency plans</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Annual</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Risk management; backup planning</w:t>
            </w:r>
          </w:p>
        </w:tc>
      </w:tr>
    </w:tbl>
    <w:p>
      <w:pPr>
        <w:spacing w:before="24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KPI Block 9: Cost Structure</w:t>
      </w:r>
    </w:p>
    <w:p>
      <w:pPr>
        <w:spacing w:before="80" w:after="80"/>
        <w:jc w:val="both"/>
      </w:pPr>
      <w:r>
        <w:rPr>
          <w:rFonts w:ascii="Arial" w:cs="Arial" w:eastAsia="Arial" w:hAnsi="Arial"/>
          <w:b w:val="false"/>
          <w:bCs w:val="false"/>
          <w:sz w:val="22"/>
          <w:szCs w:val="22"/>
        </w:rPr>
        <w:t xml:space="preserve">Business Intent: Understand PATNA's cost drivers, track efficiency, and ensure costs scale responsibly relative to impact.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1200"/>
        <w:gridCol w:w="1760"/>
      </w:tblGrid>
      <w:tr>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KPI / Metric</w:t>
            </w:r>
          </w:p>
        </w:tc>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Data Required</w:t>
            </w:r>
          </w:p>
        </w:tc>
        <w:tc>
          <w:tcPr>
            <w:tcW w:type="dxa" w:w="18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7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Decision Supported</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Total operating cost vs. budget</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Finance records; budget tracker</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 Finance</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Budget compliance; reforecast needs</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Cost per event (fully loaded)</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costs attributable to a specific event</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 Finance</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Per event</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Event investment decisions; value-for-money</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Cost per new member acquired</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Recruitment costs / new members onboarded</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Onboarding investment efficiency</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Technology cost as % of total costs</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Platform, hosting, tools spend vs. total</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 Finance</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 investment trajectory; scaling readiness</w:t>
            </w:r>
          </w:p>
        </w:tc>
      </w:tr>
      <w:tr>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Programme delivery cost ratio</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Programme costs as % of total programme grant received</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 Finance</w:t>
            </w:r>
          </w:p>
        </w:tc>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Per programme</w:t>
            </w:r>
          </w:p>
        </w:tc>
        <w:tc>
          <w:tcPr>
            <w:tcW w:type="dxa" w:w="1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Overhead management; funder reporting</w:t>
            </w:r>
          </w:p>
        </w:tc>
      </w:tr>
      <w:tr>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Cost growth vs. impact growth</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cost vs. reach, output, and policy engagement metrics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Annual</w:t>
            </w:r>
          </w:p>
        </w:tc>
        <w:tc>
          <w:tcPr>
            <w:tcW w:type="dxa" w:w="1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Strategic efficiency; scaling strategy</w:t>
            </w:r>
          </w:p>
        </w:tc>
      </w:tr>
    </w:tbl>
    <w:p>
      <w:pPr>
        <w:spacing w:before="32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KPI Master Summary Table</w:t>
      </w:r>
    </w:p>
    <w:p>
      <w:pPr>
        <w:spacing w:before="80" w:after="80"/>
        <w:jc w:val="both"/>
      </w:pPr>
      <w:r>
        <w:rPr>
          <w:rFonts w:ascii="Arial" w:cs="Arial" w:eastAsia="Arial" w:hAnsi="Arial"/>
          <w:b w:val="false"/>
          <w:bCs w:val="false"/>
          <w:sz w:val="22"/>
          <w:szCs w:val="22"/>
        </w:rPr>
        <w:t xml:space="preserve">The following table consolidates PATNA's core KPIs across all nine business model blocks into a single decision-ready reference. This becomes the living metrics inventory — a working document reviewed and updated as the platform matures.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400"/>
        <w:gridCol w:w="1000"/>
        <w:gridCol w:w="1560"/>
      </w:tblGrid>
      <w:tr>
        <w:tc>
          <w:tcPr>
            <w:tcW w:type="dxa" w:w="18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Business Area</w:t>
            </w:r>
          </w:p>
        </w:tc>
        <w:tc>
          <w:tcPr>
            <w:tcW w:type="dxa" w:w="18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Primary KPI</w:t>
            </w:r>
          </w:p>
        </w:tc>
        <w:tc>
          <w:tcPr>
            <w:tcW w:type="dxa" w:w="18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Secondary KPI</w:t>
            </w:r>
          </w:p>
        </w:tc>
        <w:tc>
          <w:tcPr>
            <w:tcW w:type="dxa" w:w="1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0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5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Customer Segments</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Active members by cohort</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Member retention rate</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Admin</w:t>
            </w:r>
          </w:p>
        </w:tc>
        <w:tc>
          <w:tcPr>
            <w:tcW w:type="dxa" w:w="1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Community health &amp; targeting</w:t>
            </w:r>
          </w:p>
        </w:tc>
      </w:tr>
      <w:tr>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Value Proposition</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Knowledge content views/downloads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Member NPS score</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Editor</w:t>
            </w:r>
          </w:p>
        </w:tc>
        <w:tc>
          <w:tcPr>
            <w:tcW w:type="dxa" w:w="1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5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Content strategy &amp; platform value</w:t>
            </w:r>
          </w:p>
        </w:tc>
      </w:tr>
      <w:tr>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Channels</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Website traffic by source</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Application source attribution</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Content Editor</w:t>
            </w:r>
          </w:p>
        </w:tc>
        <w:tc>
          <w:tcPr>
            <w:tcW w:type="dxa" w:w="1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Weekly/Monthly</w:t>
            </w:r>
          </w:p>
        </w:tc>
        <w:tc>
          <w:tcPr>
            <w:tcW w:type="dxa" w:w="1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Channel investment</w:t>
            </w:r>
          </w:p>
        </w:tc>
      </w:tr>
      <w:tr>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Customer Relationships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Discussion thread activity</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Onboarding completion rate</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Cohort Leads</w:t>
            </w:r>
          </w:p>
        </w:tc>
        <w:tc>
          <w:tcPr>
            <w:tcW w:type="dxa" w:w="1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Weekly</w:t>
            </w:r>
          </w:p>
        </w:tc>
        <w:tc>
          <w:tcPr>
            <w:tcW w:type="dxa" w:w="15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Engagement &amp; onboarding health</w:t>
            </w:r>
          </w:p>
        </w:tc>
      </w:tr>
      <w:tr>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Revenue Streams</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Grant pipeline coverage</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Revenue stream mix</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 Finance</w:t>
            </w:r>
          </w:p>
        </w:tc>
        <w:tc>
          <w:tcPr>
            <w:tcW w:type="dxa" w:w="1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Financial sustainability</w:t>
            </w:r>
          </w:p>
        </w:tc>
      </w:tr>
      <w:tr>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Key Resources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capacity utilisation</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Knowledge asset coverage</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 Lead</w:t>
            </w:r>
          </w:p>
        </w:tc>
        <w:tc>
          <w:tcPr>
            <w:tcW w:type="dxa" w:w="1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5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Capacity &amp; content planning</w:t>
            </w:r>
          </w:p>
        </w:tc>
      </w:tr>
      <w:tr>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Key Activities</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Events delivered vs. target</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Onboarding cycle time</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Quarterly/Monthly</w:t>
            </w:r>
          </w:p>
        </w:tc>
        <w:tc>
          <w:tcPr>
            <w:tcW w:type="dxa" w:w="1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Operational performance</w:t>
            </w:r>
          </w:p>
        </w:tc>
      </w:tr>
      <w:tr>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Key Partnerships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Active partner engagements</w:t>
            </w:r>
          </w:p>
        </w:tc>
        <w:tc>
          <w:tcPr>
            <w:tcW w:type="dxa" w:w="18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Partner-enabled opportunities</w:t>
            </w:r>
          </w:p>
        </w:tc>
        <w:tc>
          <w:tcPr>
            <w:tcW w:type="dxa" w:w="1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Secretariat</w:t>
            </w:r>
          </w:p>
        </w:tc>
        <w:tc>
          <w:tcPr>
            <w:tcW w:type="dxa" w:w="10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Quarterly</w:t>
            </w:r>
          </w:p>
        </w:tc>
        <w:tc>
          <w:tcPr>
            <w:tcW w:type="dxa" w:w="15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Partnership investment &amp; risk</w:t>
            </w:r>
          </w:p>
        </w:tc>
      </w:tr>
      <w:tr>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Cost Structure</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Total cost vs. budget</w:t>
            </w:r>
          </w:p>
        </w:tc>
        <w:tc>
          <w:tcPr>
            <w:tcW w:type="dxa" w:w="18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Cost per event</w:t>
            </w:r>
          </w:p>
        </w:tc>
        <w:tc>
          <w:tcPr>
            <w:tcW w:type="dxa" w:w="1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Secretariat / Finance</w:t>
            </w:r>
          </w:p>
        </w:tc>
        <w:tc>
          <w:tcPr>
            <w:tcW w:type="dxa" w:w="10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Monthly</w:t>
            </w:r>
          </w:p>
        </w:tc>
        <w:tc>
          <w:tcPr>
            <w:tcW w:type="dxa" w:w="15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Budget &amp; efficiency management</w:t>
            </w:r>
          </w:p>
        </w:tc>
      </w:tr>
    </w:tbl>
    <w:p>
      <w:pPr>
        <w:spacing w:before="240" w:after="0"/>
      </w:pPr>
      <w:r>
        <w:t xml:space="preserve"/>
      </w:r>
    </w:p>
    <w:p>
      <w:pPr>
        <w:pStyle w:val="Heading2"/>
        <w:pBdr>
          <w:bottom w:val="single" w:color="b9e8fa" w:sz="4" w:space="1"/>
        </w:pBdr>
        <w:spacing w:before="280" w:after="100"/>
      </w:pPr>
      <w:r>
        <w:rPr>
          <w:rFonts w:ascii="Arial" w:cs="Arial" w:eastAsia="Arial" w:hAnsi="Arial"/>
          <w:b/>
          <w:bCs/>
          <w:color w:val="03529d"/>
          <w:sz w:val="28"/>
          <w:szCs w:val="28"/>
        </w:rPr>
        <w:t xml:space="preserve">Key Data Gaps Identified</w:t>
      </w:r>
    </w:p>
    <w:p>
      <w:pPr>
        <w:spacing w:before="80" w:after="80"/>
        <w:jc w:val="both"/>
      </w:pPr>
      <w:r>
        <w:rPr>
          <w:rFonts w:ascii="Arial" w:cs="Arial" w:eastAsia="Arial" w:hAnsi="Arial"/>
          <w:b w:val="false"/>
          <w:bCs w:val="false"/>
          <w:sz w:val="22"/>
          <w:szCs w:val="22"/>
        </w:rPr>
        <w:t xml:space="preserve">This step makes visible the data that does not yet exist. These gaps are not failures — naming them is progress. They become the highest-priority data infrastructure investments for the platform build.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960"/>
      </w:tblGrid>
      <w:tr>
        <w:tc>
          <w:tcPr>
            <w:tcW w:type="dxa" w:w="2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Business Model Block Affected</w:t>
            </w:r>
          </w:p>
        </w:tc>
        <w:tc>
          <w:tcPr>
            <w:tcW w:type="dxa" w:w="26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19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No centralised member database</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Segments, Relationships</w:t>
            </w:r>
          </w:p>
        </w:tc>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No platform; members in email lists and spreadsheets</w:t>
            </w:r>
          </w:p>
        </w:tc>
        <w:tc>
          <w:tcPr>
            <w:tcW w:type="dxa" w:w="1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Critical</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engagement tracking system</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Relationships, Activities</w:t>
            </w:r>
          </w:p>
        </w:tc>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community platform; interactions are undocumented</w:t>
            </w:r>
          </w:p>
        </w:tc>
        <w:tc>
          <w:tcPr>
            <w:tcW w:type="dxa" w:w="1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Critical</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No content tagging or taxonomy</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Value Proposition, Activities</w:t>
            </w:r>
          </w:p>
        </w:tc>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Publishing scattered; no unified system or structure</w:t>
            </w:r>
          </w:p>
        </w:tc>
        <w:tc>
          <w:tcPr>
            <w:tcW w:type="dxa" w:w="1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application funnel tracking</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Segments, Activities</w:t>
            </w:r>
          </w:p>
        </w:tc>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Application process is email-based; no workflow system</w:t>
            </w:r>
          </w:p>
        </w:tc>
        <w:tc>
          <w:tcPr>
            <w:tcW w:type="dxa" w:w="1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No grant/pipeline CRM</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Revenue Streams, Partnerships</w:t>
            </w:r>
          </w:p>
        </w:tc>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Funding tracked manually; no pipeline visibility</w:t>
            </w:r>
          </w:p>
        </w:tc>
        <w:tc>
          <w:tcPr>
            <w:tcW w:type="dxa" w:w="1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High</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event outcome tracking</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Activities, Value Proposition</w:t>
            </w:r>
          </w:p>
        </w:tc>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Event outputs not systematically captured or linked to knowledge base</w:t>
            </w:r>
          </w:p>
        </w:tc>
        <w:tc>
          <w:tcPr>
            <w:tcW w:type="dxa" w:w="1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No partner contribution data</w:t>
            </w:r>
          </w:p>
        </w:tc>
        <w:tc>
          <w:tcPr>
            <w:tcW w:type="dxa" w:w="2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Partnerships</w:t>
            </w:r>
          </w:p>
        </w:tc>
        <w:tc>
          <w:tcPr>
            <w:tcW w:type="dxa" w:w="26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Partner engagement not logged or attributed</w:t>
            </w:r>
          </w:p>
        </w:tc>
        <w:tc>
          <w:tcPr>
            <w:tcW w:type="dxa" w:w="19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Medium</w:t>
            </w:r>
          </w:p>
        </w:tc>
      </w:tr>
      <w:tr>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 cost-per-outcome data</w:t>
            </w:r>
          </w:p>
        </w:tc>
        <w:tc>
          <w:tcPr>
            <w:tcW w:type="dxa" w:w="2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Cost Structure</w:t>
            </w:r>
          </w:p>
        </w:tc>
        <w:tc>
          <w:tcPr>
            <w:tcW w:type="dxa" w:w="26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Finance records not linked to activity or impact outputs</w:t>
            </w:r>
          </w:p>
        </w:tc>
        <w:tc>
          <w:tcPr>
            <w:tcW w:type="dxa" w:w="19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Medium</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529d" w:sz="1"/>
              <w:left w:val="single" w:color="03529d" w:sz="1"/>
              <w:bottom w:val="single" w:color="03529d" w:sz="1"/>
              <w:right w:val="single" w:color="03529d" w:sz="1"/>
            </w:tcBorders>
            <w:shd w:fill="b9e8fa" w:val="clear"/>
            <w:tcMar>
              <w:top w:type="dxa" w:w="120"/>
              <w:left w:type="dxa" w:w="200"/>
              <w:bottom w:type="dxa" w:w="120"/>
              <w:right w:type="dxa" w:w="200"/>
            </w:tcMar>
          </w:tcPr>
          <w:p>
            <w:pPr>
              <w:spacing w:before="0" w:after="80"/>
            </w:pPr>
            <w:r>
              <w:rPr>
                <w:rFonts w:ascii="Arial" w:cs="Arial" w:eastAsia="Arial" w:hAnsi="Arial"/>
                <w:b/>
                <w:bCs/>
                <w:color w:val="03529d"/>
                <w:sz w:val="22"/>
                <w:szCs w:val="22"/>
              </w:rPr>
              <w:t xml:space="preserve">What Success Looks Like at Step 2</w:t>
            </w:r>
          </w:p>
          <w:p>
            <w:pPr>
              <w:jc w:val="both"/>
            </w:pPr>
            <w:r>
              <w:rPr>
                <w:rFonts w:ascii="Arial" w:cs="Arial" w:eastAsia="Arial" w:hAnsi="Arial"/>
                <w:color w:val="1a1a1a"/>
                <w:sz w:val="21"/>
                <w:szCs w:val="21"/>
              </w:rPr>
              <w:t xml:space="preserve">When this step is complete, PATNA's leadership can point to any part of the business model and say: here is how we know if it is working, who owns that number, how often we review it, and what decision it informs. The data gaps identified above become the roadmap for the platform's data infrastructure — not aspirational features, but operational necessities.</w:t>
            </w:r>
          </w:p>
        </w:tc>
      </w:tr>
    </w:tbl>
    <w:p>
      <w:pPr>
        <w:spacing w:before="320" w:after="0"/>
      </w:pPr>
      <w:r>
        <w:t xml:space="preserve"/>
      </w:r>
    </w:p>
    <w:p>
      <w:pPr>
        <w:pBdr>
          <w:bottom w:val="single" w:color="03529d" w:sz="8" w:space="1"/>
        </w:pBdr>
        <w:spacing w:before="80" w:after="160"/>
      </w:pPr>
      <w:r>
        <w:t xml:space="preserve"/>
      </w:r>
    </w:p>
    <w:p>
      <w:pPr>
        <w:spacing w:before="120" w:after="120"/>
      </w:pPr>
      <w:r>
        <w:rPr>
          <w:rFonts w:ascii="Arial" w:cs="Arial" w:eastAsia="Arial" w:hAnsi="Arial"/>
          <w:b/>
          <w:bCs/>
          <w:color w:val="03529d"/>
          <w:sz w:val="26"/>
          <w:szCs w:val="26"/>
        </w:rPr>
        <w:t xml:space="preserve">Next Steps: Steps 3–6</w:t>
      </w:r>
    </w:p>
    <w:p>
      <w:pPr>
        <w:spacing w:before="80" w:after="80"/>
        <w:jc w:val="both"/>
      </w:pPr>
      <w:r>
        <w:rPr>
          <w:rFonts w:ascii="Arial" w:cs="Arial" w:eastAsia="Arial" w:hAnsi="Arial"/>
          <w:b w:val="false"/>
          <w:bCs w:val="false"/>
          <w:sz w:val="22"/>
          <w:szCs w:val="22"/>
        </w:rPr>
        <w:t xml:space="preserve">This document covers Step Zero through Step 2. The remaining steps will be developed in the next documentation phase: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5760"/>
            <w:tcBorders>
              <w:top w:val="single" w:color="03529d" w:sz="1"/>
              <w:left w:val="single" w:color="03529d" w:sz="1"/>
              <w:bottom w:val="single" w:color="03529d" w:sz="1"/>
              <w:right w:val="single" w:color="03529d" w:sz="1"/>
            </w:tcBorders>
            <w:shd w:fill="03529d" w:val="clear"/>
            <w:tcMar>
              <w:top w:type="dxa" w:w="80"/>
              <w:left w:type="dxa" w:w="120"/>
              <w:bottom w:type="dxa" w:w="80"/>
              <w:right w:type="dxa" w:w="120"/>
            </w:tcMar>
          </w:tcPr>
          <w:p>
            <w:r>
              <w:rPr>
                <w:rFonts w:ascii="Arial" w:cs="Arial" w:eastAsia="Arial" w:hAnsi="Arial"/>
                <w:b/>
                <w:bCs/>
                <w:color w:val="ffffff"/>
                <w:sz w:val="20"/>
                <w:szCs w:val="20"/>
              </w:rPr>
              <w:t xml:space="preserve">Key Output</w:t>
            </w:r>
          </w:p>
        </w:tc>
      </w:tr>
      <w:tr>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Step 3</w:t>
            </w:r>
          </w:p>
        </w:tc>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Data Maturity Assessment</w:t>
            </w:r>
          </w:p>
        </w:tc>
        <w:tc>
          <w:tcPr>
            <w:tcW w:type="dxa" w:w="5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Honest baseline of PATNA's current data capability by pillar — people, process, technology, governance</w:t>
            </w:r>
          </w:p>
        </w:tc>
      </w:tr>
      <w:tr>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Step 4</w:t>
            </w:r>
          </w:p>
        </w:tc>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 Lifecycle Mapping</w:t>
            </w:r>
          </w:p>
        </w:tc>
        <w:tc>
          <w:tcPr>
            <w:tcW w:type="dxa" w:w="5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End-to-end mapping of how data flows through PATNA's key activities — and where it breaks down</w:t>
            </w:r>
          </w:p>
        </w:tc>
      </w:tr>
      <w:tr>
        <w:tc>
          <w:tcPr>
            <w:tcW w:type="dxa" w:w="12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Step 5</w:t>
            </w:r>
          </w:p>
        </w:tc>
        <w:tc>
          <w:tcPr>
            <w:tcW w:type="dxa" w:w="240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Value Proposition Mapping (for Data Initiatives)</w:t>
            </w:r>
          </w:p>
        </w:tc>
        <w:tc>
          <w:tcPr>
            <w:tcW w:type="dxa" w:w="5760"/>
            <w:tcBorders>
              <w:top w:val="single" w:color="03529d" w:sz="1"/>
              <w:left w:val="single" w:color="03529d" w:sz="1"/>
              <w:bottom w:val="single" w:color="03529d" w:sz="1"/>
              <w:right w:val="single" w:color="03529d" w:sz="1"/>
            </w:tcBorders>
            <w:shd w:fill="b9e8fa" w:val="clear"/>
            <w:tcMar>
              <w:top w:type="dxa" w:w="80"/>
              <w:left w:type="dxa" w:w="120"/>
              <w:bottom w:type="dxa" w:w="80"/>
              <w:right w:type="dxa" w:w="120"/>
            </w:tcMar>
          </w:tcPr>
          <w:p>
            <w:pPr>
              <w:jc w:val="left"/>
            </w:pPr>
            <w:r>
              <w:rPr>
                <w:rFonts w:ascii="Arial" w:cs="Arial" w:eastAsia="Arial" w:hAnsi="Arial"/>
                <w:sz w:val="20"/>
                <w:szCs w:val="20"/>
              </w:rPr>
              <w:t xml:space="preserve">Which specific data initiatives are worth building, grounded in user need and business model alignment</w:t>
            </w:r>
          </w:p>
        </w:tc>
      </w:tr>
      <w:tr>
        <w:tc>
          <w:tcPr>
            <w:tcW w:type="dxa" w:w="12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Step 6</w:t>
            </w:r>
          </w:p>
        </w:tc>
        <w:tc>
          <w:tcPr>
            <w:tcW w:type="dxa" w:w="240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Data Vision</w:t>
            </w:r>
          </w:p>
        </w:tc>
        <w:tc>
          <w:tcPr>
            <w:tcW w:type="dxa" w:w="5760"/>
            <w:tcBorders>
              <w:top w:val="single" w:color="03529d" w:sz="1"/>
              <w:left w:val="single" w:color="03529d" w:sz="1"/>
              <w:bottom w:val="single" w:color="03529d" w:sz="1"/>
              <w:right w:val="single" w:color="03529d"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 bounded, actionable data vision statement: where PATNA is heading and what it will not chase</w:t>
            </w:r>
          </w:p>
        </w:tc>
      </w:tr>
    </w:tbl>
    <w:p>
      <w:pPr>
        <w:spacing w:before="320" w:after="0"/>
      </w:pPr>
      <w:r>
        <w:t xml:space="preserve"/>
      </w:r>
    </w:p>
    <w:p>
      <w:pPr>
        <w:pBdr>
          <w:bottom w:val="single" w:color="03529d" w:sz="8" w:space="1"/>
        </w:pBdr>
        <w:spacing w:before="80" w:after="160"/>
      </w:pPr>
      <w:r>
        <w:t xml:space="preserve"/>
      </w:r>
    </w:p>
    <w:p>
      <w:pPr>
        <w:spacing w:before="120" w:after="80"/>
        <w:jc w:val="center"/>
      </w:pPr>
      <w:r>
        <w:rPr>
          <w:rFonts w:ascii="Arial" w:cs="Arial" w:eastAsia="Arial" w:hAnsi="Arial"/>
          <w:b/>
          <w:bCs/>
          <w:color w:val="03529d"/>
          <w:sz w:val="22"/>
          <w:szCs w:val="22"/>
        </w:rPr>
        <w:t xml:space="preserve">PATNA Initiative — Data Strategy Documentation</w:t>
      </w:r>
    </w:p>
    <w:p>
      <w:pPr>
        <w:spacing w:before="0" w:after="80"/>
        <w:jc w:val="center"/>
      </w:pPr>
      <w:r>
        <w:rPr>
          <w:rFonts w:ascii="Arial" w:cs="Arial" w:eastAsia="Arial" w:hAnsi="Arial"/>
          <w:color w:val="555555"/>
          <w:sz w:val="20"/>
          <w:szCs w:val="20"/>
        </w:rPr>
        <w:t xml:space="preserve">Step Zero — Value Proposition | Step 1 — Business Model | Step 2 — KPI &amp; Data Mapping</w:t>
      </w:r>
    </w:p>
    <w:p>
      <w:pPr>
        <w:jc w:val="center"/>
      </w:pPr>
      <w:r>
        <w:rPr>
          <w:rFonts w:ascii="Arial" w:cs="Arial" w:eastAsia="Arial" w:hAnsi="Arial"/>
          <w:color w:val="777777"/>
          <w:sz w:val="18"/>
          <w:szCs w:val="18"/>
        </w:rPr>
        <w:t xml:space="preserve">Working Document | March 2026 | Professional African Technical Network Advisory Initiative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e8fa" w:sz="4" w:space="1"/>
      </w:pBdr>
      <w:jc w:val="center"/>
    </w:pPr>
    <w:r>
      <w:rPr>
        <w:rFonts w:ascii="Arial" w:cs="Arial" w:eastAsia="Arial" w:hAnsi="Arial"/>
        <w:color w:val="777777"/>
        <w:sz w:val="18"/>
        <w:szCs w:val="18"/>
      </w:rPr>
      <w:t xml:space="preserve">PATNA Initiative — Confidential Working Document    |    Page </w:t>
    </w:r>
    <w:r>
      <w:rPr>
        <w:rFonts w:ascii="Arial" w:cs="Arial" w:eastAsia="Arial" w:hAnsi="Arial"/>
        <w:color w:val="03529d"/>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left w:val="none"/>
            <w:bottom w:val="single" w:color="b9e8fa" w:sz="4"/>
            <w:right w:val="none"/>
          </w:tcBorders>
        </w:tcPr>
        <w:p>
          <w:r>
            <w:rPr>
              <w:rFonts w:ascii="Arial" w:cs="Arial" w:eastAsia="Arial" w:hAnsi="Arial"/>
              <w:color w:val="03529d"/>
              <w:sz w:val="18"/>
              <w:szCs w:val="18"/>
            </w:rPr>
            <w:t xml:space="preserve">PATNA Initiative — Data Strategy Documentation</w:t>
          </w:r>
        </w:p>
      </w:tc>
      <w:tc>
        <w:tcPr>
          <w:tcW w:type="dxa" w:w="3080"/>
          <w:tcBorders>
            <w:top w:val="none"/>
            <w:left w:val="none"/>
            <w:bottom w:val="single" w:color="b9e8fa" w:sz="4"/>
            <w:right w:val="none"/>
          </w:tcBorders>
        </w:tcPr>
        <w:p>
          <w:pPr>
            <w:jc w:val="right"/>
          </w:pPr>
          <w:r>
            <w:rPr>
              <w:rFonts w:ascii="Arial" w:cs="Arial" w:eastAsia="Arial" w:hAnsi="Arial"/>
              <w:color w:val="777777"/>
              <w:sz w:val="18"/>
              <w:szCs w:val="18"/>
            </w:rPr>
            <w:t xml:space="preserve">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60"/>
      <w:outlineLvl w:val="0"/>
    </w:pPr>
    <w:rPr>
      <w:rFonts w:ascii="Arial" w:cs="Arial" w:eastAsia="Arial" w:hAnsi="Arial"/>
      <w:b/>
      <w:bCs/>
      <w:color w:val="ffffff"/>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03529d"/>
      <w:sz w:val="28"/>
      <w:szCs w:val="28"/>
    </w:rPr>
  </w:style>
  <w:style w:type="paragraph" w:styleId="Heading3">
    <w:name w:val="Heading 3"/>
    <w:basedOn w:val="Normal"/>
    <w:next w:val="Normal"/>
    <w:qFormat/>
    <w:pPr>
      <w:spacing w:before="220" w:after="80"/>
      <w:outlineLvl w:val="2"/>
    </w:pPr>
    <w:rPr>
      <w:rFonts w:ascii="Arial" w:cs="Arial" w:eastAsia="Arial" w:hAnsi="Arial"/>
      <w:b/>
      <w:bCs/>
      <w:color w:val="03529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2026-03-13T13:55:58.238Z</dcterms:created>
  <dcterms:modified xsi:type="dcterms:W3CDTF">2026-03-13T13:55:58.239Z</dcterms:modified>
</cp:coreProperties>
</file>

<file path=docProps/custom.xml><?xml version="1.0" encoding="utf-8"?>
<Properties xmlns="http://schemas.openxmlformats.org/officeDocument/2006/custom-properties" xmlns:vt="http://schemas.openxmlformats.org/officeDocument/2006/docPropsVTypes"/>
</file>