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73" w:rsidRPr="00D533B0" w:rsidRDefault="00AB0CBE" w:rsidP="00D533B0">
      <w:pPr>
        <w:jc w:val="center"/>
        <w:rPr>
          <w:b/>
          <w:sz w:val="32"/>
        </w:rPr>
      </w:pPr>
      <w:r w:rsidRPr="00D533B0">
        <w:rPr>
          <w:b/>
          <w:sz w:val="32"/>
        </w:rPr>
        <w:t>Physical Based models</w:t>
      </w:r>
    </w:p>
    <w:p w:rsidR="00AB0CBE" w:rsidRDefault="00241A93">
      <w:pPr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>Getting the Data</w:t>
      </w:r>
    </w:p>
    <w:p w:rsidR="00AC6566" w:rsidRDefault="00AC6566" w:rsidP="00AC656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Cs w:val="20"/>
        </w:rPr>
      </w:pPr>
      <w:r w:rsidRPr="00AC6566">
        <w:rPr>
          <w:rFonts w:ascii="Times-Roman" w:hAnsi="Times-Roman" w:cs="Times-Roman"/>
          <w:szCs w:val="20"/>
        </w:rPr>
        <w:t>Process mining is imposs</w:t>
      </w:r>
      <w:r>
        <w:rPr>
          <w:rFonts w:ascii="Times-Roman" w:hAnsi="Times-Roman" w:cs="Times-Roman"/>
          <w:szCs w:val="20"/>
        </w:rPr>
        <w:t xml:space="preserve">ible without proper event logs. </w:t>
      </w:r>
      <w:r w:rsidRPr="00AC6566">
        <w:rPr>
          <w:rFonts w:ascii="Times-Roman" w:hAnsi="Times-Roman" w:cs="Times-Roman"/>
          <w:szCs w:val="20"/>
        </w:rPr>
        <w:t>Depending on the process</w:t>
      </w:r>
      <w:r>
        <w:rPr>
          <w:rFonts w:ascii="Times-Roman" w:hAnsi="Times-Roman" w:cs="Times-Roman"/>
          <w:szCs w:val="20"/>
        </w:rPr>
        <w:t xml:space="preserve"> </w:t>
      </w:r>
      <w:r w:rsidRPr="00AC6566">
        <w:rPr>
          <w:rFonts w:ascii="Times-Roman" w:hAnsi="Times-Roman" w:cs="Times-Roman"/>
          <w:szCs w:val="20"/>
        </w:rPr>
        <w:t>mining technique used, these requirements may vary. The challenge is to extract</w:t>
      </w:r>
      <w:r>
        <w:rPr>
          <w:rFonts w:ascii="Times-Roman" w:hAnsi="Times-Roman" w:cs="Times-Roman"/>
          <w:szCs w:val="20"/>
        </w:rPr>
        <w:t xml:space="preserve"> </w:t>
      </w:r>
      <w:r w:rsidRPr="00AC6566">
        <w:rPr>
          <w:rFonts w:ascii="Times-Roman" w:hAnsi="Times-Roman" w:cs="Times-Roman"/>
          <w:szCs w:val="20"/>
        </w:rPr>
        <w:t>such data from a variety of data sources, e.g., databases, flat files, message logs,</w:t>
      </w:r>
      <w:r>
        <w:rPr>
          <w:rFonts w:ascii="Times-Roman" w:hAnsi="Times-Roman" w:cs="Times-Roman"/>
          <w:szCs w:val="20"/>
        </w:rPr>
        <w:t xml:space="preserve"> </w:t>
      </w:r>
      <w:r w:rsidRPr="00AC6566">
        <w:rPr>
          <w:rFonts w:ascii="Times-Roman" w:hAnsi="Times-Roman" w:cs="Times-Roman"/>
          <w:szCs w:val="20"/>
        </w:rPr>
        <w:t>transaction logs, ERP systems, and document management systems. When merging</w:t>
      </w:r>
      <w:r>
        <w:rPr>
          <w:rFonts w:ascii="Times-Roman" w:hAnsi="Times-Roman" w:cs="Times-Roman"/>
          <w:szCs w:val="20"/>
        </w:rPr>
        <w:t xml:space="preserve"> </w:t>
      </w:r>
      <w:r w:rsidRPr="00AC6566">
        <w:rPr>
          <w:rFonts w:ascii="Times-Roman" w:hAnsi="Times-Roman" w:cs="Times-Roman"/>
          <w:szCs w:val="20"/>
        </w:rPr>
        <w:t xml:space="preserve">and extracting data, both syntax and semantics play an important role. </w:t>
      </w:r>
    </w:p>
    <w:p w:rsidR="00AC6566" w:rsidRDefault="00AC6566" w:rsidP="00AC656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Cs w:val="20"/>
        </w:rPr>
      </w:pPr>
    </w:p>
    <w:p w:rsidR="00AC6566" w:rsidRDefault="00AC6566" w:rsidP="00AC656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Cs w:val="20"/>
        </w:rPr>
      </w:pPr>
      <w:r w:rsidRPr="00AC6566">
        <w:rPr>
          <w:rFonts w:ascii="Times-Roman" w:hAnsi="Times-Roman" w:cs="Times-Roman"/>
          <w:szCs w:val="20"/>
        </w:rPr>
        <w:t>Process mining, like any other data-driven analysis approach, needs</w:t>
      </w:r>
      <w:r>
        <w:rPr>
          <w:rFonts w:ascii="Times-Roman" w:hAnsi="Times-Roman" w:cs="Times-Roman"/>
          <w:szCs w:val="20"/>
        </w:rPr>
        <w:t xml:space="preserve"> </w:t>
      </w:r>
      <w:r w:rsidRPr="00AC6566">
        <w:rPr>
          <w:rFonts w:ascii="Times-Roman" w:hAnsi="Times-Roman" w:cs="Times-Roman"/>
          <w:szCs w:val="20"/>
        </w:rPr>
        <w:t xml:space="preserve">to deal with data quality problems. </w:t>
      </w:r>
    </w:p>
    <w:p w:rsidR="00E5708A" w:rsidRDefault="00E5708A" w:rsidP="00AC656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Cs w:val="20"/>
        </w:rPr>
      </w:pPr>
    </w:p>
    <w:p w:rsidR="00E5708A" w:rsidRDefault="00E5708A" w:rsidP="00E5708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5.1 Data Sources</w:t>
      </w:r>
    </w:p>
    <w:p w:rsidR="00E5708A" w:rsidRDefault="00E5708A" w:rsidP="00E570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the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concept of process mining. The idea is to analyze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event data from a process-oriented perspective. The goal of process mining is to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answer questions about operational processes. </w:t>
      </w:r>
    </w:p>
    <w:p w:rsidR="00E5708A" w:rsidRDefault="00E5708A" w:rsidP="00E570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Examples are:</w:t>
      </w:r>
    </w:p>
    <w:p w:rsidR="00E5708A" w:rsidRDefault="00E5708A" w:rsidP="00E570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TSYN" w:eastAsia="MTSYN" w:hAnsi="Times-Bold" w:cs="MTSYN" w:hint="eastAsia"/>
          <w:color w:val="000000"/>
          <w:sz w:val="20"/>
          <w:szCs w:val="20"/>
        </w:rPr>
        <w:t>•</w:t>
      </w:r>
      <w:r>
        <w:rPr>
          <w:rFonts w:ascii="MTSYN" w:eastAsia="MTSYN" w:hAnsi="Times-Bold" w:cs="MTSY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What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really </w:t>
      </w:r>
      <w:r>
        <w:rPr>
          <w:rFonts w:ascii="Times-Roman" w:hAnsi="Times-Roman" w:cs="Times-Roman"/>
          <w:color w:val="000000"/>
          <w:sz w:val="20"/>
          <w:szCs w:val="20"/>
        </w:rPr>
        <w:t>happened in the past?</w:t>
      </w:r>
    </w:p>
    <w:p w:rsidR="00E5708A" w:rsidRDefault="00E5708A" w:rsidP="00E570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TSYN" w:eastAsia="MTSYN" w:hAnsi="Times-Bold" w:cs="MTSYN" w:hint="eastAsia"/>
          <w:color w:val="000000"/>
          <w:sz w:val="20"/>
          <w:szCs w:val="20"/>
        </w:rPr>
        <w:t>•</w:t>
      </w:r>
      <w:r>
        <w:rPr>
          <w:rFonts w:ascii="MTSYN" w:eastAsia="MTSYN" w:hAnsi="Times-Bold" w:cs="MTSY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Why did it happen?</w:t>
      </w:r>
    </w:p>
    <w:p w:rsidR="00E5708A" w:rsidRDefault="00E5708A" w:rsidP="00E570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TSYN" w:eastAsia="MTSYN" w:hAnsi="Times-Bold" w:cs="MTSYN" w:hint="eastAsia"/>
          <w:color w:val="000000"/>
          <w:sz w:val="20"/>
          <w:szCs w:val="20"/>
        </w:rPr>
        <w:t>•</w:t>
      </w:r>
      <w:r>
        <w:rPr>
          <w:rFonts w:ascii="MTSYN" w:eastAsia="MTSYN" w:hAnsi="Times-Bold" w:cs="MTSY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What is likely to happen in the future?</w:t>
      </w:r>
    </w:p>
    <w:p w:rsidR="00E5708A" w:rsidRDefault="00E5708A" w:rsidP="00E570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TSYN" w:eastAsia="MTSYN" w:hAnsi="Times-Bold" w:cs="MTSYN" w:hint="eastAsia"/>
          <w:color w:val="000000"/>
          <w:sz w:val="20"/>
          <w:szCs w:val="20"/>
        </w:rPr>
        <w:t>•</w:t>
      </w:r>
      <w:r>
        <w:rPr>
          <w:rFonts w:ascii="MTSYN" w:eastAsia="MTSYN" w:hAnsi="Times-Bold" w:cs="MTSY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When and why do organizations and people deviate?</w:t>
      </w:r>
    </w:p>
    <w:p w:rsidR="00E5708A" w:rsidRDefault="00E5708A" w:rsidP="00E570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TSYN" w:eastAsia="MTSYN" w:hAnsi="Times-Bold" w:cs="MTSYN" w:hint="eastAsia"/>
          <w:color w:val="000000"/>
          <w:sz w:val="20"/>
          <w:szCs w:val="20"/>
        </w:rPr>
        <w:t>•</w:t>
      </w:r>
      <w:r>
        <w:rPr>
          <w:rFonts w:ascii="MTSYN" w:eastAsia="MTSYN" w:hAnsi="Times-Bold" w:cs="MTSY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How to control a process better?</w:t>
      </w:r>
    </w:p>
    <w:p w:rsidR="00E5708A" w:rsidRDefault="00E5708A" w:rsidP="00E570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MTSYN" w:eastAsia="MTSYN" w:hAnsi="Times-Bold" w:cs="MTSYN" w:hint="eastAsia"/>
          <w:color w:val="000000"/>
          <w:sz w:val="20"/>
          <w:szCs w:val="20"/>
        </w:rPr>
        <w:t>•</w:t>
      </w:r>
      <w:r>
        <w:rPr>
          <w:rFonts w:ascii="MTSYN" w:eastAsia="MTSYN" w:hAnsi="Times-Bold" w:cs="MTSY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How to redesign a process to improve its performance?</w:t>
      </w:r>
    </w:p>
    <w:p w:rsidR="00241A93" w:rsidRDefault="008E5866" w:rsidP="008E5866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6CC0961" wp14:editId="79EED425">
            <wp:extent cx="404812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E7" w:rsidRDefault="004C6DE7" w:rsidP="004C6DE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The reality is that event data is typically scattered over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different data sources and often quite some efforts are needed to collect the relevant</w:t>
      </w:r>
      <w:r w:rsidR="00381FAD">
        <w:rPr>
          <w:rFonts w:ascii="Times-Roman" w:hAnsi="Times-Roman" w:cs="Times-Roman"/>
          <w:sz w:val="20"/>
          <w:szCs w:val="20"/>
        </w:rPr>
        <w:t xml:space="preserve"> data</w:t>
      </w:r>
      <w:r w:rsidR="00AF523B">
        <w:rPr>
          <w:rFonts w:ascii="Times-Roman" w:hAnsi="Times-Roman" w:cs="Times-Roman"/>
          <w:sz w:val="20"/>
          <w:szCs w:val="20"/>
        </w:rPr>
        <w:t>.</w:t>
      </w:r>
    </w:p>
    <w:p w:rsidR="009A29E1" w:rsidRDefault="00AF523B" w:rsidP="00AF52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Data may be scattered due to technical or organizational reasons. </w:t>
      </w:r>
    </w:p>
    <w:p w:rsidR="009A29E1" w:rsidRDefault="009A29E1" w:rsidP="00AF52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F523B" w:rsidRDefault="00AF523B" w:rsidP="00AF52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For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example, there may be legacy systems holding crucial data or information systems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used only at the departmental level. For cross-organizational process mining, e.g.,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to analyze supply chains, data may even be scattered over multiple organizations.</w:t>
      </w:r>
    </w:p>
    <w:p w:rsidR="004C6DE7" w:rsidRDefault="004C6DE7" w:rsidP="00752AE0">
      <w:pPr>
        <w:rPr>
          <w:sz w:val="24"/>
        </w:rPr>
      </w:pPr>
    </w:p>
    <w:p w:rsidR="00752AE0" w:rsidRDefault="00752AE0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Data sources may be structured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and well-described by </w:t>
      </w: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meta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data. Unfortunately, in many situations the data is</w:t>
      </w:r>
    </w:p>
    <w:p w:rsidR="00752AE0" w:rsidRDefault="00752AE0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unstructured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or important meta data is missing. Data may originate from web pages,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emails, PDF documents, scanned text, screen scraping, etc. There is no point in trying to exhaustively extract event logs</w:t>
      </w:r>
    </w:p>
    <w:p w:rsidR="00752AE0" w:rsidRDefault="00752AE0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from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thousands of tables and other data sources. Data extraction should be driven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by questions rather than the availability of lots of data.</w:t>
      </w:r>
    </w:p>
    <w:p w:rsidR="00752AE0" w:rsidRDefault="00752AE0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752AE0" w:rsidRDefault="00752AE0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In the context of BI and data mining, the phrase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“Extract, Transform, and Load”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(ETL) is used to describe the process that involves: </w:t>
      </w:r>
    </w:p>
    <w:p w:rsidR="00752AE0" w:rsidRDefault="00752AE0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(a) </w:t>
      </w:r>
      <w:proofErr w:type="gramStart"/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extracting</w:t>
      </w:r>
      <w:proofErr w:type="gramEnd"/>
      <w:r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data from outside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sources, </w:t>
      </w:r>
    </w:p>
    <w:p w:rsidR="00752AE0" w:rsidRDefault="00752AE0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(b) </w:t>
      </w:r>
      <w:proofErr w:type="gramStart"/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transforming</w:t>
      </w:r>
      <w:proofErr w:type="gramEnd"/>
      <w:r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it to fit operational needs (dealing with syntactical and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semantical issues while ensuring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predefined quality levels),</w:t>
      </w:r>
    </w:p>
    <w:p w:rsidR="00752AE0" w:rsidRDefault="00752AE0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 (c) </w:t>
      </w:r>
      <w:proofErr w:type="gramStart"/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loading</w:t>
      </w:r>
      <w:proofErr w:type="gramEnd"/>
      <w:r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it into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the target system, </w:t>
      </w:r>
    </w:p>
    <w:p w:rsidR="00752AE0" w:rsidRDefault="00752AE0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e.g., a data warehouse or relational database. </w:t>
      </w:r>
    </w:p>
    <w:p w:rsidR="00752AE0" w:rsidRDefault="00752AE0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A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data warehouse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is a single logical repository of an organization’s transactional and operational data.</w:t>
      </w:r>
    </w:p>
    <w:p w:rsidR="00F8154D" w:rsidRDefault="00F8154D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752AE0" w:rsidRDefault="00752AE0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The data warehouse does not produce data but simply taps off data from operational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systems. The goal is to unify information such that it can be used for reporting,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analysis, forecasting, etc. </w:t>
      </w:r>
    </w:p>
    <w:p w:rsidR="0019171C" w:rsidRDefault="0019171C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925197" w:rsidRDefault="0019171C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If a data warehouse already exists, it most likely holds valuable input for process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mining. However, many organizations do not have a good data warehouse.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The warehouse may contain only a subset of the information needed for end-to-end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process mining, e.g., only data related to customers is stored. Moreover, if a data</w:t>
      </w:r>
      <w:r w:rsidR="002C0321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warehouse is present, it does not need to be process oriented. </w:t>
      </w:r>
    </w:p>
    <w:p w:rsidR="001A6413" w:rsidRDefault="001A6413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D90193" w:rsidRDefault="0019171C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For example, the typical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warehouse data used for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Online Analytical Processing </w:t>
      </w:r>
      <w:r>
        <w:rPr>
          <w:rFonts w:ascii="Times-Roman" w:hAnsi="Times-Roman" w:cs="Times-Roman"/>
          <w:color w:val="000000"/>
          <w:sz w:val="20"/>
          <w:szCs w:val="20"/>
        </w:rPr>
        <w:t>(OLAP) does not provide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much process-related information. </w:t>
      </w:r>
    </w:p>
    <w:p w:rsidR="00D90193" w:rsidRDefault="0019171C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OLAP tools are excellent for viewing multidimensional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data from different angles, drilling down, and for creating all kinds of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reports. However, OLAP tools do not require the storage of business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events and their ordering.</w:t>
      </w:r>
    </w:p>
    <w:p w:rsidR="00D90193" w:rsidRDefault="0019171C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The data sets used by the mainstream data mining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approaches also do not store such information. </w:t>
      </w:r>
    </w:p>
    <w:p w:rsidR="00D90193" w:rsidRDefault="00D90193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C75520" w:rsidRDefault="0019171C" w:rsidP="00C7552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For example,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a decision tree learner can be applied to any table consisting of rows (instances) and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columns (variables). </w:t>
      </w:r>
    </w:p>
    <w:p w:rsidR="00C75520" w:rsidRDefault="00C75520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</w:p>
    <w:p w:rsidR="00752AE0" w:rsidRDefault="0019171C" w:rsidP="00CC02A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Typical formats to store event logs are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XES </w:t>
      </w:r>
      <w:r>
        <w:rPr>
          <w:rFonts w:ascii="Times-Roman" w:hAnsi="Times-Roman" w:cs="Times-Roman"/>
          <w:color w:val="000000"/>
          <w:sz w:val="20"/>
          <w:szCs w:val="20"/>
        </w:rPr>
        <w:t>(</w:t>
      </w:r>
      <w:proofErr w:type="spellStart"/>
      <w:r>
        <w:rPr>
          <w:rFonts w:ascii="Times-Roman" w:hAnsi="Times-Roman" w:cs="Times-Roman"/>
          <w:color w:val="000000"/>
          <w:sz w:val="20"/>
          <w:szCs w:val="20"/>
        </w:rPr>
        <w:t>eXtensible</w:t>
      </w:r>
      <w:proofErr w:type="spellEnd"/>
      <w:r>
        <w:rPr>
          <w:rFonts w:ascii="Times-Roman" w:hAnsi="Times-Roman" w:cs="Times-Roman"/>
          <w:color w:val="000000"/>
          <w:sz w:val="20"/>
          <w:szCs w:val="20"/>
        </w:rPr>
        <w:t xml:space="preserve"> Event Stream) and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MXML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(Mining </w:t>
      </w:r>
      <w:proofErr w:type="spellStart"/>
      <w:r>
        <w:rPr>
          <w:rFonts w:ascii="Times-Roman" w:hAnsi="Times-Roman" w:cs="Times-Roman"/>
          <w:color w:val="000000"/>
          <w:sz w:val="20"/>
          <w:szCs w:val="20"/>
        </w:rPr>
        <w:t>eXtensible</w:t>
      </w:r>
      <w:proofErr w:type="spellEnd"/>
      <w:r>
        <w:rPr>
          <w:rFonts w:ascii="Times-Roman" w:hAnsi="Times-Roman" w:cs="Times-Roman"/>
          <w:color w:val="000000"/>
          <w:sz w:val="20"/>
          <w:szCs w:val="20"/>
        </w:rPr>
        <w:t xml:space="preserve"> Markup Language).</w:t>
      </w:r>
    </w:p>
    <w:p w:rsidR="00FF6326" w:rsidRDefault="00FF6326" w:rsidP="0019171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</w:p>
    <w:p w:rsidR="009B3A49" w:rsidRDefault="00C75520" w:rsidP="00FF63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</w:t>
      </w:r>
      <w:r w:rsidR="00FF6326">
        <w:rPr>
          <w:rFonts w:ascii="Times-Roman" w:hAnsi="Times-Roman" w:cs="Times-Roman"/>
          <w:sz w:val="20"/>
          <w:szCs w:val="20"/>
        </w:rPr>
        <w:t>he problem of converting “3-D data”</w:t>
      </w:r>
      <w:r w:rsidR="00FF6326">
        <w:rPr>
          <w:rFonts w:ascii="Times-Roman" w:hAnsi="Times-Roman" w:cs="Times-Roman"/>
          <w:sz w:val="20"/>
          <w:szCs w:val="20"/>
        </w:rPr>
        <w:t xml:space="preserve"> </w:t>
      </w:r>
      <w:r w:rsidR="00FF6326">
        <w:rPr>
          <w:rFonts w:ascii="Times-Roman" w:hAnsi="Times-Roman" w:cs="Times-Roman"/>
          <w:sz w:val="20"/>
          <w:szCs w:val="20"/>
        </w:rPr>
        <w:t>into “2-D event logs”, i.e., events are projected onto the desired process model.</w:t>
      </w:r>
      <w:r w:rsidR="00FF6326">
        <w:rPr>
          <w:rFonts w:ascii="Times-Roman" w:hAnsi="Times-Roman" w:cs="Times-Roman"/>
          <w:sz w:val="20"/>
          <w:szCs w:val="20"/>
        </w:rPr>
        <w:t xml:space="preserve"> </w:t>
      </w:r>
    </w:p>
    <w:p w:rsidR="009B3A49" w:rsidRDefault="00FF6326" w:rsidP="00FF63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Consider for example the data in a hospital.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One may be interested in the discovery of patient flows, i.e., typical diagnosis and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treatment paths.</w:t>
      </w:r>
    </w:p>
    <w:p w:rsidR="009B3A49" w:rsidRDefault="00FF6326" w:rsidP="00FF63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 However, one may also be interested in optimizing the workflow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within the radiology department. </w:t>
      </w:r>
    </w:p>
    <w:p w:rsidR="009B3A49" w:rsidRDefault="009B3A49" w:rsidP="00FF63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9B3A49" w:rsidRDefault="00FF6326" w:rsidP="00FF63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Both questions require different event logs, although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some events may be shared among the two required event logs. Once an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event log is created, it is typically </w:t>
      </w:r>
      <w:r>
        <w:rPr>
          <w:rFonts w:ascii="Times-Italic" w:hAnsi="Times-Italic" w:cs="Times-Italic"/>
          <w:i/>
          <w:iCs/>
          <w:sz w:val="20"/>
          <w:szCs w:val="20"/>
        </w:rPr>
        <w:t>filtered</w:t>
      </w:r>
      <w:r>
        <w:rPr>
          <w:rFonts w:ascii="Times-Roman" w:hAnsi="Times-Roman" w:cs="Times-Roman"/>
          <w:sz w:val="20"/>
          <w:szCs w:val="20"/>
        </w:rPr>
        <w:t>.</w:t>
      </w:r>
    </w:p>
    <w:p w:rsidR="009B3A49" w:rsidRDefault="009B3A49" w:rsidP="00FF63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2354B" w:rsidRDefault="00FF6326" w:rsidP="00FF63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 Filtering is an iterative process. </w:t>
      </w:r>
      <w:r w:rsidR="009B3A49">
        <w:rPr>
          <w:rFonts w:ascii="Times-Italic" w:hAnsi="Times-Italic" w:cs="Times-Italic"/>
          <w:i/>
          <w:iCs/>
          <w:sz w:val="20"/>
          <w:szCs w:val="20"/>
        </w:rPr>
        <w:t>Coarse-grained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scoping </w:t>
      </w:r>
      <w:r>
        <w:rPr>
          <w:rFonts w:ascii="Times-Roman" w:hAnsi="Times-Roman" w:cs="Times-Roman"/>
          <w:sz w:val="20"/>
          <w:szCs w:val="20"/>
        </w:rPr>
        <w:t xml:space="preserve">was done when extracting the data into an event log. </w:t>
      </w:r>
    </w:p>
    <w:p w:rsidR="0022354B" w:rsidRDefault="0022354B" w:rsidP="00FF63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2354B" w:rsidRDefault="0022354B" w:rsidP="00FF63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9B3A49" w:rsidRDefault="009B3A49" w:rsidP="00FF63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2354B" w:rsidRDefault="0022354B" w:rsidP="00FF632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lastRenderedPageBreak/>
        <w:t>5.2 Event Logs</w:t>
      </w:r>
    </w:p>
    <w:p w:rsidR="009B3A49" w:rsidRDefault="00FB096B" w:rsidP="00FB096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The table shows events related to the handling of requests for compensation.</w:t>
      </w:r>
      <w:r w:rsidR="009B3A49">
        <w:rPr>
          <w:rFonts w:ascii="Times-Roman" w:hAnsi="Times-Roman" w:cs="Times-Roman"/>
          <w:color w:val="000000"/>
          <w:sz w:val="20"/>
          <w:szCs w:val="20"/>
        </w:rPr>
        <w:t xml:space="preserve"> </w:t>
      </w:r>
    </w:p>
    <w:p w:rsidR="006716C2" w:rsidRDefault="00FB096B" w:rsidP="00FB096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We assume that an event log contains data related to a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single process</w:t>
      </w:r>
      <w:r>
        <w:rPr>
          <w:rFonts w:ascii="Times-Roman" w:hAnsi="Times-Roman" w:cs="Times-Roman"/>
          <w:color w:val="000000"/>
          <w:sz w:val="20"/>
          <w:szCs w:val="20"/>
        </w:rPr>
        <w:t>, i.e., the</w:t>
      </w:r>
      <w:r w:rsidR="009B3A49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first coarse-grained scoping step in Fig. </w:t>
      </w:r>
      <w:r>
        <w:rPr>
          <w:rFonts w:ascii="Times-Roman" w:hAnsi="Times-Roman" w:cs="Times-Roman"/>
          <w:color w:val="0000FF"/>
          <w:sz w:val="20"/>
          <w:szCs w:val="20"/>
        </w:rPr>
        <w:t xml:space="preserve">5.1 </w:t>
      </w:r>
      <w:r>
        <w:rPr>
          <w:rFonts w:ascii="Times-Roman" w:hAnsi="Times-Roman" w:cs="Times-Roman"/>
          <w:color w:val="000000"/>
          <w:sz w:val="20"/>
          <w:szCs w:val="20"/>
        </w:rPr>
        <w:t>should make sure that all events can be</w:t>
      </w:r>
      <w:r w:rsidR="00410FB3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related to this process. Moreover, each event in the log needs to refer to a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single</w:t>
      </w:r>
      <w:r w:rsidR="00410FB3"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process instance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, often referred to as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case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. In Table </w:t>
      </w:r>
      <w:r>
        <w:rPr>
          <w:rFonts w:ascii="Times-Roman" w:hAnsi="Times-Roman" w:cs="Times-Roman"/>
          <w:color w:val="0000FF"/>
          <w:sz w:val="20"/>
          <w:szCs w:val="20"/>
        </w:rPr>
        <w:t>5.1</w:t>
      </w:r>
      <w:r>
        <w:rPr>
          <w:rFonts w:ascii="Times-Roman" w:hAnsi="Times-Roman" w:cs="Times-Roman"/>
          <w:color w:val="000000"/>
          <w:sz w:val="20"/>
          <w:szCs w:val="20"/>
        </w:rPr>
        <w:t>, each request corresponds</w:t>
      </w:r>
      <w:r w:rsidR="00410FB3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to a case, e.g., case 1. We also assume that events can be related to some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activity</w:t>
      </w:r>
      <w:r>
        <w:rPr>
          <w:rFonts w:ascii="Times-Roman" w:hAnsi="Times-Roman" w:cs="Times-Roman"/>
          <w:color w:val="000000"/>
          <w:sz w:val="20"/>
          <w:szCs w:val="20"/>
        </w:rPr>
        <w:t>.</w:t>
      </w:r>
      <w:r w:rsidR="00410FB3">
        <w:rPr>
          <w:rFonts w:ascii="Times-Roman" w:hAnsi="Times-Roman" w:cs="Times-Roman"/>
          <w:color w:val="000000"/>
          <w:sz w:val="20"/>
          <w:szCs w:val="20"/>
        </w:rPr>
        <w:t xml:space="preserve"> </w:t>
      </w:r>
    </w:p>
    <w:p w:rsidR="006716C2" w:rsidRDefault="006716C2" w:rsidP="00FB096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</w:p>
    <w:p w:rsidR="00FB096B" w:rsidRDefault="00FB096B" w:rsidP="00FB096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In Table </w:t>
      </w:r>
      <w:r>
        <w:rPr>
          <w:rFonts w:ascii="Times-Roman" w:hAnsi="Times-Roman" w:cs="Times-Roman"/>
          <w:color w:val="0000FF"/>
          <w:sz w:val="20"/>
          <w:szCs w:val="20"/>
        </w:rPr>
        <w:t>5.1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, events refer to activities like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register request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check ticket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, and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reject</w:t>
      </w:r>
      <w:r>
        <w:rPr>
          <w:rFonts w:ascii="Times-Roman" w:hAnsi="Times-Roman" w:cs="Times-Roman"/>
          <w:color w:val="000000"/>
          <w:sz w:val="20"/>
          <w:szCs w:val="20"/>
        </w:rPr>
        <w:t>.</w:t>
      </w:r>
    </w:p>
    <w:p w:rsidR="00FB096B" w:rsidRDefault="00FB096B" w:rsidP="00FB096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spellStart"/>
      <w:r>
        <w:rPr>
          <w:rFonts w:ascii="Times-Roman" w:hAnsi="Times-Roman" w:cs="Times-Roman"/>
          <w:color w:val="000000"/>
          <w:sz w:val="20"/>
          <w:szCs w:val="20"/>
        </w:rPr>
        <w:t>These</w:t>
      </w:r>
      <w:proofErr w:type="spellEnd"/>
      <w:r>
        <w:rPr>
          <w:rFonts w:ascii="Times-Roman" w:hAnsi="Times-Roman" w:cs="Times-Roman"/>
          <w:color w:val="000000"/>
          <w:sz w:val="20"/>
          <w:szCs w:val="20"/>
        </w:rPr>
        <w:t xml:space="preserve"> assumptions are quite natural in the context of process mining. All mainstream</w:t>
      </w:r>
      <w:r w:rsidR="006716C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process modeling notations, specify</w:t>
      </w:r>
      <w:r w:rsidR="006716C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a process as a collection of activities such that the life-cycle of a single instance is</w:t>
      </w:r>
      <w:r w:rsidR="006716C2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described. Hence, the “case id” and “activity” columns in Table </w:t>
      </w:r>
      <w:r>
        <w:rPr>
          <w:rFonts w:ascii="Times-Roman" w:hAnsi="Times-Roman" w:cs="Times-Roman"/>
          <w:color w:val="0000FF"/>
          <w:sz w:val="20"/>
          <w:szCs w:val="20"/>
        </w:rPr>
        <w:t xml:space="preserve">5.1 </w:t>
      </w:r>
      <w:r>
        <w:rPr>
          <w:rFonts w:ascii="Times-Roman" w:hAnsi="Times-Roman" w:cs="Times-Roman"/>
          <w:color w:val="000000"/>
          <w:sz w:val="20"/>
          <w:szCs w:val="20"/>
        </w:rPr>
        <w:t>represent the</w:t>
      </w:r>
      <w:r w:rsidR="001104C6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bare minimum for process mining. Moreover, events within a case need to be ordered.</w:t>
      </w:r>
      <w:r w:rsidR="001104C6">
        <w:rPr>
          <w:rFonts w:ascii="Times-Roman" w:hAnsi="Times-Roman" w:cs="Times-Roman"/>
          <w:color w:val="000000"/>
          <w:sz w:val="20"/>
          <w:szCs w:val="20"/>
        </w:rPr>
        <w:t xml:space="preserve"> </w:t>
      </w:r>
    </w:p>
    <w:p w:rsidR="00FB096B" w:rsidRDefault="00FB096B" w:rsidP="00FB096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For example, event 35654423 (the execution of activity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register request </w:t>
      </w:r>
      <w:r>
        <w:rPr>
          <w:rFonts w:ascii="Times-Roman" w:hAnsi="Times-Roman" w:cs="Times-Roman"/>
          <w:color w:val="000000"/>
          <w:sz w:val="20"/>
          <w:szCs w:val="20"/>
        </w:rPr>
        <w:t>for</w:t>
      </w:r>
      <w:r w:rsidR="001104C6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Case 1) occurs before event 35654424 (the execution of activity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>examine thoroughly</w:t>
      </w:r>
      <w:r w:rsidR="001104C6"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for the same case). Without ordering information it is of course impossible to discover</w:t>
      </w:r>
      <w:r w:rsidR="001104C6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causal dependencies in process models.</w:t>
      </w:r>
    </w:p>
    <w:p w:rsidR="0022354B" w:rsidRDefault="00FB096B" w:rsidP="00FB096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 xml:space="preserve">Table </w:t>
      </w:r>
      <w:r>
        <w:rPr>
          <w:rFonts w:ascii="Times-Roman" w:hAnsi="Times-Roman" w:cs="Times-Roman"/>
          <w:color w:val="0000FF"/>
          <w:sz w:val="20"/>
          <w:szCs w:val="20"/>
        </w:rPr>
        <w:t xml:space="preserve">5.1 </w:t>
      </w:r>
      <w:r>
        <w:rPr>
          <w:rFonts w:ascii="Times-Roman" w:hAnsi="Times-Roman" w:cs="Times-Roman"/>
          <w:color w:val="000000"/>
          <w:sz w:val="20"/>
          <w:szCs w:val="20"/>
        </w:rPr>
        <w:t>also shows additional information per event. For example, all events</w:t>
      </w:r>
      <w:r w:rsidR="001104C6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have a </w:t>
      </w:r>
      <w:r>
        <w:rPr>
          <w:rFonts w:ascii="Times-Italic" w:hAnsi="Times-Italic" w:cs="Times-Italic"/>
          <w:i/>
          <w:iCs/>
          <w:color w:val="000000"/>
          <w:sz w:val="20"/>
          <w:szCs w:val="20"/>
        </w:rPr>
        <w:t xml:space="preserve">timestamp </w:t>
      </w:r>
      <w:r>
        <w:rPr>
          <w:rFonts w:ascii="Times-Roman" w:hAnsi="Times-Roman" w:cs="Times-Roman"/>
          <w:color w:val="000000"/>
          <w:sz w:val="20"/>
          <w:szCs w:val="20"/>
        </w:rPr>
        <w:t>(i.e., date and time information such as “30-12-2010:11.02”</w:t>
      </w:r>
      <w:r w:rsidR="002041D2">
        <w:rPr>
          <w:rFonts w:ascii="Times-Roman" w:hAnsi="Times-Roman" w:cs="Times-Roman"/>
          <w:color w:val="000000"/>
          <w:sz w:val="20"/>
          <w:szCs w:val="20"/>
        </w:rPr>
        <w:t>).</w:t>
      </w:r>
    </w:p>
    <w:p w:rsidR="00FB096B" w:rsidRDefault="00FB096B" w:rsidP="00FB096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</w:p>
    <w:p w:rsidR="00FB096B" w:rsidRDefault="00FB096B" w:rsidP="00FB096B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0635F66F" wp14:editId="21586C9D">
            <wp:extent cx="4467225" cy="476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94" w:rsidRPr="004A6294" w:rsidRDefault="004A6294" w:rsidP="004A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>Using this ﬁgure we can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our assumptions about event logs.</w:t>
      </w:r>
    </w:p>
    <w:p w:rsidR="004A6294" w:rsidRDefault="004A6294" w:rsidP="004A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A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process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consists of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>cases</w:t>
      </w:r>
      <w:r>
        <w:rPr>
          <w:rFonts w:ascii="NimbusRomNo9L" w:hAnsi="NimbusRomNo9L" w:cs="NimbusRomNo9L"/>
          <w:color w:val="000000"/>
          <w:sz w:val="20"/>
          <w:szCs w:val="20"/>
        </w:rPr>
        <w:t>.</w:t>
      </w:r>
    </w:p>
    <w:p w:rsidR="004A6294" w:rsidRDefault="004A6294" w:rsidP="004A6294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A case consists of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events </w:t>
      </w:r>
      <w:r>
        <w:rPr>
          <w:rFonts w:ascii="NimbusRomNo9L" w:hAnsi="NimbusRomNo9L" w:cs="NimbusRomNo9L"/>
          <w:color w:val="000000"/>
          <w:sz w:val="20"/>
          <w:szCs w:val="20"/>
        </w:rPr>
        <w:t>such that each event relates to precisely one case.</w:t>
      </w:r>
    </w:p>
    <w:p w:rsidR="004A6294" w:rsidRDefault="004A6294" w:rsidP="004A6294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Events within a case are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>ordered</w:t>
      </w:r>
      <w:r>
        <w:rPr>
          <w:rFonts w:ascii="NimbusRomNo9L" w:hAnsi="NimbusRomNo9L" w:cs="NimbusRomNo9L"/>
          <w:color w:val="000000"/>
          <w:sz w:val="20"/>
          <w:szCs w:val="20"/>
        </w:rPr>
        <w:t>.</w:t>
      </w:r>
    </w:p>
    <w:p w:rsidR="00A031B0" w:rsidRDefault="00A031B0" w:rsidP="004A6294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7C7568B" wp14:editId="724F580A">
            <wp:extent cx="4705350" cy="461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69" w:rsidRDefault="00F01169" w:rsidP="00F01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Events can have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>attributes</w:t>
      </w:r>
      <w:r>
        <w:rPr>
          <w:rFonts w:ascii="NimbusRomNo9L" w:hAnsi="NimbusRomNo9L" w:cs="NimbusRomNo9L"/>
          <w:color w:val="000000"/>
          <w:sz w:val="20"/>
          <w:szCs w:val="20"/>
        </w:rPr>
        <w:t>. Examples of typical attribute names are activity, time,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costs, and resource.</w:t>
      </w:r>
    </w:p>
    <w:p w:rsidR="00F01169" w:rsidRDefault="00F01169" w:rsidP="00F01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>Not all events need to have the same set of attributes. However, typically, events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referring to the same activity have the same set of attributes.</w:t>
      </w:r>
    </w:p>
    <w:p w:rsidR="00F01169" w:rsidRDefault="00F01169" w:rsidP="00F01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>To be able to reason about logs and to precisely specify the requirements for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event logs, we formalize the various notions.</w:t>
      </w:r>
    </w:p>
    <w:p w:rsidR="00F01169" w:rsidRDefault="00F01169" w:rsidP="00A92F8E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NimbusRomNo9L" w:hAnsi="NimbusRomNo9L" w:cs="NimbusRomNo9L"/>
          <w:b/>
          <w:bCs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b/>
          <w:bCs/>
          <w:color w:val="000000"/>
          <w:sz w:val="20"/>
          <w:szCs w:val="20"/>
        </w:rPr>
        <w:t xml:space="preserve">Deﬁnition 5.1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(Event, attribute) Let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be the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>event universe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, i.e., the set of all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possible event identiﬁers. Events may be characterized by various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>attributes</w:t>
      </w:r>
      <w:r>
        <w:rPr>
          <w:rFonts w:ascii="NimbusRomNo9L" w:hAnsi="NimbusRomNo9L" w:cs="NimbusRomNo9L"/>
          <w:color w:val="000000"/>
          <w:sz w:val="20"/>
          <w:szCs w:val="20"/>
        </w:rPr>
        <w:t>, e.g.,</w:t>
      </w:r>
      <w:r w:rsidR="00A92F8E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 w:rsidR="00A92F8E">
        <w:rPr>
          <w:rFonts w:ascii="NimbusRomNo9L" w:hAnsi="NimbusRomNo9L" w:cs="NimbusRomNo9L"/>
          <w:color w:val="000000"/>
          <w:sz w:val="20"/>
          <w:szCs w:val="20"/>
        </w:rPr>
        <w:t>an event may have a timestamp, correspond to an activity, is executed by a particular</w:t>
      </w:r>
      <w:r w:rsidR="00A92F8E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 w:rsidR="00A92F8E">
        <w:rPr>
          <w:rFonts w:ascii="NimbusRomNo9L" w:hAnsi="NimbusRomNo9L" w:cs="NimbusRomNo9L"/>
          <w:color w:val="000000"/>
          <w:sz w:val="20"/>
          <w:szCs w:val="20"/>
        </w:rPr>
        <w:t xml:space="preserve">person, has associated costs, etc. Let </w:t>
      </w:r>
      <w:proofErr w:type="gramStart"/>
      <w:r w:rsidR="00A92F8E">
        <w:rPr>
          <w:rFonts w:ascii="NimbusRomNo9L" w:hAnsi="NimbusRomNo9L" w:cs="NimbusRomNo9L"/>
          <w:i/>
          <w:iCs/>
          <w:color w:val="000000"/>
          <w:sz w:val="20"/>
          <w:szCs w:val="20"/>
        </w:rPr>
        <w:t>AN</w:t>
      </w:r>
      <w:proofErr w:type="gramEnd"/>
      <w:r w:rsidR="00A92F8E"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 </w:t>
      </w:r>
      <w:r w:rsidR="00A92F8E">
        <w:rPr>
          <w:rFonts w:ascii="NimbusRomNo9L" w:hAnsi="NimbusRomNo9L" w:cs="NimbusRomNo9L"/>
          <w:color w:val="000000"/>
          <w:sz w:val="20"/>
          <w:szCs w:val="20"/>
        </w:rPr>
        <w:t>be a set of attribute names. For any event</w:t>
      </w:r>
    </w:p>
    <w:p w:rsidR="00971905" w:rsidRDefault="009975A6" w:rsidP="00A92F8E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1BDF916" wp14:editId="0FC1C46E">
            <wp:extent cx="428625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09" w:rsidRDefault="00B36C09" w:rsidP="00B36C09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∈</w:t>
      </w:r>
      <w:r>
        <w:rPr>
          <w:rFonts w:ascii="Arial" w:hAnsi="Arial" w:cs="Arial"/>
          <w:color w:val="000000"/>
          <w:sz w:val="20"/>
          <w:szCs w:val="20"/>
        </w:rPr>
        <w:t xml:space="preserve"> E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and name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 </w:t>
      </w:r>
      <w:r>
        <w:rPr>
          <w:rFonts w:ascii="Cambria Math" w:hAnsi="Cambria Math" w:cs="Cambria Math"/>
          <w:color w:val="000000"/>
          <w:sz w:val="20"/>
          <w:szCs w:val="20"/>
        </w:rPr>
        <w:t>∈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>AN</w:t>
      </w:r>
      <w:r>
        <w:rPr>
          <w:rFonts w:ascii="NimbusRomNo9L" w:hAnsi="NimbusRomNo9L" w:cs="NimbusRomNo9L"/>
          <w:color w:val="000000"/>
          <w:sz w:val="20"/>
          <w:szCs w:val="20"/>
        </w:rPr>
        <w:t>,#</w:t>
      </w:r>
      <w:r w:rsidR="00F40FC6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(e)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is the value of attribute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for event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. If event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 </w:t>
      </w:r>
      <w:r>
        <w:rPr>
          <w:rFonts w:ascii="NimbusRomNo9L" w:hAnsi="NimbusRomNo9L" w:cs="NimbusRomNo9L"/>
          <w:color w:val="000000"/>
          <w:sz w:val="20"/>
          <w:szCs w:val="20"/>
        </w:rPr>
        <w:t>does</w:t>
      </w:r>
    </w:p>
    <w:p w:rsidR="00B36C09" w:rsidRDefault="00B36C09" w:rsidP="00B36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0"/>
          <w:szCs w:val="20"/>
        </w:rPr>
        <w:t>not</w:t>
      </w:r>
      <w:proofErr w:type="gramEnd"/>
      <w:r>
        <w:rPr>
          <w:rFonts w:ascii="NimbusRomNo9L" w:hAnsi="NimbusRomNo9L" w:cs="NimbusRomNo9L"/>
          <w:color w:val="000000"/>
          <w:sz w:val="20"/>
          <w:szCs w:val="20"/>
        </w:rPr>
        <w:t xml:space="preserve"> have an attribute named </w:t>
      </w:r>
      <w:r>
        <w:rPr>
          <w:rFonts w:ascii="Times New Roman" w:hAnsi="Times New Roman" w:cs="Times New Roman"/>
          <w:color w:val="000000"/>
          <w:sz w:val="20"/>
          <w:szCs w:val="20"/>
        </w:rPr>
        <w:t>n</w:t>
      </w:r>
      <w:r>
        <w:rPr>
          <w:rFonts w:ascii="NimbusRomNo9L" w:hAnsi="NimbusRomNo9L" w:cs="NimbusRomNo9L"/>
          <w:color w:val="000000"/>
          <w:sz w:val="20"/>
          <w:szCs w:val="20"/>
        </w:rPr>
        <w:t>, then #</w:t>
      </w:r>
      <w:r w:rsidR="00F40FC6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r w:rsidR="00F40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spellEnd"/>
    </w:p>
    <w:p w:rsidR="00B36C09" w:rsidRDefault="00B36C09" w:rsidP="00B36C09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(e) </w:t>
      </w:r>
      <w:r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>
        <w:rPr>
          <w:rFonts w:ascii="Cambria Math" w:hAnsi="Cambria Math" w:cs="Cambria Math"/>
          <w:color w:val="000000"/>
          <w:sz w:val="20"/>
          <w:szCs w:val="20"/>
        </w:rPr>
        <w:t>⊥</w:t>
      </w:r>
      <w:r>
        <w:rPr>
          <w:rFonts w:ascii="NimbusRomNo9L" w:hAnsi="NimbusRomNo9L" w:cs="NimbusRomNo9L"/>
          <w:color w:val="000000"/>
          <w:sz w:val="20"/>
          <w:szCs w:val="20"/>
        </w:rPr>
        <w:t>(</w:t>
      </w:r>
      <w:proofErr w:type="gramEnd"/>
      <w:r>
        <w:rPr>
          <w:rFonts w:ascii="NimbusRomNo9L" w:hAnsi="NimbusRomNo9L" w:cs="NimbusRomNo9L"/>
          <w:color w:val="000000"/>
          <w:sz w:val="20"/>
          <w:szCs w:val="20"/>
        </w:rPr>
        <w:t>null value).</w:t>
      </w:r>
      <w:r w:rsidR="00F40FC6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For convenience we assume the following standard attributes:</w:t>
      </w:r>
    </w:p>
    <w:p w:rsidR="00B36C09" w:rsidRDefault="00B36C09" w:rsidP="00B36C09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NimbusRomNo9L" w:hAnsi="NimbusRomNo9L" w:cs="NimbusRomNo9L"/>
          <w:color w:val="000000"/>
          <w:sz w:val="20"/>
          <w:szCs w:val="20"/>
        </w:rPr>
        <w:t>#</w:t>
      </w:r>
      <w:r w:rsidR="00F40FC6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(e)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is the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activity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associated to event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NimbusRomNo9L" w:hAnsi="NimbusRomNo9L" w:cs="NimbusRomNo9L"/>
          <w:color w:val="000000"/>
          <w:sz w:val="20"/>
          <w:szCs w:val="20"/>
        </w:rPr>
        <w:t>.</w:t>
      </w:r>
    </w:p>
    <w:p w:rsidR="00B36C09" w:rsidRDefault="00B36C09" w:rsidP="00B36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NimbusRomNo9L" w:hAnsi="NimbusRomNo9L" w:cs="NimbusRomNo9L"/>
          <w:color w:val="000000"/>
          <w:sz w:val="20"/>
          <w:szCs w:val="20"/>
        </w:rPr>
        <w:t>#</w:t>
      </w:r>
      <w:r w:rsidR="00F40FC6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i/>
          <w:iCs/>
          <w:color w:val="000000"/>
          <w:sz w:val="16"/>
          <w:szCs w:val="16"/>
        </w:rPr>
        <w:t>activity</w:t>
      </w:r>
    </w:p>
    <w:p w:rsidR="00B36C09" w:rsidRDefault="00B36C09" w:rsidP="00B36C09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(e) </w:t>
      </w:r>
      <w:proofErr w:type="gramStart"/>
      <w:r>
        <w:rPr>
          <w:rFonts w:ascii="NimbusRomNo9L" w:hAnsi="NimbusRomNo9L" w:cs="NimbusRomNo9L"/>
          <w:color w:val="000000"/>
          <w:sz w:val="20"/>
          <w:szCs w:val="20"/>
        </w:rPr>
        <w:t>is</w:t>
      </w:r>
      <w:proofErr w:type="gramEnd"/>
      <w:r>
        <w:rPr>
          <w:rFonts w:ascii="NimbusRomNo9L" w:hAnsi="NimbusRomNo9L" w:cs="NimbusRomNo9L"/>
          <w:color w:val="000000"/>
          <w:sz w:val="20"/>
          <w:szCs w:val="20"/>
        </w:rPr>
        <w:t xml:space="preserve"> the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timestamp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of event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NimbusRomNo9L" w:hAnsi="NimbusRomNo9L" w:cs="NimbusRomNo9L"/>
          <w:color w:val="000000"/>
          <w:sz w:val="20"/>
          <w:szCs w:val="20"/>
        </w:rPr>
        <w:t>.</w:t>
      </w:r>
    </w:p>
    <w:p w:rsidR="00B36C09" w:rsidRDefault="00B36C09" w:rsidP="00B36C09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NimbusRomNo9L" w:hAnsi="NimbusRomNo9L" w:cs="NimbusRomNo9L"/>
          <w:color w:val="000000"/>
          <w:sz w:val="20"/>
          <w:szCs w:val="20"/>
        </w:rPr>
        <w:t>#</w:t>
      </w:r>
      <w:r w:rsidR="00F40FC6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NimbusRomNo9L" w:hAnsi="NimbusRomNo9L" w:cs="NimbusRomNo9L"/>
          <w:color w:val="000000"/>
          <w:sz w:val="20"/>
          <w:szCs w:val="20"/>
        </w:rPr>
        <w:t>#</w:t>
      </w:r>
      <w:r w:rsidR="00F40FC6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 w:rsidR="00F40FC6">
        <w:rPr>
          <w:rFonts w:ascii="NimbusRomNo9L" w:hAnsi="NimbusRomNo9L" w:cs="NimbusRomNo9L"/>
          <w:i/>
          <w:iCs/>
          <w:color w:val="000000"/>
          <w:sz w:val="16"/>
          <w:szCs w:val="16"/>
        </w:rPr>
        <w:t>T</w:t>
      </w:r>
      <w:r>
        <w:rPr>
          <w:rFonts w:ascii="NimbusRomNo9L" w:hAnsi="NimbusRomNo9L" w:cs="NimbusRomNo9L"/>
          <w:i/>
          <w:iCs/>
          <w:color w:val="000000"/>
          <w:sz w:val="16"/>
          <w:szCs w:val="16"/>
        </w:rPr>
        <w:t>ime</w:t>
      </w:r>
      <w:r w:rsidR="00F40FC6">
        <w:rPr>
          <w:rFonts w:ascii="NimbusRomNo9L" w:hAnsi="NimbusRomNo9L" w:cs="NimbusRomNo9L"/>
          <w:i/>
          <w:iCs/>
          <w:color w:val="000000"/>
          <w:sz w:val="16"/>
          <w:szCs w:val="16"/>
        </w:rPr>
        <w:t xml:space="preserve"> </w:t>
      </w:r>
      <w:r>
        <w:rPr>
          <w:rFonts w:ascii="NimbusRomNo9L" w:hAnsi="NimbusRomNo9L" w:cs="NimbusRomNo9L"/>
          <w:i/>
          <w:iCs/>
          <w:color w:val="000000"/>
          <w:sz w:val="16"/>
          <w:szCs w:val="16"/>
        </w:rPr>
        <w:t>resource</w:t>
      </w:r>
      <w:r w:rsidR="00F40FC6">
        <w:rPr>
          <w:rFonts w:ascii="NimbusRomNo9L" w:hAnsi="NimbusRomNo9L" w:cs="NimbusRomNo9L"/>
          <w:i/>
          <w:iCs/>
          <w:color w:val="000000"/>
          <w:sz w:val="16"/>
          <w:szCs w:val="16"/>
        </w:rPr>
        <w:t xml:space="preserve"> T</w:t>
      </w:r>
      <w:r>
        <w:rPr>
          <w:rFonts w:ascii="NimbusRomNo9L" w:hAnsi="NimbusRomNo9L" w:cs="NimbusRomNo9L"/>
          <w:i/>
          <w:iCs/>
          <w:color w:val="000000"/>
          <w:sz w:val="16"/>
          <w:szCs w:val="16"/>
        </w:rPr>
        <w:t>rans</w:t>
      </w:r>
      <w:r w:rsidR="00F40FC6">
        <w:rPr>
          <w:rFonts w:ascii="NimbusRomNo9L" w:hAnsi="NimbusRomNo9L" w:cs="NimbusRomNo9L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(e)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is the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resource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associated to event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NimbusRomNo9L" w:hAnsi="NimbusRomNo9L" w:cs="NimbusRomNo9L"/>
          <w:color w:val="000000"/>
          <w:sz w:val="20"/>
          <w:szCs w:val="20"/>
        </w:rPr>
        <w:t>.</w:t>
      </w:r>
      <w:r w:rsidR="004629CC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(e)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is the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transaction type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associated to event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NimbusRomNo9L" w:hAnsi="NimbusRomNo9L" w:cs="NimbusRomNo9L"/>
          <w:color w:val="000000"/>
          <w:sz w:val="20"/>
          <w:szCs w:val="20"/>
        </w:rPr>
        <w:t>, examples are schedule, start,</w:t>
      </w:r>
      <w:r w:rsidR="004629CC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complete, and suspend.</w:t>
      </w:r>
    </w:p>
    <w:p w:rsidR="000D7673" w:rsidRDefault="000D7673" w:rsidP="00B36C0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6C0CA215" wp14:editId="63E51952">
            <wp:extent cx="44577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4D" w:rsidRDefault="00086D4D" w:rsidP="000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NimbusRomNo9L" w:hAnsi="NimbusRomNo9L" w:cs="NimbusRomNo9L"/>
          <w:b/>
          <w:bCs/>
          <w:color w:val="000000"/>
          <w:sz w:val="24"/>
          <w:szCs w:val="24"/>
        </w:rPr>
        <w:t>5.3 XES</w:t>
      </w:r>
    </w:p>
    <w:p w:rsidR="00A61664" w:rsidRDefault="009E0C26" w:rsidP="00086D4D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>T</w:t>
      </w:r>
      <w:r w:rsidR="00086D4D">
        <w:rPr>
          <w:rFonts w:ascii="NimbusRomNo9L" w:hAnsi="NimbusRomNo9L" w:cs="NimbusRomNo9L"/>
          <w:color w:val="000000"/>
          <w:sz w:val="20"/>
          <w:szCs w:val="20"/>
        </w:rPr>
        <w:t xml:space="preserve">he de facto standard for storing and exchanging event logs was </w:t>
      </w:r>
      <w:r w:rsidR="00086D4D">
        <w:rPr>
          <w:rFonts w:ascii="NimbusRomNo9L" w:hAnsi="NimbusRomNo9L" w:cs="NimbusRomNo9L"/>
          <w:i/>
          <w:iCs/>
          <w:color w:val="000000"/>
          <w:sz w:val="20"/>
          <w:szCs w:val="20"/>
        </w:rPr>
        <w:t>MXML</w:t>
      </w:r>
      <w:r w:rsidR="00086D4D"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 </w:t>
      </w:r>
      <w:r w:rsidR="00086D4D">
        <w:rPr>
          <w:rFonts w:ascii="NimbusRomNo9L" w:hAnsi="NimbusRomNo9L" w:cs="NimbusRomNo9L"/>
          <w:color w:val="000000"/>
          <w:sz w:val="20"/>
          <w:szCs w:val="20"/>
        </w:rPr>
        <w:t xml:space="preserve">(Mining </w:t>
      </w:r>
      <w:proofErr w:type="spellStart"/>
      <w:r w:rsidR="00086D4D">
        <w:rPr>
          <w:rFonts w:ascii="NimbusRomNo9L" w:hAnsi="NimbusRomNo9L" w:cs="NimbusRomNo9L"/>
          <w:color w:val="000000"/>
          <w:sz w:val="20"/>
          <w:szCs w:val="20"/>
        </w:rPr>
        <w:t>eXtensible</w:t>
      </w:r>
      <w:proofErr w:type="spellEnd"/>
      <w:r w:rsidR="00086D4D">
        <w:rPr>
          <w:rFonts w:ascii="NimbusRomNo9L" w:hAnsi="NimbusRomNo9L" w:cs="NimbusRomNo9L"/>
          <w:color w:val="000000"/>
          <w:sz w:val="20"/>
          <w:szCs w:val="20"/>
        </w:rPr>
        <w:t xml:space="preserve"> Markup Language). </w:t>
      </w:r>
    </w:p>
    <w:p w:rsidR="00A61664" w:rsidRDefault="00086D4D" w:rsidP="00086D4D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>MXML emerged in 2003 and was later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adopted by the process mining tool </w:t>
      </w:r>
      <w:proofErr w:type="spellStart"/>
      <w:r>
        <w:rPr>
          <w:rFonts w:ascii="NimbusRomNo9L" w:hAnsi="NimbusRomNo9L" w:cs="NimbusRomNo9L"/>
          <w:color w:val="000000"/>
          <w:sz w:val="20"/>
          <w:szCs w:val="20"/>
        </w:rPr>
        <w:t>ProM</w:t>
      </w:r>
      <w:proofErr w:type="spellEnd"/>
      <w:r>
        <w:rPr>
          <w:rFonts w:ascii="NimbusRomNo9L" w:hAnsi="NimbusRomNo9L" w:cs="NimbusRomNo9L"/>
          <w:color w:val="000000"/>
          <w:sz w:val="20"/>
          <w:szCs w:val="20"/>
        </w:rPr>
        <w:t xml:space="preserve">. </w:t>
      </w:r>
    </w:p>
    <w:p w:rsidR="00A61664" w:rsidRDefault="00086D4D" w:rsidP="00086D4D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>Using MXML it is possible to store event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logs such as the one shown in Table </w:t>
      </w:r>
      <w:r>
        <w:rPr>
          <w:rFonts w:ascii="NimbusRomNo9L" w:hAnsi="NimbusRomNo9L" w:cs="NimbusRomNo9L"/>
          <w:color w:val="0000FF"/>
          <w:sz w:val="20"/>
          <w:szCs w:val="20"/>
        </w:rPr>
        <w:t xml:space="preserve">5.1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using an XML-based syntax. </w:t>
      </w:r>
      <w:proofErr w:type="spellStart"/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>ProMimport</w:t>
      </w:r>
      <w:proofErr w:type="spellEnd"/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is a tool supporting the conversion of different data sources to MXML, </w:t>
      </w:r>
    </w:p>
    <w:p w:rsidR="00A61664" w:rsidRDefault="00A61664" w:rsidP="00086D4D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</w:p>
    <w:p w:rsidR="00647930" w:rsidRDefault="00086D4D" w:rsidP="00086D4D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>e.g.,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MS Access, </w:t>
      </w:r>
      <w:proofErr w:type="spellStart"/>
      <w:r>
        <w:rPr>
          <w:rFonts w:ascii="NimbusRomNo9L" w:hAnsi="NimbusRomNo9L" w:cs="NimbusRomNo9L"/>
          <w:color w:val="000000"/>
          <w:sz w:val="20"/>
          <w:szCs w:val="20"/>
        </w:rPr>
        <w:t>Aris</w:t>
      </w:r>
      <w:proofErr w:type="spellEnd"/>
      <w:r>
        <w:rPr>
          <w:rFonts w:ascii="NimbusRomNo9L" w:hAnsi="NimbusRomNo9L" w:cs="NimbusRomNo9L"/>
          <w:color w:val="000000"/>
          <w:sz w:val="20"/>
          <w:szCs w:val="20"/>
        </w:rPr>
        <w:t xml:space="preserve"> PPM, CSV, Apache, Adept, PeopleSoft, Subversion, SAP R/3,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proofErr w:type="spellStart"/>
      <w:r>
        <w:rPr>
          <w:rFonts w:ascii="NimbusRomNo9L" w:hAnsi="NimbusRomNo9L" w:cs="NimbusRomNo9L"/>
          <w:color w:val="000000"/>
          <w:sz w:val="20"/>
          <w:szCs w:val="20"/>
        </w:rPr>
        <w:t>Protos</w:t>
      </w:r>
      <w:proofErr w:type="spellEnd"/>
      <w:r>
        <w:rPr>
          <w:rFonts w:ascii="NimbusRomNo9L" w:hAnsi="NimbusRomNo9L" w:cs="NimbusRomNo9L"/>
          <w:color w:val="000000"/>
          <w:sz w:val="20"/>
          <w:szCs w:val="20"/>
        </w:rPr>
        <w:t xml:space="preserve">, CPN Tools, </w:t>
      </w:r>
      <w:proofErr w:type="spellStart"/>
      <w:r>
        <w:rPr>
          <w:rFonts w:ascii="NimbusRomNo9L" w:hAnsi="NimbusRomNo9L" w:cs="NimbusRomNo9L"/>
          <w:color w:val="000000"/>
          <w:sz w:val="20"/>
          <w:szCs w:val="20"/>
        </w:rPr>
        <w:t>Cognos</w:t>
      </w:r>
      <w:proofErr w:type="spellEnd"/>
      <w:r>
        <w:rPr>
          <w:rFonts w:ascii="NimbusRomNo9L" w:hAnsi="NimbusRomNo9L" w:cs="NimbusRomNo9L"/>
          <w:color w:val="000000"/>
          <w:sz w:val="20"/>
          <w:szCs w:val="20"/>
        </w:rPr>
        <w:t xml:space="preserve">, and </w:t>
      </w:r>
      <w:proofErr w:type="spellStart"/>
      <w:r>
        <w:rPr>
          <w:rFonts w:ascii="NimbusRomNo9L" w:hAnsi="NimbusRomNo9L" w:cs="NimbusRomNo9L"/>
          <w:color w:val="000000"/>
          <w:sz w:val="20"/>
          <w:szCs w:val="20"/>
        </w:rPr>
        <w:t>Staffware</w:t>
      </w:r>
      <w:proofErr w:type="spellEnd"/>
      <w:r>
        <w:rPr>
          <w:rFonts w:ascii="NimbusRomNo9L" w:hAnsi="NimbusRomNo9L" w:cs="NimbusRomNo9L"/>
          <w:color w:val="000000"/>
          <w:sz w:val="20"/>
          <w:szCs w:val="20"/>
        </w:rPr>
        <w:t>. MXML has a standard notation for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storing timestamps, resources, and transaction types. </w:t>
      </w:r>
    </w:p>
    <w:p w:rsidR="00647930" w:rsidRDefault="00647930" w:rsidP="00086D4D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</w:p>
    <w:p w:rsidR="00371C69" w:rsidRDefault="00086D4D" w:rsidP="00086D4D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SA-MXML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(Semantically Annotated Mining </w:t>
      </w:r>
      <w:proofErr w:type="spellStart"/>
      <w:r>
        <w:rPr>
          <w:rFonts w:ascii="NimbusRomNo9L" w:hAnsi="NimbusRomNo9L" w:cs="NimbusRomNo9L"/>
          <w:color w:val="000000"/>
          <w:sz w:val="20"/>
          <w:szCs w:val="20"/>
        </w:rPr>
        <w:t>eXtensible</w:t>
      </w:r>
      <w:proofErr w:type="spellEnd"/>
      <w:r>
        <w:rPr>
          <w:rFonts w:ascii="NimbusRomNo9L" w:hAnsi="NimbusRomNo9L" w:cs="NimbusRomNo9L"/>
          <w:color w:val="000000"/>
          <w:sz w:val="20"/>
          <w:szCs w:val="20"/>
        </w:rPr>
        <w:t xml:space="preserve"> Markup Language)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is a semantic annotated version of the MXML format used by the </w:t>
      </w:r>
      <w:proofErr w:type="spellStart"/>
      <w:r>
        <w:rPr>
          <w:rFonts w:ascii="NimbusRomNo9L" w:hAnsi="NimbusRomNo9L" w:cs="NimbusRomNo9L"/>
          <w:color w:val="000000"/>
          <w:sz w:val="20"/>
          <w:szCs w:val="20"/>
        </w:rPr>
        <w:t>ProM</w:t>
      </w:r>
      <w:proofErr w:type="spellEnd"/>
      <w:r>
        <w:rPr>
          <w:rFonts w:ascii="NimbusRomNo9L" w:hAnsi="NimbusRomNo9L" w:cs="NimbusRomNo9L"/>
          <w:color w:val="000000"/>
          <w:sz w:val="20"/>
          <w:szCs w:val="20"/>
        </w:rPr>
        <w:t xml:space="preserve"> framework.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SA-MXML incorporates references between elements in logs and concepts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in ontologies. </w:t>
      </w:r>
    </w:p>
    <w:p w:rsidR="00371C69" w:rsidRDefault="00371C69" w:rsidP="00086D4D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</w:p>
    <w:p w:rsidR="001C4A3C" w:rsidRDefault="00086D4D" w:rsidP="00086D4D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>For example, a resource can have a reference to a concept in an ontology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describing a hierarchy of roles, organizational entities, and positions. To realize</w:t>
      </w:r>
      <w:r w:rsidR="001C4A3C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these semantic annotations, existing XML elements were interpreted in a new manner.</w:t>
      </w:r>
    </w:p>
    <w:p w:rsidR="001C4A3C" w:rsidRDefault="001C4A3C" w:rsidP="00086D4D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</w:p>
    <w:p w:rsidR="00086D4D" w:rsidRDefault="00086D4D" w:rsidP="000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 xml:space="preserve">Other extensions were realized in a similar manner. </w:t>
      </w:r>
    </w:p>
    <w:p w:rsidR="003F3E64" w:rsidRDefault="003F3E64" w:rsidP="001713BE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</w:p>
    <w:p w:rsidR="00227926" w:rsidRDefault="00086D4D" w:rsidP="00BB5D92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>XES is the successor of MXML. Based on many practical experiences with</w:t>
      </w:r>
      <w:r w:rsidR="001713BE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 w:rsidR="001713BE">
        <w:rPr>
          <w:rFonts w:ascii="NimbusRomNo9L" w:hAnsi="NimbusRomNo9L" w:cs="NimbusRomNo9L"/>
          <w:color w:val="000000"/>
          <w:sz w:val="20"/>
          <w:szCs w:val="20"/>
        </w:rPr>
        <w:t xml:space="preserve">MXML, the XES format has been made less restrictive and truly extendible. </w:t>
      </w:r>
    </w:p>
    <w:p w:rsidR="00227926" w:rsidRDefault="00FB6C9C" w:rsidP="001713BE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3B10C40F" wp14:editId="6715CA3C">
            <wp:extent cx="3637798" cy="282810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288" cy="283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2" w:rsidRDefault="000253E2" w:rsidP="00CB21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25F94" w:rsidRDefault="00CB21D2" w:rsidP="00CB21D2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The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concept extension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deﬁnes the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name </w:t>
      </w:r>
      <w:r>
        <w:rPr>
          <w:rFonts w:ascii="NimbusRomNo9L" w:hAnsi="NimbusRomNo9L" w:cs="NimbusRomNo9L"/>
          <w:color w:val="000000"/>
          <w:sz w:val="20"/>
          <w:szCs w:val="20"/>
        </w:rPr>
        <w:t>attribute for traces and events.</w:t>
      </w:r>
    </w:p>
    <w:p w:rsidR="00425F94" w:rsidRDefault="00CB21D2" w:rsidP="00CB21D2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>Note</w:t>
      </w:r>
      <w:r w:rsidR="008F0E0D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that the example XES ﬁle indeed uses </w:t>
      </w:r>
      <w:proofErr w:type="spellStart"/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>concept</w:t>
      </w:r>
      <w:proofErr w:type="gramStart"/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>:name</w:t>
      </w:r>
      <w:proofErr w:type="spellEnd"/>
      <w:proofErr w:type="gramEnd"/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attributes for traces and</w:t>
      </w:r>
      <w:r w:rsidR="008F0E0D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events. </w:t>
      </w:r>
    </w:p>
    <w:p w:rsidR="00E13F26" w:rsidRDefault="00E13F26" w:rsidP="00CB21D2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</w:p>
    <w:p w:rsidR="00A51F56" w:rsidRDefault="00A51F56" w:rsidP="00A5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NimbusRomNo9L" w:hAnsi="NimbusRomNo9L" w:cs="NimbusRomNo9L"/>
          <w:b/>
          <w:bCs/>
          <w:color w:val="000000"/>
          <w:sz w:val="24"/>
          <w:szCs w:val="24"/>
        </w:rPr>
        <w:t>5.4 Data Quality</w:t>
      </w:r>
    </w:p>
    <w:p w:rsidR="00993040" w:rsidRDefault="00A51F56" w:rsidP="00A51F56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 xml:space="preserve">From a practical point of view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data quality </w:t>
      </w:r>
      <w:r>
        <w:rPr>
          <w:rFonts w:ascii="NimbusRomNo9L" w:hAnsi="NimbusRomNo9L" w:cs="NimbusRomNo9L"/>
          <w:color w:val="000000"/>
          <w:sz w:val="20"/>
          <w:szCs w:val="20"/>
        </w:rPr>
        <w:t>is of the utmost importance for the success</w:t>
      </w:r>
      <w:r w:rsidR="00CD5D45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of process mining. If event data is missing or cannot be trusted, then the results</w:t>
      </w:r>
      <w:r w:rsidR="00CD5D45"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of process mining are less valuable.</w:t>
      </w:r>
    </w:p>
    <w:p w:rsidR="00E13F26" w:rsidRDefault="00A51F56" w:rsidP="00A51F56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>The conceptualization</w:t>
      </w:r>
      <w:r w:rsidR="00993040">
        <w:rPr>
          <w:rFonts w:ascii="NimbusRomNo9L" w:hAnsi="NimbusRomNo9L" w:cs="NimbusRomNo9L"/>
          <w:color w:val="000000"/>
          <w:sz w:val="20"/>
          <w:szCs w:val="20"/>
        </w:rPr>
        <w:t xml:space="preserve"> is used to systematic classify </w:t>
      </w:r>
      <w:r>
        <w:rPr>
          <w:rFonts w:ascii="NimbusRomNo9L" w:hAnsi="NimbusRomNo9L" w:cs="NimbusRomNo9L"/>
          <w:color w:val="000000"/>
          <w:sz w:val="20"/>
          <w:szCs w:val="20"/>
        </w:rPr>
        <w:t>data quality problems.</w:t>
      </w:r>
    </w:p>
    <w:p w:rsidR="00FC01CE" w:rsidRDefault="00C6226A" w:rsidP="00E90779">
      <w:pPr>
        <w:autoSpaceDE w:val="0"/>
        <w:autoSpaceDN w:val="0"/>
        <w:adjustRightInd w:val="0"/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2152881" wp14:editId="0375443A">
            <wp:extent cx="4476750" cy="24999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987" cy="250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2F" w:rsidRDefault="007B5E2F" w:rsidP="00E90779">
      <w:pPr>
        <w:autoSpaceDE w:val="0"/>
        <w:autoSpaceDN w:val="0"/>
        <w:adjustRightInd w:val="0"/>
        <w:spacing w:after="0" w:line="240" w:lineRule="auto"/>
        <w:jc w:val="center"/>
        <w:rPr>
          <w:sz w:val="24"/>
        </w:rPr>
      </w:pPr>
    </w:p>
    <w:p w:rsidR="007B5E2F" w:rsidRDefault="007B5E2F" w:rsidP="00E90779">
      <w:pPr>
        <w:autoSpaceDE w:val="0"/>
        <w:autoSpaceDN w:val="0"/>
        <w:adjustRightInd w:val="0"/>
        <w:spacing w:after="0" w:line="24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DBB22BE" wp14:editId="77B0D389">
            <wp:extent cx="4733925" cy="25603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318" cy="25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75" w:rsidRDefault="00A35675" w:rsidP="00A3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NimbusRomNo9L" w:hAnsi="NimbusRomNo9L" w:cs="NimbusRomNo9L"/>
          <w:b/>
          <w:bCs/>
          <w:color w:val="000000"/>
          <w:sz w:val="24"/>
          <w:szCs w:val="24"/>
        </w:rPr>
        <w:t>5.5 Flattening Reality into Event Logs</w:t>
      </w:r>
    </w:p>
    <w:p w:rsidR="00A35675" w:rsidRDefault="00A35675" w:rsidP="00A35675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>In order to do process mining, events need to be related to cases. As indicated before,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this is natural as a process model describes the life-cycle of a case of a particular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type. All activities in a conventional process model (independent of the notation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used) correspond to status changes of such a case. We will refer to such process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models as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>ﬂat models</w:t>
      </w:r>
      <w:r>
        <w:rPr>
          <w:rFonts w:ascii="NimbusRomNo9L" w:hAnsi="NimbusRomNo9L" w:cs="NimbusRomNo9L"/>
          <w:color w:val="000000"/>
          <w:sz w:val="20"/>
          <w:szCs w:val="20"/>
        </w:rPr>
        <w:t>. In this book, we adopt this (often hidden) assumption associated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to all mainstream process modeling notations. However, it is important to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realize that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>real-life processes are not ﬂat</w:t>
      </w:r>
      <w:r>
        <w:rPr>
          <w:rFonts w:ascii="NimbusRomNo9L" w:hAnsi="NimbusRomNo9L" w:cs="NimbusRomNo9L"/>
          <w:color w:val="000000"/>
          <w:sz w:val="20"/>
          <w:szCs w:val="20"/>
        </w:rPr>
        <w:t>. We use a simple example to illustrate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this.</w:t>
      </w:r>
      <w:bookmarkStart w:id="0" w:name="_GoBack"/>
      <w:bookmarkEnd w:id="0"/>
    </w:p>
    <w:p w:rsidR="00AF6209" w:rsidRDefault="00A35675" w:rsidP="00A35675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0"/>
          <w:szCs w:val="20"/>
        </w:rPr>
      </w:pPr>
      <w:r>
        <w:rPr>
          <w:rFonts w:ascii="NimbusRomNo9L" w:hAnsi="NimbusRomNo9L" w:cs="NimbusRomNo9L"/>
          <w:color w:val="000000"/>
          <w:sz w:val="20"/>
          <w:szCs w:val="20"/>
        </w:rPr>
        <w:t xml:space="preserve">Consider the class diagram shown in Fig. </w:t>
      </w:r>
      <w:r>
        <w:rPr>
          <w:rFonts w:ascii="NimbusRomNo9L" w:hAnsi="NimbusRomNo9L" w:cs="NimbusRomNo9L"/>
          <w:color w:val="0000FF"/>
          <w:sz w:val="20"/>
          <w:szCs w:val="20"/>
        </w:rPr>
        <w:t xml:space="preserve">5.11 </w:t>
      </w:r>
      <w:r>
        <w:rPr>
          <w:rFonts w:ascii="NimbusRomNo9L" w:hAnsi="NimbusRomNo9L" w:cs="NimbusRomNo9L"/>
          <w:color w:val="000000"/>
          <w:sz w:val="20"/>
          <w:szCs w:val="20"/>
        </w:rPr>
        <w:t>describing a database consisting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of four tables. Table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Order </w:t>
      </w:r>
      <w:r>
        <w:rPr>
          <w:rFonts w:ascii="NimbusRomNo9L" w:hAnsi="NimbusRomNo9L" w:cs="NimbusRomNo9L"/>
          <w:color w:val="000000"/>
          <w:sz w:val="20"/>
          <w:szCs w:val="20"/>
        </w:rPr>
        <w:t>contains information about orders. For example, each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record in the </w:t>
      </w:r>
      <w:r>
        <w:rPr>
          <w:rFonts w:ascii="NimbusRomNo9L" w:hAnsi="NimbusRomNo9L" w:cs="NimbusRomNo9L"/>
          <w:i/>
          <w:iCs/>
          <w:color w:val="000000"/>
          <w:sz w:val="20"/>
          <w:szCs w:val="20"/>
        </w:rPr>
        <w:t xml:space="preserve">Order </w:t>
      </w:r>
      <w:r>
        <w:rPr>
          <w:rFonts w:ascii="NimbusRomNo9L" w:hAnsi="NimbusRomNo9L" w:cs="NimbusRomNo9L"/>
          <w:color w:val="000000"/>
          <w:sz w:val="20"/>
          <w:szCs w:val="20"/>
        </w:rPr>
        <w:t>table has a unique order number, refers to a customer, and has</w:t>
      </w:r>
      <w:r>
        <w:rPr>
          <w:rFonts w:ascii="NimbusRomNo9L" w:hAnsi="NimbusRomNo9L" w:cs="NimbusRomNo9L"/>
          <w:color w:val="000000"/>
          <w:sz w:val="20"/>
          <w:szCs w:val="20"/>
        </w:rPr>
        <w:t xml:space="preserve"> </w:t>
      </w:r>
      <w:r>
        <w:rPr>
          <w:rFonts w:ascii="NimbusRomNo9L" w:hAnsi="NimbusRomNo9L" w:cs="NimbusRomNo9L"/>
          <w:color w:val="000000"/>
          <w:sz w:val="20"/>
          <w:szCs w:val="20"/>
        </w:rPr>
        <w:t>an associated amount. Multiple products can be ordered in one order. Therefore,</w:t>
      </w:r>
    </w:p>
    <w:p w:rsidR="00C64E84" w:rsidRDefault="00C64E84" w:rsidP="00A35675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36599DC3" wp14:editId="51CE1819">
            <wp:extent cx="4657725" cy="3829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77" w:rsidRDefault="00A868EF" w:rsidP="00A35675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DC15D87" wp14:editId="6E2215BD">
            <wp:extent cx="455295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C4" w:rsidRDefault="001E59C4" w:rsidP="00A35675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2EA55BBE" wp14:editId="2F75259A">
            <wp:extent cx="45529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EA" w:rsidRDefault="002F26EA" w:rsidP="00A3567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E90779" w:rsidRPr="00AC6566" w:rsidRDefault="00E90779" w:rsidP="00E90779">
      <w:pPr>
        <w:autoSpaceDE w:val="0"/>
        <w:autoSpaceDN w:val="0"/>
        <w:adjustRightInd w:val="0"/>
        <w:spacing w:after="0" w:line="240" w:lineRule="auto"/>
        <w:jc w:val="center"/>
        <w:rPr>
          <w:sz w:val="24"/>
        </w:rPr>
      </w:pPr>
    </w:p>
    <w:sectPr w:rsidR="00E90779" w:rsidRPr="00AC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AF"/>
    <w:rsid w:val="000253E2"/>
    <w:rsid w:val="000369C7"/>
    <w:rsid w:val="00086D4D"/>
    <w:rsid w:val="000D7673"/>
    <w:rsid w:val="001104C6"/>
    <w:rsid w:val="00166445"/>
    <w:rsid w:val="001713BE"/>
    <w:rsid w:val="00185A21"/>
    <w:rsid w:val="0019171C"/>
    <w:rsid w:val="001A6413"/>
    <w:rsid w:val="001C4A3C"/>
    <w:rsid w:val="001E59C4"/>
    <w:rsid w:val="002041D2"/>
    <w:rsid w:val="0022354B"/>
    <w:rsid w:val="00227926"/>
    <w:rsid w:val="00241A93"/>
    <w:rsid w:val="0024395A"/>
    <w:rsid w:val="002C0321"/>
    <w:rsid w:val="002F26EA"/>
    <w:rsid w:val="00371C69"/>
    <w:rsid w:val="00381FAD"/>
    <w:rsid w:val="00387E90"/>
    <w:rsid w:val="003C0F1B"/>
    <w:rsid w:val="003F3E64"/>
    <w:rsid w:val="00401ACD"/>
    <w:rsid w:val="00410FB3"/>
    <w:rsid w:val="00425F94"/>
    <w:rsid w:val="00450EEB"/>
    <w:rsid w:val="004629CC"/>
    <w:rsid w:val="004A6294"/>
    <w:rsid w:val="004C448A"/>
    <w:rsid w:val="004C54D1"/>
    <w:rsid w:val="004C655F"/>
    <w:rsid w:val="004C6DE7"/>
    <w:rsid w:val="004E76FD"/>
    <w:rsid w:val="00616A9C"/>
    <w:rsid w:val="00632B73"/>
    <w:rsid w:val="00647930"/>
    <w:rsid w:val="006507E3"/>
    <w:rsid w:val="006716C2"/>
    <w:rsid w:val="00752AE0"/>
    <w:rsid w:val="007B5E2F"/>
    <w:rsid w:val="007E3377"/>
    <w:rsid w:val="008A639E"/>
    <w:rsid w:val="008E5866"/>
    <w:rsid w:val="008F0E0D"/>
    <w:rsid w:val="00920192"/>
    <w:rsid w:val="00925197"/>
    <w:rsid w:val="00971905"/>
    <w:rsid w:val="00993040"/>
    <w:rsid w:val="009975A6"/>
    <w:rsid w:val="009A29E1"/>
    <w:rsid w:val="009B3A49"/>
    <w:rsid w:val="009E0C26"/>
    <w:rsid w:val="00A031B0"/>
    <w:rsid w:val="00A35675"/>
    <w:rsid w:val="00A51F56"/>
    <w:rsid w:val="00A61664"/>
    <w:rsid w:val="00A868EF"/>
    <w:rsid w:val="00A92F8E"/>
    <w:rsid w:val="00AB0CBE"/>
    <w:rsid w:val="00AC6566"/>
    <w:rsid w:val="00AD13C4"/>
    <w:rsid w:val="00AF523B"/>
    <w:rsid w:val="00AF6209"/>
    <w:rsid w:val="00B36C09"/>
    <w:rsid w:val="00BB5D92"/>
    <w:rsid w:val="00C6226A"/>
    <w:rsid w:val="00C64E84"/>
    <w:rsid w:val="00C75520"/>
    <w:rsid w:val="00CB21D2"/>
    <w:rsid w:val="00CC02A6"/>
    <w:rsid w:val="00CD5D45"/>
    <w:rsid w:val="00D533B0"/>
    <w:rsid w:val="00D90193"/>
    <w:rsid w:val="00E13F26"/>
    <w:rsid w:val="00E5708A"/>
    <w:rsid w:val="00E90779"/>
    <w:rsid w:val="00F01169"/>
    <w:rsid w:val="00F137AF"/>
    <w:rsid w:val="00F40FC6"/>
    <w:rsid w:val="00F8154D"/>
    <w:rsid w:val="00FB096B"/>
    <w:rsid w:val="00FB3D2A"/>
    <w:rsid w:val="00FB6C9C"/>
    <w:rsid w:val="00FC01CE"/>
    <w:rsid w:val="00FE1E80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D886"/>
  <w15:chartTrackingRefBased/>
  <w15:docId w15:val="{76BFD4E2-E823-4B25-99E2-DC5EF949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1478</Words>
  <Characters>8427</Characters>
  <Application>Microsoft Office Word</Application>
  <DocSecurity>0</DocSecurity>
  <Lines>70</Lines>
  <Paragraphs>19</Paragraphs>
  <ScaleCrop>false</ScaleCrop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88</cp:revision>
  <dcterms:created xsi:type="dcterms:W3CDTF">2019-12-15T07:56:00Z</dcterms:created>
  <dcterms:modified xsi:type="dcterms:W3CDTF">2019-12-15T10:37:00Z</dcterms:modified>
</cp:coreProperties>
</file>